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ПСИХОЛОГІЧНА ХАРАКТЕРИСТИКА ТИПІВ УПРАВЛІНСЬКОЇ КОМПЕТЕНТНОСТІ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МАЙБУТНЬОГО ОФІЦЕРА ПОЛІЦІЇ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Борисюк 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О.М.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Львівський державний університет внутрішніх справ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 статті надано психологічну характеристику типів управлінської компетентності майбут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нього офіцера поліції. Проведено емпіричне дослідження управлінської компетентності у курсантів ЛьвДУВС. Результати емпіричного дослідження оброблені факторним аналізом. Внаслідок проведеного факторного аналізу виявлено вісім типів майбутніх офіцерів поліц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ії: інтернальний тип з високим рівнем саморегуляції, особи з високим управлінським потенціалом, маскулінний тип з низьким інтелектом, професійно зацікавлений тип з високим рівнем саморегуляції, замкнуто-агресивний тип з розмитими цілями діяльності, інтрове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рти спрямовані на взаємини у колективі, професійно немотивований тип з розвиненою саморегуляцією та чоловічий тип спрямований на справу. Зроблено висновки про позитиви та негативи даних типів з проекцією на майбутню управлінську професійну діяльність.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Ключ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ові слова: управлінська компетентність, типи управлінської компетентності, майбутні офіцери поліції.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color w:val="FFFFFF"/>
          <w:sz w:val="28"/>
          <w:szCs w:val="28"/>
          <w:lang w:val="uk-UA"/>
        </w:rPr>
        <w:t>курсант поліція управлінський компетентність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Постановка проблеми. На сучасному етапі реформування системи правоохоронних органів України актуалізується про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блема якісно нових вимог до системи підготовки фахівців у системі МВС України, до її змісту і структури, рівня компетентності випускників вищих навчальних закладів правоохоронного спрямування. Серед основних вимог до майбутніх фахівців особливої актуальнос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набуває проблема формування готовності курсантів до управлінської діяльності. Адже управлінська функція фахівців у системі МВС України визначається насамперед Законами України «Про Національну гвардію» [1], «Про національну поліцію» [2] та ін., засаднич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положення яких визначають пріоритети реформування правоохоронних органів з урахуванням специфіки системи управління та визначення перспектив формування контингенту правоохоронців, які мають бути наділені здатністю на високому професійному рівні реалізову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вати професійну діяльність. Цілеспрямована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управлінська підготовка майбутніх працівників поліції з розвинутим творчим практичним мисленням, високою управлінською компетентністю, здатних і готових вирішувати весь комплекс управлінських завдань, що стоять пе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ред ними як суб’єктами управління, у підрозділах та частинах є актуальною психологічною, педагогічною та організаційно-управлінською проблемою.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і публікацій. Нами здійснено аналітичне прочитання наукових праць та дисертацій, об’є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ктом вивчення яких стала управлінська компетентність. Зокрема, дану проблему всебічно розглядали українські та зарубіжні науковці такі як І.П. Андріа- ді, Є.М. Бєлова, Л.М. Ващенко, А.Л. Журавльов, В.Г. Зазикін, В.П. Казміренко, Л.М. Карамушка, Н.Л. Коломі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нський, Р.Л. Кричевський, Л.І. Мако- дзей, Л.Е. Орбан-Лембрик, Р. Пейтон, В.В. Тре- тьяченко, Ю.Л. Трофімов, Д. Френсіс, Р.Х. Шакуров, В.М. Шепель, Ю.М. Швалб, Б. Швальбе, Я.І. Шкурко, Г.Й. Юркевич та ін. Дослідженням управлінської компетентності військови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керівників займалися В.С. Афанасенко, О.В. Бойко, П.Ю. Гончаров, Т.М. Мацевко, В.П. Печенізький, працівників ОВС в процесі їхнього професійного становлення - Т.В. Казак, Є.А. Лобанов [3: 4]. В результаті аналізу вказаних джерел нами було сформовано модел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управлінської компетентності, що включала наступні блоки: мотиваційний, емоційно-вольовий, когнітивний, операційно-ді- яльнісний, особистісний чи суб’єктний та рефлексивний [1; 2].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невирішених раніше частин загальної проблеми. Проте, через недо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статньо широкий спектр досліджень у цьому напрямі існує надзвичайно великий запит з боку практики до емпіричного вивчення типів управлінської компетентності майбутніх офіцерів поліції, з’ясування позитиву та негативу даних типів з проекцією на майбутню упр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авлінську професійну діяльність.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огляду на вказане, мета даної статі полягає в тому, щоб на основні визначення типів управлінської компетентності майбутніх офіцерів поліції їх охарактеризувати, а також встановити її позитивні та негативні аспекти.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Методи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 та процедура дослідження. Для дослідження управлінської компетентності майбутніх офіцерів поліції нами застосовані наступні методики: методика «Діагностика професійної мотивації» В.І. Осьодло; анкета на визначення професійних мотивів розроблена на основ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 анкети В.І. Осьодло; тест «Локус контролю» О.Г. Ксено- фонтової; методика «Стильові особливості саморегуляції поведінки (ССП-98)» В.І. Моросанової, Є.М. Коноз; тест «Аналіз своїх обмежень «Ви самі» К. Вудкок, Д. Френсіс; управлінські завдання розроблені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основі методики «Виробничі ситуації» А.А. Єршова; опитувальник «Знаходження кількісного вираження рівня самооцінки» (за В.А. Будассі); Фрайбурзький багатофакторний особистісний опитувальник ЕРІ (форма В); методика «Діагностика рівня розвитку рефлективно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сті» А.В. Карпова.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психодіагностичному обстеженні взяли участь курсанти 1-го, 2-го та 3-го курсів </w:t>
      </w:r>
      <w:r>
        <w:rPr>
          <w:rFonts w:ascii="Times New Roman CYR" w:hAnsi="Times New Roman CYR" w:cs="Times New Roman CYR"/>
          <w:sz w:val="28"/>
          <w:szCs w:val="28"/>
        </w:rPr>
        <w:t>факультету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підготовки фахівців для підрозділів слідства ЛьвДУВС (денної форми навчання). Кількість досліджуваних по курсах - 283 особи (82 особи - жін. стат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і, 201 особа - чол. статі).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результатів дослідження. Результати емпіричного дослідження оброблені факторним аналізом. Визначено 8 факторів (з факторною значущістю понад 2), кумулятивна сукупність якого складає понад 60% (табл. 1).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 1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Повна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ояснена дисперсія за факторним аналізом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648"/>
        <w:gridCol w:w="1334"/>
        <w:gridCol w:w="158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Компонента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Вага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% Дисперсії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Кумулятивний%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12,485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18,635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18,635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10,668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15,922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34,557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3,742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5,585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40,143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3,654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5,454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45,596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3,251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4,852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50,448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2,620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3,910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54,358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2,147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3,204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57,562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2,070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3,090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07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60,652</w:t>
            </w:r>
          </w:p>
        </w:tc>
      </w:tr>
    </w:tbl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Далі вказано вміст факторів, їх інтерпретація і назва, яка базується на розумінні отриманого результату: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першим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«Інтернальний тип з високим рівнем саморегуляції»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 зв’язки за такими шкалами: загальна інтернальн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ість (0,930), заперечення активності (-0,826), інтернальність при описі особистого досвіду (0,819), інтернальність у сфері професійної діяльності (0,761), схильність до самозвинувачення (0,738), інтернальність в міжособистісному спілкуванні (0,729), інтерн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альність у сфері професійних досягнень (0,709), загальний рівень саморегуляції (0,584), загальна активність (0,571), моделювання (0,561), оцінка результатів (0,523), невротичність (-0,518).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Сукупність вказаних психологічних категорій свідчить про те, що 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ний тип осіб є інтерналами (з внутрішнім локусом контролю), які відрізняються упевненістю в тому, що досягнення у професійній та інших видах діяльності залежать у першу чергу від їхніх власних зусиль і здібностей, відповідальні, схильні мати чіткі життєві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плани та способи їх досягнення, бачать перспективу, зацікавлені у професійній діяльності. Для них властивий високий рівень активності та професійної мотивації, вони зацікавлені в професійній діяльності, яка має для них чітке мотиваційно-ціннісне значення.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Курсанти даного типу мають високий рівень саморегуляції, адекватно реагують на зміну умов, швидко опановують нові види активності, впевненіше почувають себе в незнайомих ситуаціях і таким чином, їхні успіхи в управлінській діяльності будуть стабільнішими.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Відсутність невротичності є ознакою емоційної зрілості, об’єктивності в оцінці себе та інших людей, сталості в планах і уподобаннях. Вони активні, діяльні, ініціативні, честолюбні, схильні до суперництва і змагання. Їх відрізняє серйозність і реалістичніст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ь, хороше розуміння дійсності, висока вимогливість до себе, відповідальності, сумлінність, стійкість моральних принципів, сміливість, рішучість, схильність до ризику.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Такий тип курсантів у своїй майбутній професійній діяльності будуть успішними керівниками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оскільки зможуть брати відповідальність за себе та за інших, гнучко реагуватимуть на зміну умов та проявлятимуть емоційну стійкість в різних екстремальних ситуаціях.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другим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«Особи з високим управлінським потенціалом»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зв’язки за такими шкалами: вміння навчати (0,953), триваючий саморозвиток (0,949), вміння налагодити групову роботу (0,944), чіткі особисті цілі (0,940), хороші навички вирішення проблем(0,933), вміння впливати на оточуючих (0,930), розуміння особливосте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управлінської праці (0,917), здатність керувати (0,910), творчий підхід (0,902), чіткі цінності (0,897), здатність управляти собою (0,731).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Такий тип курсантів вміють боротися зі стресами,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раціонально використовувати час, сили і здібності, підтримувати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тан здоров’я і працездатність. Орієнтовані на такі цінності, як ефективність, реалізація особистого потенціалу, розвиток та удосконалення. Проявляють винахідливість та вміння приймати ефективні оперативні рішення, шукати різноманітні варіанти рішень, прово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дити наради з вирішення проблем, обробки інформації, планування і контролю. Мають дар правильно говорити, уважно слухати, переконувати, приходити до згоди у суперечливих питаннях, можуть «повести за собою». Загалом такий менеджер демонструє сильні навички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керівництва, схильний сформувати дружню, ефективно працюючу «команду» однодумців, які повністю реалізують свої можливості, досягають своїх цілей та отримують задоволення від роботи. Підлеглі у таких керівників відчувають себе задоволеними і мають високу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одуктивність праці.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Отриманий тип курсантів володіє високим управлінським потенціалом, який дозволить їм у своїй майбутній професійній діяльності здійснювати ефективне керівництво та вести за собою.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третім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«Маскулінний тип з низьким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lastRenderedPageBreak/>
        <w:t>інтелектом»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 зв’язки за такими шкалами: маскулізм-фемінізм (0,629), знання (-0,621), відкритість (0,537), екстраверсія-інтроверсія (0,491).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Даний тип осіб має низький інтелектуальний потенціал. Протікання їхньої психічної діяльності відбуває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ться переважно за чоловічим типом і характеризується сміливістю, схильністю до ризику, швидких, рішучих дій, без достатнього їх обмірковування, прагненням до самоствердження. Відкритість відображає схильність особистості до довірчо-відвертої взаємодії з 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очуючими, високої самокритичності та щирості у відносинах з іншими. Є екстравертами, активні, амбітні, які прагнуть до суспільного визнання, лідерства. Легко встановлюють контакти зі іншими </w:t>
      </w:r>
      <w:r>
        <w:rPr>
          <w:rFonts w:ascii="Times New Roman CYR" w:hAnsi="Times New Roman CYR" w:cs="Times New Roman CYR"/>
          <w:sz w:val="28"/>
          <w:szCs w:val="28"/>
        </w:rPr>
        <w:t>людьми.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Вони надають великого значення соціальному успіху, всіма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пособами домагаються суспільного визнання своїх особистих заслуг, ніж можуть викликати невдоволення з боку тих людей, з якими їм доводиться мати справу. Однак, вони схильні перебувати у депресивних станах.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Переваги даного типу є в </w:t>
      </w:r>
      <w:r>
        <w:rPr>
          <w:rFonts w:ascii="Times New Roman CYR" w:hAnsi="Times New Roman CYR" w:cs="Times New Roman CYR"/>
          <w:sz w:val="28"/>
          <w:szCs w:val="28"/>
        </w:rPr>
        <w:t xml:space="preserve">тому,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що такі курсанти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ацюючи в майбутньому полісменами проявлятимуть рішучість, активність, схильність до ризику та щирість при взаємодії. Однак, низький інтелектуальний рівень заважатиме їм обдумано приймати рішення, проявляти творчий підхід у розв’язання проблем, що значно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гіршуватиме їхню здатність керувати.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4.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четвертим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«Професійно зацікавлений тип з високим рівнем саморегуляції»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 зв’язки за такими шкалами: загальний рівень саморегуляції (0,550), життєві цілі (0,452), професійні інтереси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цінності (0,494), загальна активність (0,433).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такого типу курсантів спостерігається автономність в організації активності, їх здатності самостійно планувати діяльність і поведінку, організовувати роботу з досягнення висунутої мети, контролювати хід 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ї виконання, аналізувати й оцінювати як проміжні, так і кінцеві результати діяльності. Вони здатні продумувати способи своїх дій для досягнення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намічених цілей, а також до виділення значимих умов для їхнього досягнення в майбутньому. У них наявний інтерес,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зацікавленість до професійної діяльності, яка сприймається не тільки як виконання своїх обов’язків, але й має чітке мотиваційно-ціннісне значення. Наявне бачення перспективи, чітких життєвих планів, способів їх досягнення, а також ті об’єктивні й суб’єкти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вні ресурси, котрі для цього знадобляться. Яскраво бачать способи досягнення професійних результатів.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Такий тип курсантів працюючи полісменами проявлятимуть великий інтерес до своєї професійної діяльності та прагнення до самовдосконалення. Вони самостійно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плануватимуть діяльність та здійснюватимуть контроль над нею. Висока мотивація, професійна зацікавленість та здатність до саморегуляції дозволить їм бути успішними працівникам поліції.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5.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п’ятим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«Замкнуто-агресивний тип»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зв’язки за такими шкалами: товариськість (-0, 600), сором’язливість (0,552), реактивна агресивність (0,516), спонтанна агресивність (0,452), невротичність (0,412). Дані зв’язки свідчать про те, що до даного типу належать курсанти, які є некомунікабельними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вони відчувають труднощі у встановлюванні зв’язків з іншими, люблять самотність, підтримують лише зовнішні форми товариських відносин, їхні знайомства поверхневі і формальні. Високі показники сором’язливості свідчать про наявність тривожності, страху,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впевненості, скутості, нерішучості, очікуванні неприємностей, униканні великих компаній, труднощах у прийнятті рішень та їх виконанні. Спонтанна та реактивна агресивність свідчать про психопатизацію особистості, імпульсивність, неконтрольовану агресію, нез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датність відстрочити задоволення своїх бажань, образливість, конфліктність, недовірливість, потяг до влади над іншими, егоїзм, жорстокість, внаслідок чого виникають труднощі в соціальних контактах, відсутність вираженої потреби в спілкуванні.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Отриманий тип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курсантів в майбутньому не зможе стати успішними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керівниками, адже не вміння налагоджувати комунікативні зв’язки, замкнутість та сором’язливість заважатимуть їхньому професійному розвитку. Невпевненість у собі, нерішучість породжуватимуть агресію та конфл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іктність.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6.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шостим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«Інтроверти спрямовані на взаємини у колективі»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 зв’язки за такими шкалами: екстра- версія-інтроверсія (-0,492), спрямованість на психологічний клімат і взаємини у колективі (0,411), інтернальність в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іжособистісному спілкуванні (0,369). Даний тип курсантів є інтровертами, тобто орієнтованими «всередину» або на «себе». Вони люблять перебувати на самоті, все ретельно обдумують, і тільки потім, можливо, вирішують вербалізувати інформацію. Завдяки своїй вд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умливості, розважливості і спокою інтроверти полюбляють вникати в суть речей. Проявляють пасивність у спілкуванні, що є ознакою формальності міжособистісних відносин.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Інтернальність в міжособистісному спілкуванні показує, що респондент бачить свою роль в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 відносинах, які у нього складаються з іншими людьми, вважає себе досить компетентним у спілкуванні, бере на себе відповідальність як за позитивні, так і за негативні варіанти сформованих міжособистісних відносин. Вважають, що в силах контролювати свої 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ормальні і неформальні відносини з іншими людьми, викликати до себе повагу і симпатію.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Домінуючою для даного типу курсантів є спрямованість на психологічний клімат і взаємини у колективі. Це можна пояснити тим, що стриманість, небагатослівність, які для 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властиві та заважають ефективності спільної діяльності вони хочуть компенсувати, прагнучи покращити свої соціальні зв’язки. При зростанні бажання створити сприятливий психологічний клімат спрямованість на самого себе буде різко знижуватися.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Перевагою дан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ого типу курсантів є вміння роздумувати над проблемою та стриманість. Окрім того, вони в своїй діяльності будуть орієнтуватися на створення приємної атмосфери в колективі, прагнення позитивно взаємодіяти.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Недоліком може виступати їхня закритість, яка викли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катиме негативні емоції та переживання, впливатиме на порушення позитивної атмосфери.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7.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сьомим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«Професійно немотивований тип з розвиненою саморегуляцією»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 зв’язки за такими шкалами: загальна активність (-0,554), життєві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цілі (-0,463), професійні інтереси та цінності (-0,453), загальна саморегуляція (0,409). У даного типу курсантів відсутня зацікавленість до професійної діяльності, належне внутрішнє цілепокладання й перспективи життєвого шляху. Однак, незважаючи на низьку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професійну мотивацію вони здатні адекватно реагувати на ситуацію, проявляють вміння швидко і своєчасно планувати діяльність і поведінку, розробляти програму дій, виділяти значимі умови, оцінювати неузгодженість отриманих результатів з метою діяльності та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носити корекції. Досліджувані з високими показниками за шкалою гнучкості демонструють пластичність усіх регуляторних процесів.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Недоліком даного типу є невмотивованість курсантів до професійної діяльності, хоча при цьому вони здатні самостійно планувати дія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льність та пристосовуватися до нових умов. </w:t>
      </w:r>
      <w:r>
        <w:rPr>
          <w:rFonts w:ascii="Times New Roman CYR" w:hAnsi="Times New Roman CYR" w:cs="Times New Roman CYR"/>
          <w:sz w:val="28"/>
          <w:szCs w:val="28"/>
        </w:rPr>
        <w:t>Будучи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полісменами їхня діяльність зводитиметься до виконання діяльності без наявності інтересу до неї. Це провокуватиме негативні переживання, невротичність, депресію, роздратованість та швидке професійне вигоран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Фактор 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восьмим фактором -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«Чоловічий тип спрямований на справу»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наявні тісні зв’язки за такими шкалами: курс (-0,570), цілі діяльності (0,496), спрямованість на справу (-0,425), стать (-0,415).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З’ясовано, що чим менший курс, тим цілі є чіткішим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и. Для курсантів жіночої статі властиве чітке формування цілей діяльності та прагнення їх досягти.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Спрямованість на справу серед курсантів-чоловіків - зростає, а у курсантів-жінок - зменшується. Це свідчить про те, що для курсантів чоловічої статі з таким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вектором спрямованості сама діяльність (процес і результат)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зміст усього життя, джерело натхнення і власної значущості. Вони не відчувають труднощів при плануванні діяльності і поведінки, організовуванні роботи по досягненню висунутої мети, контролем за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ходом її виконання, аналізі і оцінюванні як проміжних, так і кінцевих результатів діяльності.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цілі у жінок стосовно їхньої професійної діяльності з кожним курсом стають більш розмитішими. У професійній діяльності поліс- мени-чоловіки будуть спрямован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на справу та ефективніше справлятимуться з поставленими завданнями, ніж полісмени-жінки.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Висновки. Таким чином, проведений факторний аналіз дав можливість встановити наявність 8 типів управлінської компетентності майбутніх офіцерів поліції: інтернальний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тип з високим рівнем саморегуляції, особи з високим управлінським потенціалом, маскулінний тип з низьким інтелектом, професійно зацікавлений тип з високим рівнем саморегуляції, замкнуто-агресивний тип з розмитими цілями діяльності, інтроверти спрямовані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взаємини у колективі, професійно немотивований тип з розвиненою саморегуляцією та чоловічий тип спрямований на справу.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Узагальнюючи отримані результати, ми з’ясували що успішними керівниками-полісменами мають підстави стати курсанти за такими типами: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інте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рнальний тип з високим рівнем саморегуляції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(вміння брати відповідальність за себе та за інших, гнучкість реагування на зміну умов, емоційна стійкість в різних екстремальних ситуаціях);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особи з високим управлінським потенціалом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(хороші навички вирішення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облем, вміння впливати на оточуючих, здатність керувати, творчий підхід, чіткі цілі, триваючий саморозвиток);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професійно зацікавлений тип з високим рівнем саморегуляції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(висока професійна мотивація, самостійне планування діяльності та її контроль);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інтрове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рти спрямовані на взаємини у колективі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(вміння роздумувати над проблемою, стриманість, прагнення позитивно взаємодіяти в колективі);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чоловічий тип спрямований на справу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(в професійній діяльності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майбутні полісмени-чоловіки спрямовані на справу ефективніше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справлятимуться з поставленими завданнями, ніж полісмени-жінки).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Типи курсантів, які в своїй майбутній професійній діяльності матимуть труднощі в управлінні: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маскулінний тип з низьким інтелектом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(низький інтелектуальний рівень заважатиме обдумано приймати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рішення, проявляти творчий підхід у розв’язання проблем);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замкнуто-агресивний тип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(замкнутість та сором’язливість заважатимуть професійному розвитку, невпевненість у собі, нерішучість породжуватимуть агресію та конфліктність);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інтроверти, що спрямовані на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взаємини у колективі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(закритість та нетовариськість, сприятимуть переживанню негативних емоцій та впливатимуть на порушення позитивної атмосфери);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професійно немотивований тип з розвиненою саморегуляцією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(невмотивованість курсантів до професійної діяльност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і, будучи полісменами їхня діяльність зводитиметься до виконання роботи без наявності інтересу до неї. Це провокуватиме негативні переживання, невро-тичність, депресію, роздратованість та швидке професійне вигорання);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чоловічий тип спрямований на справу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жінок спрямованість на справу та завдання є низькою).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Перспективою подальших наукових пошуків є розробка тренінгової програми для формування готовності курсантів до управлінської діяльності у вищих навчальних закладах МВС України.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Список літератури: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5078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Борисюк О.М. Методологія емпіричного дослідження управлінської компетентності майбутніх офіцерів ОВС / О.М. Борисюк / / Науковий вісник Львівського державного університету внутрішніх справ. Серія психологічна: збірник наукових праць / головний редактор В.В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Середа. - Львів: ЛьвДУВС, 2015. - Вип. 1. - С. 141-150.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Борисюк О.М. Характеристика управлінської компетентності майбутніх офіцерів ОВС / О.М. Борисюк // Науковий вісник Львівського державного університету внутрішніх справ. Серія психологічна: збірник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наукових праць / головний редактор В.В. Середа. - Львів: ЛьвДУВС, 2015. - Вип. 1. - С. 94-102.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Вдовиченко Р.П. Управлінська компетентність керівника школи / Р.П. Вдовиченко. - Харків: Основа, 2007. - 112 с.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Гончаров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П.Ю. </w:t>
      </w:r>
      <w:r>
        <w:rPr>
          <w:rFonts w:ascii="Times New Roman CYR" w:hAnsi="Times New Roman CYR" w:cs="Times New Roman CYR"/>
          <w:sz w:val="28"/>
          <w:szCs w:val="28"/>
        </w:rPr>
        <w:t>Содержание управленческой ко</w:t>
      </w:r>
      <w:r>
        <w:rPr>
          <w:rFonts w:ascii="Times New Roman CYR" w:hAnsi="Times New Roman CYR" w:cs="Times New Roman CYR"/>
          <w:sz w:val="28"/>
          <w:szCs w:val="28"/>
        </w:rPr>
        <w:t>мпетентности курсантов военных институтов внутренних войск МВД России / П.Ю. Гончаров // «Педагогический журнал». - М.: Аналитика Родис, 2013. - № 1-2. - С. 124-132.</w:t>
      </w:r>
    </w:p>
    <w:p w:rsidR="00000000" w:rsidRDefault="00507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Закон «Про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Національну гвардію України» </w:t>
      </w:r>
      <w:r>
        <w:rPr>
          <w:rFonts w:ascii="Times New Roman CYR" w:hAnsi="Times New Roman CYR" w:cs="Times New Roman CYR"/>
          <w:sz w:val="28"/>
          <w:szCs w:val="28"/>
        </w:rPr>
        <w:t xml:space="preserve">[Текст]. - Верховна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Рада України, </w:t>
      </w:r>
      <w:r>
        <w:rPr>
          <w:rFonts w:ascii="Times New Roman CYR" w:hAnsi="Times New Roman CYR" w:cs="Times New Roman CYR"/>
          <w:sz w:val="28"/>
          <w:szCs w:val="28"/>
        </w:rPr>
        <w:t>2014. - № 876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VII</w:t>
      </w:r>
      <w:r>
        <w:rPr>
          <w:rFonts w:ascii="Times New Roman CYR" w:hAnsi="Times New Roman CYR" w:cs="Times New Roman CYR"/>
          <w:sz w:val="28"/>
          <w:szCs w:val="28"/>
        </w:rPr>
        <w:t xml:space="preserve">. - Режим доступу: </w:t>
      </w:r>
      <w:r>
        <w:rPr>
          <w:rFonts w:ascii="Times New Roman CYR" w:hAnsi="Times New Roman CYR" w:cs="Times New Roman CYR"/>
          <w:sz w:val="28"/>
          <w:szCs w:val="28"/>
          <w:u w:val="single"/>
          <w:lang w:val="en-US"/>
        </w:rPr>
        <w:t>&lt;http://zakon3.rada.gov.ua&gt;</w:t>
      </w:r>
      <w:r>
        <w:rPr>
          <w:rFonts w:ascii="Times New Roman CYR" w:hAnsi="Times New Roman CYR" w:cs="Times New Roman CYR"/>
          <w:sz w:val="28"/>
          <w:szCs w:val="28"/>
        </w:rPr>
        <w:t xml:space="preserve"> 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laws</w:t>
      </w:r>
      <w:r>
        <w:rPr>
          <w:rFonts w:ascii="Times New Roman CYR" w:hAnsi="Times New Roman CYR" w:cs="Times New Roman CYR"/>
          <w:sz w:val="28"/>
          <w:szCs w:val="28"/>
        </w:rPr>
        <w:t xml:space="preserve"> 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show</w:t>
      </w:r>
      <w:r>
        <w:rPr>
          <w:rFonts w:ascii="Times New Roman CYR" w:hAnsi="Times New Roman CYR" w:cs="Times New Roman CYR"/>
          <w:sz w:val="28"/>
          <w:szCs w:val="28"/>
        </w:rPr>
        <w:t xml:space="preserve"> /876-18</w:t>
      </w:r>
    </w:p>
    <w:p w:rsidR="0050783F" w:rsidRDefault="00507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Закон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України </w:t>
      </w:r>
      <w:r>
        <w:rPr>
          <w:rFonts w:ascii="Times New Roman CYR" w:hAnsi="Times New Roman CYR" w:cs="Times New Roman CYR"/>
          <w:sz w:val="28"/>
          <w:szCs w:val="28"/>
        </w:rPr>
        <w:t xml:space="preserve">«Про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національну поліцію </w:t>
      </w:r>
      <w:r>
        <w:rPr>
          <w:rFonts w:ascii="Times New Roman CYR" w:hAnsi="Times New Roman CYR" w:cs="Times New Roman CYR"/>
          <w:sz w:val="28"/>
          <w:szCs w:val="28"/>
        </w:rPr>
        <w:t xml:space="preserve">[Текст].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Відомості Верховної </w:t>
      </w:r>
      <w:r>
        <w:rPr>
          <w:rFonts w:ascii="Times New Roman CYR" w:hAnsi="Times New Roman CYR" w:cs="Times New Roman CYR"/>
          <w:sz w:val="28"/>
          <w:szCs w:val="28"/>
        </w:rPr>
        <w:t xml:space="preserve">Ради, 2015. - № 40-41. - Режим доступу: </w:t>
      </w:r>
      <w:r>
        <w:rPr>
          <w:rFonts w:ascii="Times New Roman CYR" w:hAnsi="Times New Roman CYR" w:cs="Times New Roman CYR"/>
          <w:sz w:val="28"/>
          <w:szCs w:val="28"/>
          <w:u w:val="single"/>
          <w:lang w:val="en-US"/>
        </w:rPr>
        <w:t>&lt;http://zakon0.rada.gov.ua&gt;</w:t>
      </w:r>
      <w:r>
        <w:rPr>
          <w:rFonts w:ascii="Times New Roman CYR" w:hAnsi="Times New Roman CYR" w:cs="Times New Roman CYR"/>
          <w:sz w:val="28"/>
          <w:szCs w:val="28"/>
        </w:rPr>
        <w:t xml:space="preserve"> 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laws</w:t>
      </w:r>
      <w:r>
        <w:rPr>
          <w:rFonts w:ascii="Times New Roman CYR" w:hAnsi="Times New Roman CYR" w:cs="Times New Roman CYR"/>
          <w:sz w:val="28"/>
          <w:szCs w:val="28"/>
        </w:rPr>
        <w:t xml:space="preserve"> 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show</w:t>
      </w:r>
      <w:r>
        <w:rPr>
          <w:rFonts w:ascii="Times New Roman CYR" w:hAnsi="Times New Roman CYR" w:cs="Times New Roman CYR"/>
          <w:sz w:val="28"/>
          <w:szCs w:val="28"/>
        </w:rPr>
        <w:t xml:space="preserve"> /580-19</w:t>
      </w:r>
    </w:p>
    <w:sectPr w:rsidR="0050783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4A"/>
    <w:rsid w:val="0050783F"/>
    <w:rsid w:val="00F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3244</Words>
  <Characters>18491</Characters>
  <Application>Microsoft Office Word</Application>
  <DocSecurity>0</DocSecurity>
  <Lines>154</Lines>
  <Paragraphs>43</Paragraphs>
  <ScaleCrop>false</ScaleCrop>
  <Company/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2024-09-27T08:58:00Z</dcterms:created>
  <dcterms:modified xsi:type="dcterms:W3CDTF">2024-09-27T08:58:00Z</dcterms:modified>
</cp:coreProperties>
</file>