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bookmarkStart w:id="0" w:name="_GoBack"/>
      <w:bookmarkEnd w:id="0"/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cap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aps/>
          <w:sz w:val="28"/>
          <w:szCs w:val="28"/>
          <w:lang w:val="uk-UA"/>
        </w:rPr>
        <w:t>психологічне благополуччя особистостей, схильних та не схильних до заздрощів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Лісовенко А.Ф., аспірант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кафедри загальної та диференціальної психології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Південноукраїнський національний педагогічний університет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імені К.Д. Ушинського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У статті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надаються результати теоретико-емпіричного дослідження та аналізу кореляційних взаємозв’язків між психологічним благополуччям і схильністю до заздрощів, а також профілів показників психологічного благополуччя в групах досліджуваних із максимальною та мінім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альною схильністю до заздрощів.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Ключові слова: заздрість, схильність до заздрощів, заздрісність, психологічне благополуччя, особистість.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 статье даются результаты теоретико-эмпирического исследования и анализа корреляционных взаимосвязей между психологич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еским благополучием и склонностью к зависти, а также профилей показателей психологического благополучия в группах испытуемых с максимальной и минимальной склонностью к зависти.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Ключевые слова: зависть, склонность к зависти, завистливость, психологическое б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лагополучие, личность.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A.F. PSYCHOLOGICAL WELL-BEING OF INDIVIDUALS EXPOSED AND NOT EXPOSED TO ENVYarticle provided the results of theoretical and empirical research and analysis of the correlation relationships between psychological well-being and prone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to envy, and profiles of psychological well-being indicators in the groups studied with maximum and minimum tendency to envy.words: envy, proneness to envy, capability to envy, psychological well-being, personality.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Постановка проблеми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Для сучасного ук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раїнського суспільства характерні бурхливі політичні, культурні, економічні та правові зміни, що гостро впливають як на соціальні відносини, так і на внутрішній світ людини. Звертаючись до проблеми соціальної напруженості, слід згадати про зростання нерівн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ості та розшарування у суспільстві, значне зниження рівня життя та соціальну незахищеність більшої частини населення, зростання безробіття тощо. Це породжує збільшення числа стресогенних та конфліктних ситуацій, підвищення загального рівня тривожності член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ів нашого суспільства, загострення проблеми соціально-психологічного благополуччя. У цих умовах актуалізуються проблеми соціальної та психологічної дисгармонії, жорсткої конкуренції, гострої необхідності боротися за власне виживання, загострення почуття не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справедливості і переживання почуття заздрощів.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Аналіз останніх досліджень і публікацій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Інтерес дослідників до проблеми психології заздрощів в останні десятиліття значно посилився, про що свідчить ряд робіт, опублікованих як пострадянськими, так і зарубі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жними авторами (К.К. Муздибаєв, Т.В. Бескова, Р.М. Шаміонов, Л.С. Архангельська, О.Р. Бондаренко, У. Лукан, П. Куттер, Г. Шек та інші). У словниках і наукових джерелах існує інтерпретація заздрості на рівні переживань, емоцій, почуттів, установок тощо. Вод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ночас залежно від наукових підходів дослідників заздрість розглядалася як неприязно-вороже ставлення, агресивне прагнення, особлива форма тривоги, особлива форма фрустрації, захисна реакція, прояв мотивації досягнення, прояв нездорового перфекціонізму та 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арцисизму, прояв незрілості особистості тощо. Це знаходить своє відображення в різноманітті визначень поняття «заздрість», наприклад, «це почуття невдоволення, викликане бажанням володіння особистими якостями, соціальним статусом, продуктами матеріальної 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духовної діяльності, які є в розпорядженні інших людей, але відсутні у суб’єкта» [3, с. 116-167]; «прояв мотивації досягнення, при якій чиїсь реальні чи уявні переваги у надбанні соціальних благ сприймаються суб’єктом як загроза цінності «Я» і супроводжую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ться афективними переживаннями та діями» [1, с. 112]; «негативний стан психіки, що викликає, як правило, руйнівні для людини почуття, вчинки, діяння» [2, с. 5-9] тощо.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К.К. Муздибаєв вважає, що заздрість різноманітна і багатогранна, може проявлятися на різ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них рівнях: на рівні свідомості (як виявлення свого більш низького становища), на рівні емоційного переживання (почуття досади, роздратування або злості через таке положення), на рівні поведінки (руйнування, усунення предмета заздрості) [2, с.5]. Таким чин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ом, заздрість - збиткове почуття, що намагається заповнити порожнечу або який-небудь особистісний недолік, відсутність світоглядної, психологічної рівноваги і гармонії [2, с.12].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Отже, спираючись на літературні джерела з означеної проблематики, можна розрі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зняти заздрість як адекватну або неадекватну короткочасну реакцію, котра виникає в певних ситуаціях, як психічний стан і як стійку рису особистості - заздрісність. При цьому схильність до заздрощів може бути потенційною (зумовленою певним поєднанням рис ос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обистості, котрі сприяють і супроводжують заздрість), що проявляється за певних умов і обставин, а може бути і постійно діючою проявленою рисою особистості, близькою до патології (хронічна заздрісність). У дослідженні заздрісність розглядається як усталена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властивість особистості, котра проявляється пристрасним бажанням того, чим володіє об’єкт порівняння і характеризується специфічними емоціями (відчуття приниженості, злості, роздратування, гніву, неприязні, невдоволення, розчарування, печалі, зневіри тощо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); певними думками та міркуваннями стосовно себе та інших (думками про невдоволеність матеріальним становищем, статусом, якостями, життям в цілому, нестачі чого-небудь, думки про власну неповноцінність, або ж незаслуженість переваг об’єкта заздрості, побаж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ання зла супернику, думки про помсту); проявами специфічної поведінки (суперництво або конкуренція, недоброзичливість, злобливість, дратівливість, депресивність, апатія, підозрілість, плітки, сарказм, ігнорування, підлі вчинки відносно об’єкту заздрощів) [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4, с.72-75].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Отже, теоретичний аналіз поняття заздрісності дає змогу зробити припущення, що схильність до переживання заздрощів певним чином пов’язана з психологічним неблагополуччям особистості.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Благополуччя як таке є складним взаємозв’язком духовних, пси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хологічних, культурних, соціальних, економічних та фізичних чинників.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Найбільш часто у психологічно благополучної особистості психологи виділяють такі риси, як інтерес до навколишнього світу, наявність близьких контактів з оточуючими, спрямованість на сусп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ільно корисну справу, духовність, гармонійність, цілісність особистості, орієнтація на саморозвиток. Та відчуття психологічного благополуччя особистості за своєю природою є суб’єктивним, оскільки задоволеність життям пов’язана з оцінкою наближення до бажан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ого, ідеального життя як сукупності еталонів у житті людини, з якими вона порівнює власне життя. Отже, психологічне благополуччя можна розглядати як душевний комфорт, відчуття внутрішньої гармонії, цілісності та рівноваги, задоволеності собою та своєю діял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ьністю.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 сьогодні поняття психологічного благополуччя розуміється по-різному, але ці тлумачення можна об’єднати у два взаємодоповнюючих підходи: гедоністичний та евдемоністичний [6]. У межах гедоністичних теорій (Н. Бредбьорн, Е. Дінер) психологічне благ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ополуччя визначається через досягнення задоволення і уникнення незадоволення та розуміється як «суб’єктивне благополуччя» або «щастя і задоволення від життя». При цьому виділяється когнітивна (інтелектуальна оцінка задоволеності різними сферами свого життя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) та емоційна (наявність поганого чи хорошого настрою) сторони самоприйняття [7]. В евдемоністичній теорії (А. Вотермен) психологічне благополуччя описується як максимальна самореалізація людини в конкретних життєвих умовах і обставинах, оптимальна узгодже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ність між відповідністю запитам соціального оточення та розвитком власної і ндивідуальності ( проявом свого справжнього Я). Відповідно до цього підходу особистісне зростання та самоприйняття вважаються головними аспектами психологічного благополуччя. Таким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чином, гедоністичні теорії близькі до когнітивного напряму в психології, а евдемоністичні - до гуманістичного [6].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Використовуючи надбання вищезгаданих теорій, спираючись на узагальнення проблеми позитивного психологічного функціонування особистості (теор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ій А. Маслоу, К. Роджерса, К.Г. Юнга, Е. Еріксона, М. Яходи), К. Ріфф розробила багатокомпонентну модель психологічного благополуччя, що включає такі складові психологічного благополуччя: самоприйняття, позитивні відносини з оточуючими, автономія, керуванн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я оточенням, мета в житті, особистісне зростання [8, с. 367]. Отже, під психологічним благополуччям ми, слідом за К. Ріфф, розуміємо «базовий суб’єктивний конструкт, що відображає сприйняття і оцінку свого функціонування з точки зору вершини потенційних мо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жливостей людини» [8].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Спираючись на теорію К. Ріфф, П.П. Фе- сенко і Т.Д. Шевеленкова запропонували розуміти психологічне благополуччя особистості як доволі складне переживання людиною задоволення власним життям, що відображає одночасно як актуальні, так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 потенційні аспекти життя особистості (пов’язані з базовими людськими цінностями і потребами). На основі складного переживання людиною задоволеності власним життям авторами було виділено «актуальне психологічне благополуччя» і «ідеальне психологічне благо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получчя», в якому уявлення про «ідеальне» виступає глобальним інструментом оцінки людиною свого буття [6, с. 105]. При цьому необхідно зазначити, що, оскільки ця внутрішня оцінка формується в процесі засвоєння людиною наявних в соціумі і культурі уявлень,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то, вочевидь, вона залежить від соціальної норми та соціально-культурного ідеалу особистості.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Для нас особливий інтерес представляє, яким чином переживання почуття заздрощів впливає на психологічне благополуччя особистості.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Постановка завдання. На основі 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икладеного можна сформулювати завдання дослідження, яке полягає у викладі результатів дослідження психологічного благополуччя особистостей, схильних і не схильних до заздрощів.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Виклад основного матеріалу дослідження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FFFFFF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FFFFFF"/>
          <w:sz w:val="28"/>
          <w:szCs w:val="28"/>
          <w:lang w:val="uk-UA"/>
        </w:rPr>
        <w:t>психологічний благополуччя заздрощі схи</w:t>
      </w:r>
      <w:r>
        <w:rPr>
          <w:rFonts w:ascii="Times New Roman CYR" w:hAnsi="Times New Roman CYR" w:cs="Times New Roman CYR"/>
          <w:color w:val="FFFFFF"/>
          <w:sz w:val="28"/>
          <w:szCs w:val="28"/>
          <w:lang w:val="uk-UA"/>
        </w:rPr>
        <w:t>льність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 метою діагностики заздрісності були застосовані оригінальний тест-опитувальник «Диференціальна діагностика схильності особистості до заздрощів» (ДІЗА) та опитувальник «Соціальні настанови особистості відносно заздрощів» О.П. Саннікової, А.Ф. Лісо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венко, за допомогою котрих можна виявити як структурні компоненти переживання почуття заздрощів, так і загальний показник заздрісності. Задля діагностики вираження основних складових актуального психологічного благополуччя (на відміну від благополуччя поте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нційного) була застосована методика «Шкала психологічного благополуччя» К. Ріфф, в адаптації П.П. Фесенко, Т.Д. Шевеленкової [6, с. 95-130]. Слід зазначити, що цей варіант методики має найвищу психометричну надійність.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Дослідження проводилося на базі Півде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нноукраїнського національного педагогічного університету імені К.Д. Ушинського (м. Одеса). В ньому брали участь студенти першого курсу денної форми навчання за різними спеціальностями, а також слухачі денної та заочної форм навчання факультету післядипломн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ої освіти відділення перепідготовки кадрів зі спеціальності «Психологія». Вік досліджуваних: від 17 до 45 років; загальна кількість: 253 особи. Обробка даних здійснювалася за допомогою кількісного (метод кореляції за Спірменом) та якісного (метод «асів» 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«профілів») аналізу.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таблиці 1 наведені значимі кореляційні зв’язки між показниками заздрощів і психологічного благополуччя.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Таблиця 1 Значущі коефіцієнти кореляцій між показниками заздрощів і психологічного благополуччя</w:t>
      </w:r>
    </w:p>
    <w:tbl>
      <w:tblPr>
        <w:tblW w:w="0" w:type="auto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1200"/>
        <w:gridCol w:w="959"/>
        <w:gridCol w:w="1205"/>
        <w:gridCol w:w="1200"/>
        <w:gridCol w:w="1200"/>
        <w:gridCol w:w="1205"/>
        <w:gridCol w:w="121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гет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гкд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гру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гмі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гкя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г7ад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ПБ1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-369**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-361**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-400**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-273**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-359**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-326**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-415**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ПБ2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-209**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-311**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-273**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-338**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-388**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-357**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-385**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ПБ3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-268**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-333**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-448**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-247**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-352**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-301**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-407**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ПБ4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-177**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-168**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-201**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-207**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-279**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-197**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ПБ5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-130*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-159*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-214**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-162**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-175**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-179**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ПБ6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-320**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-317**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-475**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-234**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-348**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-260**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-408**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ПБ7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-168**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-268**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-138*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ПБ8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-131*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-170**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-231**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-198**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-268**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-209**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ПБ9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-183**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-210**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-232**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-157*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-201**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-292**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-236**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ПБ10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-331**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-358**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-449**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-273**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-399**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-365**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-438**</w:t>
            </w:r>
          </w:p>
        </w:tc>
      </w:tr>
    </w:tbl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Примітка: 1) нулі та 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оми опущені; 2) позначення ** - значущість зв’язку на 1% рівні; позначення * - значущість зв’язку на 5% рівні; 3) компоненти заздрісності: г№1 - настановний, гет - емоційний, гКд - когнітивний, гРу - поведінковий, гмі - мотиваційний, гКЯ - контрольно-регул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ятивний, г7ад - загальний показник заздрісності; 4) позначення показників психологічного благополуччя: ПБ1 - позитивні стосунки, ПБ2 - автономія, ПБ3 - керування середовищем, ПБ4 - особистісне зростання, ПБ5 - цілі в житті, ПБ6 - самоприйняття, ПБ7 - балан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 афекту, ПБ8 - осмисленість життя, ПБ9 - людина як відкрита система, ПБ10 - індекс психологічного благополуччя.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Аналіз таблиці показує наявність тільки від’ємних значимих на 1% і 5% рівні зв’язків, отриманих між майже усіма показниками заздрощів і майже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усіма показниками психологічного благополуччя. Це свідчить про те, що зі зменшенням рівня вираження складових психологічного благополуччя підвищуються показники заздрощів (настановний, емоційний, когнітивний, поведінковий, мотиваційний). І навпаки, зі зрос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танням заздрісності знижуються показники психологічного благополуччя: позитивні стосунки, самоприйняття, керування середовищем, автономія, особистісне зростання, людина як відкрита система, цілі в житті, осмисленість життя. Також психологічне неблагополучч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я супроводжується зниженням здатності контролювати прояви заздрощів особистістю, оскільки за теоретичним конструктом методики ДІЗА, високі значення показника 7КЯ свідчать про невміння контролювати свою заздрість.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Неочікуваним виявився зворотний значимий зв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’язок показника психологічного благополуччя «баланс афекту» із деякими показниками заздрісності (когнітивним, контрольно-регулятивним і загальним показниками). За теоретичним конструктом методики «Шкала психологічного благополуччя», високі бали цієї шкали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свідчать про негативний афект, а низькі - про позитивний афект. Таким чином, за результатами кореляційного аналізу, позитивна самооцінка, впевненість в собі та власних силах, висока думка про власні можливості, почуття компетентності в управлінні повсякден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ними справами супроводжуються збільшенням думок і роздумів про заздрощі, деяким підвищенням схильності до заздрощів, а також зниженням контролю над ними. А негативна самооцінка, відчуття власної нікчемності і безсилля, невіра у власні сили, недооцінка влас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них здібностей супроводжуються зменшенням заздрісних думок та підвищенням контрольованості заздрощів. З одного боку, це суперечить отриманому у цьому ж дослідженні зворотному зв’язку заздрісності з самоприйняття (-408**), але з іншого боку, це можна поясни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ти наявністю у осіб, схильних до заздрощів, нестабільної самооцінки (то надто завищеної, то занадто низької), про що зазначали деякі дослідники заздрощів.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Перейдемо до якісного аналізу результатів. На основі даних, отриманих із застосуванням оригінальних 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етодик, з обраного контингенту за допомогою методу «асів» [5] було виділено 2 групи досліджуваних:</w:t>
      </w:r>
    </w:p>
    <w:p w:rsidR="00000000" w:rsidRDefault="000E5921">
      <w:pPr>
        <w:widowControl w:val="0"/>
        <w:tabs>
          <w:tab w:val="left" w:pos="33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з максимальними значеннями загального показника заздрощів, 2) з мінімальними значеннями загального показника заздрощів. Попередньо отримані результати цьо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го емпіричного дослідження були переведені у самоприйня, що дало змогу виявити як високі (від 75 до 100 процентиль), так і низькі значення загального показника заздрощів (від 1 до 25 процентиль). Отже, на рис. 1 зображені профілі показників психологічного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благополуччя у досліджуваних з максимальними (n=64) та мінімальними (n=66) значеннями загального показника заздрощів.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Значення конкретних показників у профілі є середнім арифметичним значенням, котре отримане усіма представниками кожної групи. На осі ОХ ві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дмічені показники психологічного благополуччя, на осі ОУ - їхні значення. Середня лінія ряду проходить через 50-й процентиль. Ступінь вираження того чи того показника визначається за його відхиленням від середньої лінії ряду. Значення показників, що розташ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овані у просторі вище середньої лінії ряду (50-75 процентиль), характеризують тенденцію до додатного полюсу параметру, що вивчається, або високу ступінь вираження означених показників. Значення показників нижче середньої лінії ряду (50-25 процентиль) свідч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ать про тенденцію до слабкого його вираження або ж слабке вираження показника.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Спочатку розглянемо кожний профіль окремо для того, щоб виявити домінуючі тенденції цих показників, а потім їх порівняємо.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Аналіз профілів (див. рис. 1) свідчить про те, що в гр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упі з максимальними значеннями загального показника заздрощів спостерігаються знижені значення за багатьма показниками психологічного благополуччя, а в групі з мінімальними значеннями загального показника заздрощів спостерігаються підвищені значення багать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ох факторів. У цілому профілі свідчать про протилежні тенденції у проявах визначених властивостей особистості у представників виділених груп.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</w:p>
    <w:p w:rsidR="00000000" w:rsidRDefault="008259F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4572000" cy="2781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Примітка: групи досліджуваних: ЗПЗ max - з максимальними значеннями загально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го показника заздрощів; ЗПЗ min - з мінімальними значеннями загального показника заздрощів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Рис. 1. Профілі психологічного благополуччя в групах досліджуваних з максимальними та мінімальними значеннями загального показника заздрощів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Далі (див. табл. 2) про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ранжуємо найбільш виражені показники кожного профілю по їхньому відхиленню від середньої лінії ряду зі зменшенням значень, що дасть змогу упорядкувати домінуючі показники й описати індивідуально-психологічні особливості представників кожної групи.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Таблиця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2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Найбільш виражені показники кожного профілю за відхиленням значень від середньої лінії ряду</w:t>
      </w:r>
    </w:p>
    <w:tbl>
      <w:tblPr>
        <w:tblW w:w="0" w:type="auto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4315"/>
        <w:gridCol w:w="424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Ранг</w:t>
            </w:r>
          </w:p>
        </w:tc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Група 1 (ЗПЗ max)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Група 2 (ЗПЗ min)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ПБ3- (керування середовищем)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ПБ10+ (індекс психологічного благополуччя)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ПБ10- (індекс психологічного благополуччя)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ПБ6+ (самоприйняття)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ПБ6- (самоприйняття)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ПБ3+ (керування середовищем)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ПБ1-(позитивні стосунки)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ПБ2+ (автономія)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ПБ2- (автономія)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ПБ1+ (позитивні стосунки)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</w:t>
            </w:r>
          </w:p>
        </w:tc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ПБ8- (осмисленість життя)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E59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ПБ9+ (людина як відкрита система)</w:t>
            </w:r>
          </w:p>
        </w:tc>
      </w:tr>
    </w:tbl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Отже, дамо характеристику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представників групи з максимальними значеннями загального показника заздрощів (ЗПЗ max), спираючись на рис.1 і табл.2, а також на характеристики складових психологічного благополуччя [6]. За результатами дослідження, особистості з більшою схильністю до заз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дрощів характеризуються такими особливостями:</w:t>
      </w:r>
    </w:p>
    <w:p w:rsidR="00000000" w:rsidRDefault="000E5921">
      <w:pPr>
        <w:widowControl w:val="0"/>
        <w:tabs>
          <w:tab w:val="left" w:pos="54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Arial CYR" w:hAnsi="Arial CYR" w:cs="Arial CYR"/>
          <w:color w:val="000000"/>
          <w:lang w:val="uk-UA"/>
        </w:rPr>
        <w:t>-</w:t>
      </w:r>
      <w:r>
        <w:rPr>
          <w:rFonts w:ascii="Arial CYR" w:hAnsi="Arial CYR" w:cs="Arial CYR"/>
          <w:color w:val="000000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зазнають труднощів в організації повсякденної діяльності, відчувають себе нездатним змінити або поліпшити оточуючі обставини, нерозважливо відносяться до життєвих можливостей, позбавлені почуття контролю над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тим, що відбувається навколо (ПБ3-);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Arial CYR" w:hAnsi="Arial CYR" w:cs="Arial CYR"/>
          <w:color w:val="000000"/>
          <w:lang w:val="uk-UA"/>
        </w:rPr>
        <w:t>-</w:t>
      </w:r>
      <w:r>
        <w:rPr>
          <w:rFonts w:ascii="Arial CYR" w:hAnsi="Arial CYR" w:cs="Arial CYR"/>
          <w:color w:val="000000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мають низький рівень актуального психологічного благополуччя - суб’єктивного самовідчуття цілісності і осмисленості свого життя (ПБ10-);</w:t>
      </w:r>
    </w:p>
    <w:p w:rsidR="00000000" w:rsidRDefault="000E5921">
      <w:pPr>
        <w:widowControl w:val="0"/>
        <w:tabs>
          <w:tab w:val="left" w:pos="5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Arial CYR" w:hAnsi="Arial CYR" w:cs="Arial CYR"/>
          <w:color w:val="000000"/>
          <w:lang w:val="uk-UA"/>
        </w:rPr>
        <w:t>-</w:t>
      </w:r>
      <w:r>
        <w:rPr>
          <w:rFonts w:ascii="Arial CYR" w:hAnsi="Arial CYR" w:cs="Arial CYR"/>
          <w:color w:val="000000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незадоволені собою, розчаровані подіями свого минулого, відчувають занепокоєнн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я і засудження з приводу деяких особистих якостей, можуть не усвідомлювати або пригнічувати певні переживання в собі, бажають бути не тим, ким вони є насправді (ПБ6-);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Arial CYR" w:hAnsi="Arial CYR" w:cs="Arial CYR"/>
          <w:color w:val="000000"/>
          <w:lang w:val="uk-UA"/>
        </w:rPr>
        <w:t>-</w:t>
      </w:r>
      <w:r>
        <w:rPr>
          <w:rFonts w:ascii="Arial CYR" w:hAnsi="Arial CYR" w:cs="Arial CYR"/>
          <w:color w:val="000000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мають обмежену кількість довірчих відносин з оточуючими: їм складно бути відкритим, пр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оявляти теплоту і піклуватися про інших; в міжособистісних взаєминах бувають ізольовані і фрустровані; не бажають йти на компроміси для підтримки важливих зв’язків з оточуючими (пБі-);</w:t>
      </w:r>
    </w:p>
    <w:p w:rsidR="00000000" w:rsidRDefault="000E5921">
      <w:pPr>
        <w:widowControl w:val="0"/>
        <w:tabs>
          <w:tab w:val="left" w:pos="53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Arial CYR" w:hAnsi="Arial CYR" w:cs="Arial CYR"/>
          <w:color w:val="000000"/>
          <w:lang w:val="uk-UA"/>
        </w:rPr>
        <w:t>-</w:t>
      </w:r>
      <w:r>
        <w:rPr>
          <w:rFonts w:ascii="Arial CYR" w:hAnsi="Arial CYR" w:cs="Arial CYR"/>
          <w:color w:val="000000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залежать від думки і оцінки оточуючих, в прийнятті важливих рішень по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кладаються на думку інших, піддаються спробам суспільства змусити думати і діяти певним чином (ПБ2-);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Arial CYR" w:hAnsi="Arial CYR" w:cs="Arial CYR"/>
          <w:color w:val="000000"/>
          <w:lang w:val="uk-UA"/>
        </w:rPr>
        <w:t>-</w:t>
      </w:r>
      <w:r>
        <w:rPr>
          <w:rFonts w:ascii="Arial CYR" w:hAnsi="Arial CYR" w:cs="Arial CYR"/>
          <w:color w:val="000000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цим особистостям притаманна недостатність або повна відсутність усвідомленості життя. Минуле і сьогодення сприймаються ними як безглузді. Переважає почу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ття нудьги і безцільності існування та відсутність видимих життєвих перспектив, які б мали для них достатню привабливість (ПБ8-).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Особистості з меншою схильністю до заздрощів характеризуються високим рівнем актуального психологічного благополуччя (ПБ10+);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позитивним ставленням до себе, знанням і прийняттям різних сторін свого Я, включаючи хороші і погані якості, позитивною оцінкою свого минулого та оптимістичним поглядом на майбутнє (ПБ6+); компетентністю в управлінні оточенням, здатністю контролювати зовні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шню діяльність, ефективним використанням можливостей, здатністю вловлювати або створювати умови і обставини, що сприяють задоволенню особистих потреб та досягненню цілей (ПБ3+); самостійністю та незалежністю, здатністю протистояти спробам суспільства змуси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ти думати і діяти певним чином; саморегуляцією поведінки та оцінюванням себе відповідно до особистих критеріїв (ПБ2+); наявністю задовольняючих, довірчих відносин з оточуючими; піклуванням про благополуччя інших; здатністю співпереживати, наявністю прихиль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ностей та розумінням, що людські стосунки будуються на взаємних поступках (ПБ1+); високою здатністю засвоювати нову інформацію; сформованим цілісним, реалістичним поглядом на життя, відкритістю новому досвіду, безпосередністю і природністю переживань (ПБ9+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).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Отже, заздрісність можна розглядати як чинник, що руйнує психологічне благополуччя, а відсутність психологічного благополуччя, в свою чергу, цілком може стати причиною схильності до заздрощів. У цілому результати дослідження підтверджують і значно розши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рюють психологічні уявлення про особистостей, котрі схильні або не схильні до переживання заздрощів. Уточнення потребує характер зв’язку заздрісності з самооцінкою.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Висновки з проведеного дослідження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 наведеного вище можна зробити такі висновки.</w:t>
      </w:r>
    </w:p>
    <w:p w:rsidR="00000000" w:rsidRDefault="000E5921">
      <w:pPr>
        <w:widowControl w:val="0"/>
        <w:tabs>
          <w:tab w:val="left" w:pos="61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Тео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ретично встановлено, що заздрісність можна розглядати як усталену властивість особистості, котра проявляється пристрасним бажанням того, чим володіє об’єкт порівняння, і характеризується специфічними емоціями, думками та міркуваннями стосовно себе та інших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 що проявляється у специфічній поведінці.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2)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Для пошуку співвідношення показників схильності до заздрощів з психологічним благополуччям в емпіричному дослідженні було застосовано оригінальний тест-опитувальник «Диференціальна діагностика схильності особис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тості до заздрощів» (ДІЗА) та опитувальник «Соціальні настанови особистості відносно заздрощів» О.П. Саннікової, А.Ф. Лісовенко, методику «Шкала психологічного благополуччя» К. Ріфф (в адаптації П.П. Фесенко, Т.Д. Шевеленкової).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Отримані значимі кореляці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йні взаємозв’язки від’ємного знаку між показниками заздрісності та усіма показниками психологічного благополуччя. Проаналізовано профілі психологічного благополуччя в групах досліджуваних з максимальними та мінімальними значеннями загального показника зазд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рощів, на основі чого надані «психологічні портрети» особистостей, схильних та не схильних до переживання заздрощів.</w:t>
      </w:r>
    </w:p>
    <w:p w:rsidR="00000000" w:rsidRDefault="000E5921">
      <w:pPr>
        <w:widowControl w:val="0"/>
        <w:tabs>
          <w:tab w:val="left" w:pos="6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4)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Емпірично доведено, що особистості, котрі більшою мірою схильні до заздрощів, характеризуються низьким контролем над середовищем і обста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винами свого життя, відчуттям суб’єктивного неблагополуччя, неприйняттям певних якостей в собі, обмеженістю позитивних стосунків з оточуючими, залежністю від думки й оцінки інших, недостатньою осмисленістю життя та власних цілей у ньому.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5)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Подальшого наук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ового пошуку потребує дослідження зв’язку схильності до переживання заздрощів з типом емоційності та іншими індивідуально-психологічними особливостями особистості.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Література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0E5921">
      <w:pPr>
        <w:widowControl w:val="0"/>
        <w:tabs>
          <w:tab w:val="left" w:pos="54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Головин С.Ю. Словарь практического психолога / С.Ю. Головин. - Минск : Харвес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т, 1998. - 112 с.</w:t>
      </w:r>
    </w:p>
    <w:p w:rsidR="00000000" w:rsidRDefault="000E5921">
      <w:pPr>
        <w:widowControl w:val="0"/>
        <w:tabs>
          <w:tab w:val="left" w:pos="55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2.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Муздыбаев К.К. Психология зависти / К.К. Му- здыбаев // Психологический журнал. - 1997. - Т 18. - № 6. - С. 3-12.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3.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Ребер А. Большой толковый психологический словарь / А. Ребер.- М. : ВЕЧЕ, 2002.- 358 с.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4.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Саннікова О.П. Уявлення сту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дентів про феномен «заздрість» / О.П. Саннікова, А.Ф. Лісовенко // Science and education a new dimension. Pedagogy and Psychology, III (29). - 2015. - Issue: 57. - P. 72-75. - [Електронний ресурс]. - Режим доступу : &lt;http://seanewdim.com/&gt; published-issues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.html.</w:t>
      </w:r>
    </w:p>
    <w:p w:rsidR="00000000" w:rsidRDefault="000E59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Санникова О.П. Эмоциональность в структуре личности / О.П. Санникова. - Одесса : Хорс, 1995. - 364 с.</w:t>
      </w:r>
    </w:p>
    <w:p w:rsidR="00000000" w:rsidRDefault="000E5921">
      <w:pPr>
        <w:widowControl w:val="0"/>
        <w:tabs>
          <w:tab w:val="left" w:pos="55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6.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 xml:space="preserve">Шевеленкова Т.Д. Психологическое благополучие личности (обзор основных концепций и методика исследования) / Т.Д. Шевеленкова, П.П. Фесенко //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Психологическая диагностика. - 2005. - № 3. - С. 95-129.</w:t>
      </w:r>
    </w:p>
    <w:p w:rsidR="00000000" w:rsidRDefault="000E5921">
      <w:pPr>
        <w:widowControl w:val="0"/>
        <w:tabs>
          <w:tab w:val="left" w:pos="55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7.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Diener E. Measuring quality of life: Economic, social, and subjective indicators / E. Diener, E. Suh // Social Indicators Research. - 2013. - V 40. - № 1-2. - P. 189-216.</w:t>
      </w:r>
    </w:p>
    <w:p w:rsidR="000E5921" w:rsidRDefault="000E59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8.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 xml:space="preserve">Ryff C. The structure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of psychological well-being revisited / C. Ryff, C. Keyes // Journal of Personality and Social Psychology. - 1995. - № 69. - P. 719-727.</w:t>
      </w:r>
    </w:p>
    <w:sectPr w:rsidR="000E592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9FB"/>
    <w:rsid w:val="000E5921"/>
    <w:rsid w:val="0082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3568</Words>
  <Characters>20342</Characters>
  <Application>Microsoft Office Word</Application>
  <DocSecurity>0</DocSecurity>
  <Lines>169</Lines>
  <Paragraphs>47</Paragraphs>
  <ScaleCrop>false</ScaleCrop>
  <Company/>
  <LinksUpToDate>false</LinksUpToDate>
  <CharactersWithSpaces>23863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2</cp:revision>
  <dcterms:created xsi:type="dcterms:W3CDTF">2024-09-27T08:59:00Z</dcterms:created>
  <dcterms:modified xsi:type="dcterms:W3CDTF">2024-09-27T08:59:00Z</dcterms:modified>
</cp:coreProperties>
</file>