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882C" w14:textId="77777777" w:rsidR="002F75D2" w:rsidRPr="00802F8B" w:rsidRDefault="002F75D2" w:rsidP="00802F8B">
      <w:pPr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</w:rPr>
        <w:t>Введение</w:t>
      </w:r>
    </w:p>
    <w:p w14:paraId="1EF8CD9D" w14:textId="77777777" w:rsidR="00802F8B" w:rsidRDefault="00802F8B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</w:p>
    <w:p w14:paraId="49F4BA67" w14:textId="77777777" w:rsidR="00802F8B" w:rsidRDefault="002F75D2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Клиническая фармакология</w:t>
      </w:r>
      <w:r w:rsidR="003F57C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– наука, изучающая воздействие лекарственных средств на организм больного человека.</w:t>
      </w:r>
    </w:p>
    <w:p w14:paraId="4C9FEE5D" w14:textId="77777777" w:rsidR="00802F8B" w:rsidRDefault="003F57C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Клиническая фармакология имеет тесную связь с различными областями медицины и биологии. Успехи аналитической химии, создание высокочувс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вительной аппаратуры дали возможность определять в тканях и жидкостях</w:t>
      </w:r>
      <w:r w:rsidR="00C3077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организма лекарственные вещества в ничтожно малых количествах, исследовать их биотран</w:t>
      </w:r>
      <w:r w:rsidR="00C3077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="00C3077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формацию и выведение из организма. Знание этиологии и патогенеза заболев</w:t>
      </w:r>
      <w:r w:rsidR="00C3077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C3077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ния дает возможность не только создать необходимый лекарственный препарат, но и разработать методику его применения. Бол</w:t>
      </w:r>
      <w:r w:rsidR="00C3077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ь</w:t>
      </w:r>
      <w:r w:rsidR="00C3077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шое количество современных лекарственных препаратов, порой весьма близких по-своему</w:t>
      </w:r>
      <w:r w:rsidR="00B2196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действию, создают определенные трудности медици</w:t>
      </w:r>
      <w:r w:rsidR="00B2196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B2196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скому работнику в лечении. Фармакодинамика и фармакокинетика являются основными разделами клин</w:t>
      </w:r>
      <w:r w:rsidR="00B2196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B2196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ческой фармакологии.</w:t>
      </w:r>
    </w:p>
    <w:p w14:paraId="2E8843AC" w14:textId="77777777" w:rsidR="00802F8B" w:rsidRDefault="00B2196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Фармакодинамика изучает совокупность эффектов лекарственного вещес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ва и механизмов его действия, а фармакокинетика – пути поступления, ра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пределения, биотрансформации и выведения лекарств из организма челов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ка. Помимо этого, клиническая фармакология изучает побочные реакции, возникающие во время лечения, а также особенности действия 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лекарстве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ных веществ в различных условиях (детский и пожилой возраст, береме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ность, наличие сопутствующих заболеваний и др.), взаимодействие препар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тов при их совместном применении, влияние пищи на фармакокинетику л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карственных средств и др.</w:t>
      </w:r>
    </w:p>
    <w:p w14:paraId="3C98E7D0" w14:textId="77777777" w:rsidR="00802F8B" w:rsidRDefault="00F6752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Задачами клинической фармакологии являются:</w:t>
      </w:r>
    </w:p>
    <w:p w14:paraId="5101F798" w14:textId="77777777" w:rsidR="00F6752E" w:rsidRP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1) и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спытание новых фармакологических средств;</w:t>
      </w:r>
    </w:p>
    <w:p w14:paraId="538464AC" w14:textId="77777777" w:rsidR="00F6752E" w:rsidRP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2) р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азработка методов наиболее эффективного и безопасного применения л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F6752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карственных препаратов</w:t>
      </w:r>
      <w:r w:rsidR="00695F3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;</w:t>
      </w:r>
    </w:p>
    <w:p w14:paraId="19170E40" w14:textId="77777777" w:rsidR="00695F34" w:rsidRP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3) к</w:t>
      </w:r>
      <w:r w:rsidR="00695F3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линические исследования и переоценка старых препаратов;</w:t>
      </w:r>
    </w:p>
    <w:p w14:paraId="248A7914" w14:textId="77777777" w:rsid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lastRenderedPageBreak/>
        <w:t>4) и</w:t>
      </w:r>
      <w:r w:rsidR="00695F3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нформационное обеспечение и консультативная помощь медицинским р</w:t>
      </w:r>
      <w:r w:rsidR="00695F3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695F3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ботникам.</w:t>
      </w:r>
    </w:p>
    <w:p w14:paraId="6F53C735" w14:textId="77777777" w:rsidR="00695F34" w:rsidRPr="00802F8B" w:rsidRDefault="00695F34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Помимо теоретических задач, разрабатываемых клинической фармакол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гией, на практике она решает еще ряд вопросов:</w:t>
      </w:r>
    </w:p>
    <w:p w14:paraId="7C0E3F60" w14:textId="77777777" w:rsidR="00695F34" w:rsidRP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1) в</w:t>
      </w:r>
      <w:r w:rsidR="00695F3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ыбор лекарственных препаратов </w:t>
      </w:r>
      <w:r w:rsidR="00A9680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для лечения конкретного больного;</w:t>
      </w:r>
    </w:p>
    <w:p w14:paraId="49A24148" w14:textId="77777777" w:rsidR="00A96804" w:rsidRP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2) о</w:t>
      </w:r>
      <w:r w:rsidR="00A9680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пределение наиболее рациональных лекарственных форм и режима их пр</w:t>
      </w:r>
      <w:r w:rsidR="00A9680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A9680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менения;</w:t>
      </w:r>
    </w:p>
    <w:p w14:paraId="70AF4749" w14:textId="77777777" w:rsidR="00A96804" w:rsidRP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3) о</w:t>
      </w:r>
      <w:r w:rsidR="00A9680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пределение путей введения лекарственного вещества;</w:t>
      </w:r>
    </w:p>
    <w:p w14:paraId="0F4EBD73" w14:textId="77777777" w:rsidR="00A96804" w:rsidRP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4) н</w:t>
      </w:r>
      <w:r w:rsidR="00A9680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аблюдение за действием лекарственного средства;</w:t>
      </w:r>
    </w:p>
    <w:p w14:paraId="5AC6970E" w14:textId="77777777" w:rsid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5) п</w:t>
      </w:r>
      <w:r w:rsidR="00A9680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редупреждение и устранение побочных реакций и нежелательных последс</w:t>
      </w:r>
      <w:r w:rsidR="00A9680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A9680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вий взаимодействия лекарственных веществ.</w:t>
      </w:r>
    </w:p>
    <w:p w14:paraId="0F9DC95C" w14:textId="77777777" w:rsidR="000117E0" w:rsidRPr="00802F8B" w:rsidRDefault="001E7D36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1E7D36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Благодаря применению новых лекарственных средств значительно повысилась эффективность лечения многих заболеваний. Так применение Н - блокаторов гистаминовых рецепторов, ингибиторов Н</w:t>
      </w:r>
      <w:r w:rsidRPr="001E7D36">
        <w:rPr>
          <w:rStyle w:val="a3"/>
          <w:rFonts w:ascii="Arial Unicode MS" w:eastAsia="Arial Unicode MS" w:hAnsi="Arial Unicode MS" w:cs="Arial Unicode MS" w:hint="eastAsia"/>
          <w:b w:val="0"/>
          <w:color w:val="000000"/>
          <w:sz w:val="28"/>
          <w:szCs w:val="28"/>
        </w:rPr>
        <w:t>⁺</w:t>
      </w:r>
      <w:r w:rsidRPr="001E7D36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К</w:t>
      </w:r>
      <w:r w:rsidRPr="001E7D36">
        <w:rPr>
          <w:rStyle w:val="a3"/>
          <w:rFonts w:ascii="Arial Unicode MS" w:eastAsia="Arial Unicode MS" w:hAnsi="Arial Unicode MS" w:cs="Arial Unicode MS" w:hint="eastAsia"/>
          <w:b w:val="0"/>
          <w:color w:val="000000"/>
          <w:sz w:val="28"/>
          <w:szCs w:val="28"/>
        </w:rPr>
        <w:t>⁺</w:t>
      </w:r>
      <w:r w:rsidRPr="001E7D36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АТФ-азы, средств, оказывающих бактерицидное действие на Helicobacter pylori, препаратов, защищающих слизистую оболочку желудка и кишечника, гепатопротекторов значительно улучшило течение заболеваний пищеварительной системы.</w:t>
      </w:r>
      <w:r w:rsidR="009121C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Целью данной курсовой работы</w:t>
      </w:r>
      <w:r w:rsidR="000117E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является:</w:t>
      </w:r>
    </w:p>
    <w:p w14:paraId="334276A9" w14:textId="77777777" w:rsidR="000117E0" w:rsidRP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1) изучить характеристики препаратов, применяемых при нарушении секр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торной функции желудка, 12-перстной кишки и поджелудочной железы;</w:t>
      </w:r>
    </w:p>
    <w:p w14:paraId="17CEF9A1" w14:textId="77777777" w:rsid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2) изучить группы лекарственных препаратов, фармакологическое действие, 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зы, применение, форму выпуска и т. д.</w:t>
      </w:r>
    </w:p>
    <w:p w14:paraId="7A4B4CDB" w14:textId="77777777" w:rsidR="000117E0" w:rsidRPr="00802F8B" w:rsidRDefault="000117E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35D076AE" w14:textId="77777777" w:rsidR="00C25F62" w:rsidRDefault="00C25F62">
      <w:pPr>
        <w:rPr>
          <w:rStyle w:val="a3"/>
          <w:rFonts w:ascii="Times New Roman" w:hAnsi="Times New Roman"/>
          <w:color w:val="000000"/>
          <w:sz w:val="28"/>
        </w:rPr>
      </w:pPr>
      <w:r>
        <w:rPr>
          <w:rStyle w:val="a3"/>
          <w:rFonts w:ascii="Times New Roman" w:hAnsi="Times New Roman"/>
          <w:color w:val="000000"/>
          <w:sz w:val="28"/>
        </w:rPr>
        <w:br w:type="page"/>
      </w:r>
    </w:p>
    <w:p w14:paraId="1965B446" w14:textId="77777777" w:rsidR="007E6C20" w:rsidRPr="00802F8B" w:rsidRDefault="005C1D89" w:rsidP="00C25F62">
      <w:pPr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</w:rPr>
        <w:t>1.</w:t>
      </w:r>
      <w:r w:rsidR="00C25F62" w:rsidRPr="00C25F62">
        <w:rPr>
          <w:rStyle w:val="a3"/>
          <w:rFonts w:ascii="Times New Roman" w:hAnsi="Times New Roman"/>
          <w:color w:val="000000"/>
          <w:sz w:val="28"/>
        </w:rPr>
        <w:t xml:space="preserve"> </w:t>
      </w:r>
      <w:r w:rsidR="009C08BD" w:rsidRPr="00802F8B">
        <w:rPr>
          <w:rStyle w:val="a3"/>
          <w:rFonts w:ascii="Times New Roman" w:hAnsi="Times New Roman"/>
          <w:color w:val="000000"/>
          <w:sz w:val="28"/>
        </w:rPr>
        <w:t>Средства, применяемые при сниженной функции желёз желудка</w:t>
      </w:r>
    </w:p>
    <w:p w14:paraId="6DC1AAB5" w14:textId="77777777" w:rsidR="00802F8B" w:rsidRDefault="00802F8B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</w:p>
    <w:p w14:paraId="39BED452" w14:textId="77777777" w:rsidR="00802F8B" w:rsidRDefault="009C08BD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Основными компонентами желудочного сок</w:t>
      </w:r>
      <w:r w:rsidR="00690AF8" w:rsidRPr="00802F8B">
        <w:rPr>
          <w:rStyle w:val="a3"/>
          <w:rFonts w:ascii="Times New Roman" w:hAnsi="Times New Roman"/>
          <w:color w:val="000000"/>
          <w:sz w:val="28"/>
          <w:szCs w:val="28"/>
        </w:rPr>
        <w:t>а являются соляная кислота</w:t>
      </w:r>
      <w:r w:rsidR="00A676F6"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 (пр</w:t>
      </w:r>
      <w:r w:rsidR="00A676F6" w:rsidRPr="00802F8B">
        <w:rPr>
          <w:rStyle w:val="a3"/>
          <w:rFonts w:ascii="Times New Roman" w:hAnsi="Times New Roman"/>
          <w:color w:val="000000"/>
          <w:sz w:val="28"/>
          <w:szCs w:val="28"/>
        </w:rPr>
        <w:t>о</w:t>
      </w:r>
      <w:r w:rsidR="00A676F6" w:rsidRPr="00802F8B">
        <w:rPr>
          <w:rStyle w:val="a3"/>
          <w:rFonts w:ascii="Times New Roman" w:hAnsi="Times New Roman"/>
          <w:color w:val="000000"/>
          <w:sz w:val="28"/>
          <w:szCs w:val="28"/>
        </w:rPr>
        <w:t>ду</w:t>
      </w:r>
      <w:r w:rsidR="00A676F6" w:rsidRPr="00802F8B">
        <w:rPr>
          <w:rFonts w:ascii="Times New Roman" w:hAnsi="Times New Roman"/>
          <w:color w:val="000000"/>
          <w:sz w:val="28"/>
          <w:szCs w:val="28"/>
        </w:rPr>
        <w:t>цируется обкладочными клетками), пепсиногены</w:t>
      </w:r>
      <w:r w:rsidR="00C25F62" w:rsidRPr="00C25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76F6" w:rsidRPr="00802F8B">
        <w:rPr>
          <w:rFonts w:ascii="Times New Roman" w:hAnsi="Times New Roman"/>
          <w:color w:val="000000"/>
          <w:sz w:val="28"/>
          <w:szCs w:val="28"/>
        </w:rPr>
        <w:t>(продуцируемые главными клетками), а также муцин( продуцируемый добавочными клетками). При гипо</w:t>
      </w:r>
      <w:r w:rsidR="00A676F6" w:rsidRPr="00802F8B">
        <w:rPr>
          <w:rFonts w:ascii="Times New Roman" w:hAnsi="Times New Roman"/>
          <w:color w:val="000000"/>
          <w:sz w:val="28"/>
          <w:szCs w:val="28"/>
        </w:rPr>
        <w:t>а</w:t>
      </w:r>
      <w:r w:rsidR="00A676F6" w:rsidRPr="00802F8B">
        <w:rPr>
          <w:rFonts w:ascii="Times New Roman" w:hAnsi="Times New Roman"/>
          <w:color w:val="000000"/>
          <w:sz w:val="28"/>
          <w:szCs w:val="28"/>
        </w:rPr>
        <w:t>цидных и анацидных гастритах может снижаться или, соответственно, полностью отсутствовать секреция соляной кислоты</w:t>
      </w:r>
      <w:r w:rsidR="00C25F62" w:rsidRPr="00C25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76F6" w:rsidRPr="00802F8B">
        <w:rPr>
          <w:rFonts w:ascii="Times New Roman" w:hAnsi="Times New Roman"/>
          <w:color w:val="000000"/>
          <w:sz w:val="28"/>
          <w:szCs w:val="28"/>
        </w:rPr>
        <w:t>(ахлоргидрия), а также может происх</w:t>
      </w:r>
      <w:r w:rsidR="00A676F6" w:rsidRPr="00802F8B">
        <w:rPr>
          <w:rFonts w:ascii="Times New Roman" w:hAnsi="Times New Roman"/>
          <w:color w:val="000000"/>
          <w:sz w:val="28"/>
          <w:szCs w:val="28"/>
        </w:rPr>
        <w:t>о</w:t>
      </w:r>
      <w:r w:rsidR="00A676F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дить снижение секреции соляной кислоты и пепсина(ахилия). Ахилия может н</w:t>
      </w:r>
      <w:r w:rsidR="00A676F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A676F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блюдаться при раке желудка, злока</w:t>
      </w:r>
      <w:r w:rsidR="007E6C2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чественной анемии и т.д.</w:t>
      </w:r>
    </w:p>
    <w:p w14:paraId="68E41D49" w14:textId="77777777" w:rsidR="00802F8B" w:rsidRDefault="009C2CD9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недостаточности секреции желудочного сока для улучшения переварив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ния пищи назначают в качестве заместительной терапии натуральный желудо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ный сок, пепсин, кислоту хлористоводородную разведенную.</w:t>
      </w:r>
    </w:p>
    <w:p w14:paraId="12446F03" w14:textId="77777777" w:rsidR="00802F8B" w:rsidRDefault="009C2CD9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Натуральный желудочный сок (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Succus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gastricus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naturalis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) </w:t>
      </w:r>
      <w:r w:rsidR="00155D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содержит все выд</w:t>
      </w:r>
      <w:r w:rsidR="00155D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155D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ляемые железами желудка ферменты, его pH варьирует от 0,8 до 1,2.Препарат получают от здоровых собак (при мнимом кормлении) или лошадей.</w:t>
      </w:r>
    </w:p>
    <w:p w14:paraId="6663725F" w14:textId="77777777" w:rsidR="00802F8B" w:rsidRDefault="00155D1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Применяют при недостаточности функции желез желудка, ахилии, диспепсиях, гипо- и анацидных гастритах. Назначают препарат по 1 ст. ложке</w:t>
      </w:r>
      <w:r w:rsidR="009E259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во время или сразу после еды.</w:t>
      </w:r>
    </w:p>
    <w:p w14:paraId="10278DC4" w14:textId="77777777" w:rsidR="00802F8B" w:rsidRDefault="009E2594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Пепсин (Pepsinum)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– протеолитический фермент, получаемый из слизистой об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лочки желудка свиней или телят. Пепсин расщепляет белки на пептиды. Он акт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вен только при pH = 1, 5-4, 0; поэтому применение его при хронических гипо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цидных гастритах, осуществляют вместе с соляной кислотой.</w:t>
      </w:r>
    </w:p>
    <w:p w14:paraId="58765737" w14:textId="77777777" w:rsidR="009E2594" w:rsidRPr="00802F8B" w:rsidRDefault="009E2594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Пепсин в виде порошка назначают перед едой 3-4 раза в день по 0, 3 – 0, 5 на прием; во время еды в порошке или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1 – 3% растворе соляной кислоты</w:t>
      </w:r>
      <w:r w:rsidR="00B7119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4EFCCFF7" w14:textId="77777777" w:rsidR="00802F8B" w:rsidRDefault="00B7119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Ацидин – пепсин (бетацин)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выпускается в таблетках по 0,25 и 0,5 , каждая из 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торых содержит одну часть пепсина и четыре части ацидина, последний, гидр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лизуясь, выделяет свободную соляную кислоту.</w:t>
      </w:r>
    </w:p>
    <w:p w14:paraId="53C321A7" w14:textId="77777777" w:rsidR="00802F8B" w:rsidRDefault="00B7119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Применяют препарат по тем же показаниям, что и пепсин, и натуральный жел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дочный сок. Таблетку ацидин-пепсина растворяют в 1</w:t>
      </w:r>
      <w:r w:rsidR="005C1D8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/3 стакане воды. Назначают препарат 3 – 4 раза в день во время или после еды. Курс лечения 30-45 дней.</w:t>
      </w:r>
    </w:p>
    <w:p w14:paraId="7FEEE539" w14:textId="77777777" w:rsidR="00492901" w:rsidRPr="00802F8B" w:rsidRDefault="0049290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0ADCA895" w14:textId="77777777" w:rsidR="00802F8B" w:rsidRDefault="00B15C52" w:rsidP="00C25F62">
      <w:pPr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</w:rPr>
        <w:t>2. Средства, используемые при повышенной секреции желез желудка</w:t>
      </w:r>
      <w:r w:rsidR="00C25F62" w:rsidRPr="00C25F62">
        <w:rPr>
          <w:rStyle w:val="a3"/>
          <w:rFonts w:ascii="Times New Roman" w:hAnsi="Times New Roman"/>
          <w:color w:val="000000"/>
          <w:sz w:val="28"/>
        </w:rPr>
        <w:t xml:space="preserve"> </w:t>
      </w:r>
      <w:r w:rsidRPr="00802F8B">
        <w:rPr>
          <w:rStyle w:val="a3"/>
          <w:rFonts w:ascii="Times New Roman" w:hAnsi="Times New Roman"/>
          <w:color w:val="000000"/>
          <w:sz w:val="28"/>
        </w:rPr>
        <w:t>(клиническая классификация препаратов)</w:t>
      </w:r>
    </w:p>
    <w:p w14:paraId="4E3C0CC2" w14:textId="77777777" w:rsidR="00802F8B" w:rsidRDefault="00802F8B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</w:p>
    <w:p w14:paraId="70C243E4" w14:textId="77777777" w:rsidR="00802F8B" w:rsidRDefault="00EA7B9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повышенной секреции желез желудка развивается синдром, связанный с увеличением продукции соляной кислоты обкладочными клетками, следствием чего является повышение активности пепсина – экскрета главных клеток слиз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стой оболочки желудка.</w:t>
      </w:r>
      <w:r w:rsidR="000646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Увеличение продукции соляной кислоты и повышение активности пепсина ведет к уменьшению продукции муцина – основного комп</w:t>
      </w:r>
      <w:r w:rsidR="000646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0646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нента слизи, покрывающей слизистую желудка и кишечника. Гиперацидность, увеличение активности пепсина и недостаток муцина предрасполагают к повре</w:t>
      </w:r>
      <w:r w:rsidR="000646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ж</w:t>
      </w:r>
      <w:r w:rsidR="000646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дению слизистой оболочки желудка и двенадцатиперстной кишки (воспаления, эрозии, язвы) и способствуют развитию синдрома увеличения активности кисло</w:t>
      </w:r>
      <w:r w:rsidR="000646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0646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но-пептического фактора.</w:t>
      </w:r>
    </w:p>
    <w:p w14:paraId="67B384BA" w14:textId="77777777" w:rsidR="00802F8B" w:rsidRDefault="0006468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Принимая во внимание, что выраженность антисекреторного эффекта лекарс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926E3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венных препаратов, применяемых с целью базисной терапии язвенной болезни и гастритов (то есть для лечения обострений заболеваний и поддерживающего приема ), неодинакова, они – с позиции практического использования – могут быть разделены на препараты первой и второй ступени. В первую группу целес</w:t>
      </w:r>
      <w:r w:rsidR="00926E3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926E3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образно включить антацидные и селективные М – холинолитики, во вторую </w:t>
      </w:r>
      <w:r w:rsidR="00B90EE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–</w:t>
      </w:r>
      <w:r w:rsidR="00926E3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B90EE3" w:rsidRPr="00C25F62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B90EE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-блокаторы и ингибиторы протонного насоса.</w:t>
      </w:r>
    </w:p>
    <w:p w14:paraId="6CF7B9FF" w14:textId="77777777" w:rsidR="00802F8B" w:rsidRDefault="00B90EE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Самостоятельную группу составляют препараты, применяемые по специальным</w:t>
      </w:r>
      <w:r w:rsidR="00C25F62"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оказаниям : цитопротективные средства ( сукральфат , синтетические аналоги простагландинов) , назначаемые главным образом, для лечения и профилактики поражений слизистой оболочки желудка и двенадцатиперстной кишки, вызыва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мых приемом</w:t>
      </w:r>
      <w:r w:rsidR="001F165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ульцерогенных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F165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лекарственных средств; препараты нормализу</w:t>
      </w:r>
      <w:r w:rsidR="001F165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ю</w:t>
      </w:r>
      <w:r w:rsidR="001F165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щие двигательную функцию желудка и двенадцатиперстной кишки (спазмолит</w:t>
      </w:r>
      <w:r w:rsidR="001F165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1F165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ки, прокинетики) ; антигеликобактерные средства (антибиотики, препараты ви</w:t>
      </w:r>
      <w:r w:rsidR="001F165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="001F165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мута) (табл.1).</w:t>
      </w:r>
    </w:p>
    <w:p w14:paraId="76A75116" w14:textId="77777777" w:rsidR="00802F8B" w:rsidRDefault="001F165F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Препараты базисной терапии 1- й ступени способны поддерживать уровень внутрижелудочного рН на уровне &gt; 3 в течение суток лишь сравнительно коро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кое время – до 8-10 часов</w:t>
      </w:r>
      <w:r w:rsidR="001E123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Поэтому их целесообразно назначать при благоприя</w:t>
      </w:r>
      <w:r w:rsidR="001E123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1E123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ном течении язвенной болезни: редких и непродолжительных обострениях, н</w:t>
      </w:r>
      <w:r w:rsidR="001E123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1E123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больших размерах язвенного дефекта, умеренном повышении кислотной пр</w:t>
      </w:r>
      <w:r w:rsidR="001E123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1E123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дукции, отсутствии осложнений.</w:t>
      </w:r>
    </w:p>
    <w:p w14:paraId="0BDEB71A" w14:textId="77777777" w:rsidR="001E123C" w:rsidRPr="00802F8B" w:rsidRDefault="001E123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Препараты базисной терапии 2-й ступени поддерживают уровень интрагас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рального рН значительно более продолжительное время – до 12-18 часов. Они показаны , в первую очередь, при частых и длительных обострениях заболевания, больших (свыше </w:t>
      </w:r>
      <w:smartTag w:uri="urn:schemas-microsoft-com:office:smarttags" w:element="metricconverter">
        <w:smartTagPr>
          <w:attr w:name="ProductID" w:val="2 см"/>
        </w:smartTagPr>
        <w:r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2 см</w:t>
        </w:r>
      </w:smartTag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в диаметре ) размерах язвенного дефекта, выраженной г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персекреции соляной кислоты, наличии осложнений (в том числе амнестических), сопутствующем </w:t>
      </w:r>
      <w:r w:rsidR="00BC3E3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эрозивном эзофагите.</w:t>
      </w:r>
    </w:p>
    <w:p w14:paraId="7A230887" w14:textId="77777777" w:rsidR="00BC3E30" w:rsidRPr="00802F8B" w:rsidRDefault="00BC3E3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2D0B2A11" w14:textId="77777777" w:rsidR="00BC3E30" w:rsidRPr="00C25F62" w:rsidRDefault="00BC3E30" w:rsidP="00C25F62">
      <w:pPr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C25F62">
        <w:rPr>
          <w:rStyle w:val="a3"/>
          <w:rFonts w:ascii="Times New Roman" w:hAnsi="Times New Roman"/>
          <w:color w:val="000000"/>
          <w:sz w:val="28"/>
          <w:szCs w:val="28"/>
        </w:rPr>
        <w:t xml:space="preserve">2.1 </w:t>
      </w:r>
      <w:r w:rsidRPr="00C25F62">
        <w:rPr>
          <w:rStyle w:val="a3"/>
          <w:rFonts w:ascii="Times New Roman" w:hAnsi="Times New Roman"/>
          <w:color w:val="000000"/>
          <w:sz w:val="28"/>
        </w:rPr>
        <w:t>Антациды</w:t>
      </w:r>
    </w:p>
    <w:p w14:paraId="20598DF1" w14:textId="77777777" w:rsidR="00BC3E30" w:rsidRPr="00802F8B" w:rsidRDefault="00BC3E3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26A72022" w14:textId="77777777" w:rsidR="00802F8B" w:rsidRDefault="00BC3E3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="000776E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Классификация</w:t>
      </w:r>
    </w:p>
    <w:p w14:paraId="74887A10" w14:textId="77777777" w:rsidR="00802F8B" w:rsidRDefault="00BC3E3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Традиционно в группе антацидных препаратов выделяют </w:t>
      </w:r>
      <w:r w:rsidR="00585DD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всасывающиеся (ги</w:t>
      </w:r>
      <w:r w:rsidR="00585DD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</w:t>
      </w:r>
      <w:r w:rsidR="00585DD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рокарбонат натрия, карбонат кальция, окись магния) и невсасывающиеся антац</w:t>
      </w:r>
      <w:r w:rsidR="00585DD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585DD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ды (гидроокись алюминия, фосфат алюминия, гидроокись магния, трисиликат магния).</w:t>
      </w:r>
    </w:p>
    <w:p w14:paraId="32BF9D1E" w14:textId="77777777" w:rsidR="00802F8B" w:rsidRDefault="00585DD2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Всасывающиеся антациды редко примен</w:t>
      </w:r>
      <w:r w:rsidR="003078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яются в клинической практике, что объясняется большим числом нежелательных реакций. Вступая в прямую реа</w:t>
      </w:r>
      <w:r w:rsidR="003078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 w:rsidR="003078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цию нейтрализации с соляной кислотой, эти препараты дают быстрый, но очень непродолжительный эффект, после чего показатели внутрижелудочного рН вновь снижаются. Образующаяся при этом углекислота вызывает отрыжку и вздутие живота. Прием всасывающихся антацидов (в частности, карбоната кальция) м</w:t>
      </w:r>
      <w:r w:rsidR="003078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3078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жет привести к возникновению феномена «рикошета» ,то есть вторичному – п</w:t>
      </w:r>
      <w:r w:rsidR="003078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3078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сле первоначального ощелачивающего эффекта – повышению секреции соляной кислоты.</w:t>
      </w:r>
      <w:r w:rsidR="0072353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Этот феномен связан как со стимуляцией</w:t>
      </w:r>
      <w:r w:rsidR="003078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2353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гастринпродуцирующих кл</w:t>
      </w:r>
      <w:r w:rsidR="0072353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72353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ток, так и с непосредственным действием катионов кальция на обкладочные клетки слизистой оболочки желудка.</w:t>
      </w:r>
    </w:p>
    <w:p w14:paraId="7BFB518D" w14:textId="77777777" w:rsidR="00802F8B" w:rsidRDefault="00CD686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Гидрокарбонат натрия и карбонат кальция почти полностью всасываются в ж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лудочно-кишечном тракте и изменяют кислотно-щелочное равновесие органи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ма, приводя к развитию алкалоза. Если же их прием сопровождается употребл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нием большого количества молока, то может наблюдаться «молочно-щелочной синдром»</w:t>
      </w:r>
      <w:r w:rsidR="0077398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проявляющийся тошнотой, рвотой, жаждой, головной болью, пол</w:t>
      </w:r>
      <w:r w:rsidR="0077398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77398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урией, разрушением зубов, образованием камней в почках. Однако этот синдром возникает, как правило, лишь при приеме очень больших доз карбоната кальция (30- 50 гр. в сутки), что в клинической практике встречается крайне редко.</w:t>
      </w:r>
    </w:p>
    <w:p w14:paraId="73747D43" w14:textId="77777777" w:rsidR="00802F8B" w:rsidRDefault="0077398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Гидрокарбонат натрия способен отрицательно влиять на водно-солевой обмен. Например, в дозе 2 гр. он может задерживать жидкость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такой же степени, как и 1,5 гр. хлорида натрия. Поэтому у больных, особенно пожилого возраста</w:t>
      </w:r>
      <w:r w:rsidR="000776E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могут появляться отеки, повышаться артериальное давление, нарастать признаки се</w:t>
      </w:r>
      <w:r w:rsidR="000776E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</w:t>
      </w:r>
      <w:r w:rsidR="000776E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дечной недостаточности.</w:t>
      </w:r>
    </w:p>
    <w:p w14:paraId="56F67B09" w14:textId="77777777" w:rsidR="000776EC" w:rsidRPr="00802F8B" w:rsidRDefault="000776E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Многочисленные недостатки всасывающихся антацидов привели к практически полной утрате ими своего значения в лечении заболеваний желудка. В настоящее время при использовании термина «антациды» подразумеваются лишь невсас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ы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вающиеся антацидные препараты: маалокс, фосфалюгель, альмагель, гастал и др.</w:t>
      </w:r>
    </w:p>
    <w:p w14:paraId="48DAE04F" w14:textId="77777777" w:rsidR="00802F8B" w:rsidRDefault="000776E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Фармакодинамика</w:t>
      </w:r>
    </w:p>
    <w:p w14:paraId="0FDC20F3" w14:textId="77777777" w:rsidR="00802F8B" w:rsidRDefault="000776E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Невсасывающиеся атациды отличаются друг от друга</w:t>
      </w:r>
      <w:r w:rsidR="00AC726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по химическому составу и активности. Для нейтрализации соляной кислоты могут быть использованы ка</w:t>
      </w:r>
      <w:r w:rsidR="00AC726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</w:t>
      </w:r>
      <w:r w:rsidR="00AC726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бонатный, бикарбонатный, цитратный и фосфатный анионы, однако наиболее часто применятся гидроокиси. Большинство современных антацидов содержат также катионы магния и алюминия. Невсасывающиеся антацидные препараты лишены многих недостатков всасывающихся. Их действие не сводится к простой реакции нейтрализации с соляной кислотой и поэтому не сопровождается во</w:t>
      </w:r>
      <w:r w:rsidR="00AC726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</w:t>
      </w:r>
      <w:r w:rsidR="00AC726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никновением феномена «рикошета»</w:t>
      </w:r>
      <w:r w:rsidR="001E7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</w:t>
      </w:r>
      <w:r w:rsidR="00AC726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развитием алколоза и молочно-щелочноо синдрома</w:t>
      </w:r>
      <w:r w:rsidR="00CB23F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Они реализуют свой эффект, в основном, адсорбируя соляную кислоту.</w:t>
      </w:r>
    </w:p>
    <w:p w14:paraId="0AE8D37C" w14:textId="77777777" w:rsidR="00802F8B" w:rsidRDefault="00CB23F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Растворимость гидроокиси магния очень низкая , поэтому содержание ионов ОН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не достигает больших концентраций. Несмотря на это, гидроокись магния 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тивно взаимодействует с ионами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и является наиболее быстро действующим антацидом. Гидроокись алюминия также плохо растворяется в воде, она действ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ет медленнее гидроокиси магния, но более продолжительно. Таким образом, комбинация гидроокиси магния и гидроокиси алюминия представляется опт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мальной с точ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ки зрения достижения быстрого (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течение нескольких минут) и достаточно длительного</w:t>
      </w:r>
      <w:r w:rsidR="00C50AE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(до 2-3 часов) ощелачивающего эффекта.</w:t>
      </w:r>
    </w:p>
    <w:p w14:paraId="21060148" w14:textId="77777777" w:rsidR="00802F8B" w:rsidRDefault="00E126C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Кислотонейтрализующая активность антацидов</w:t>
      </w:r>
      <w:r w:rsidR="003D1AC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(выражаемая в миллиэквив</w:t>
      </w:r>
      <w:r w:rsidR="003D1AC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3D1AC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лентах нейтрализованной соляной кислоты) варьирует в широких пределах и ок</w:t>
      </w:r>
      <w:r w:rsidR="003D1AC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3D1AC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зывается неодинаковой у различных антацидных препаратов. Согласно данным исследований антоцидных свойств маалокса и альмагеля, проведенных с пом</w:t>
      </w:r>
      <w:r w:rsidR="003D1AC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3D1AC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щью внутрижелудочной рН-метрии, после приема стандартных доз данных пр</w:t>
      </w:r>
      <w:r w:rsidR="003D1AC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3D1AC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паратов (15 мл. суспензии) время начала ответа рН после приема маалокса было вдвое короче, чем после приема альмагеля, а «щелочное время», напротив,- вдвое продолжительнее. То есть маалокс действует вдвое быстрее и дольше, чем альмагель.</w:t>
      </w:r>
    </w:p>
    <w:p w14:paraId="7E6BFAB3" w14:textId="77777777" w:rsidR="00802F8B" w:rsidRDefault="00D859BA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Невсасывающиеся антациды обладают и рядом других позитивных свойств. Они уменьшают протеолитическую активность желудочного сока (как посредствам 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сорбции пепсина, так и за счет повышения рН среды, в результате чего пепсин становится неактивным), обладают обволакивающими свойствами, связывают лизолецитин и желчные кислоты, оказывающие неблагоприятное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воздействие на слизистую желудка.</w:t>
      </w:r>
    </w:p>
    <w:p w14:paraId="0F7D932D" w14:textId="77777777" w:rsidR="00802F8B" w:rsidRDefault="003623B2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последние годы опубликованы данные о цитопротективном действии антац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дов, содержащих гидроокись алюминия, в частности, их способности предотвр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щать в экспериментальных и клинических условиях возникновение повреждений слизистой оболочки желудка при приеме этанола и нестероидных противовосп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лительных препаратов. Было установлено, что цитопротективный эффект алюм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нийсодержащих антацидов (в частности маалокса) обусловлен повышением 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держания простагландинов в стенке желудка, усилением секреции бикарбонатов и увеличением выработки гликопротеинов желудочной слизи. Цитопротективные свойства антацидов гельной структуры могут быть связаны с об</w:t>
      </w:r>
      <w:r w:rsidR="00002FF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азованием</w:t>
      </w:r>
      <w:r w:rsidR="00002FF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з</w:t>
      </w:r>
      <w:r w:rsidR="00002FF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002FF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щитной пленки на поверхности желудка.</w:t>
      </w:r>
    </w:p>
    <w:p w14:paraId="5F83D96C" w14:textId="77777777" w:rsidR="00002FF9" w:rsidRPr="00802F8B" w:rsidRDefault="00002FF9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Обнаружено также, что антациды способны связывать эпителиальный фактор роста и фиксировать его в области язвенного дефекта, стимулируя тем самым клеточную пролиферацию, ангиогенез, и регенерацию тканей. Данный факт явл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я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ется объяснением того, почему, например, качество рубца на месте язвы оказ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ы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вается в гистологическом отношении после применения антоцидов лучше, чем после использования омепразола.</w:t>
      </w:r>
    </w:p>
    <w:p w14:paraId="6038E74A" w14:textId="77777777" w:rsidR="00802F8B" w:rsidRDefault="00002FF9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Клиническая эффективность и показания к применению</w:t>
      </w:r>
    </w:p>
    <w:p w14:paraId="020DE0AC" w14:textId="77777777" w:rsidR="00802F8B" w:rsidRDefault="00E238F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Ранее антациды рекомендовались при лечении заболеваний желудка в осно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ном в качестве вспомогательных лекарственных средств, например, как дополн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ние к антисекреторным препаратам, причем, главным образом,- с симптоматич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скими целями: для купирования болевого синдрома и диспепсических ра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стройств. Что же касается возможности применения антацидов при лечении з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болеваний желудка в качестве основных лекарственных препаратов, то отнош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ние к этому многих гастроэнтерологов до последнего времени было скептич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ским</w:t>
      </w:r>
      <w:r w:rsidR="00164EA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: с одной стороны считалось, что эти препараты по своей эффективности у</w:t>
      </w:r>
      <w:r w:rsidR="00164EA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="00164EA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тупают другим лекарственным средствам, а с другой,- высказывалось мнение, что для курсового лечения обострений язвенной болезни требуются очень высокие дозы антацидов и их частый прием, что создает определенные проблемы для п</w:t>
      </w:r>
      <w:r w:rsidR="00164EA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164EA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циентов.</w:t>
      </w:r>
    </w:p>
    <w:p w14:paraId="6970D157" w14:textId="77777777" w:rsidR="00164EAA" w:rsidRPr="00802F8B" w:rsidRDefault="00164EAA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Показания к применению: язва желудка и 12-й кишки, острые и хронические г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стриты, </w:t>
      </w:r>
      <w:r w:rsidR="00F8196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гастродуодениты, эзофагиты, рефлюкс-эзофагит, синдром Золлингера-Эллисона, изжога беременных, метеоризм и др.</w:t>
      </w:r>
    </w:p>
    <w:p w14:paraId="281BF2EA" w14:textId="77777777" w:rsidR="00802F8B" w:rsidRDefault="00F8196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Нежелательные реакции</w:t>
      </w:r>
    </w:p>
    <w:p w14:paraId="5342D299" w14:textId="77777777" w:rsidR="00802F8B" w:rsidRDefault="00F8196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Нежелательные реакции могут быть связаны с изменением рН и КОС, а также со свойствами отдельных компонентов, входящих в состав препаратов. Изменение КОС обычно наблюдается при систематическом использовании всасывающих 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тацидов. Наиболее часто</w:t>
      </w:r>
      <w:r w:rsidR="00EA329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й нежелательной реакцией при применении гидроокиси алюминия является запор, гидроокись магния обладает послабляющим действ</w:t>
      </w:r>
      <w:r w:rsidR="00EA329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EA329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ем и может вызвать диарею. При комбинированном применении данных веществ (в составе маалокса и др.) их нежелательное влияние на моторику взаимно нив</w:t>
      </w:r>
      <w:r w:rsidR="00EA329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EA329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лируется.</w:t>
      </w:r>
    </w:p>
    <w:p w14:paraId="45961E62" w14:textId="77777777" w:rsidR="00C203FD" w:rsidRPr="00802F8B" w:rsidRDefault="00C203FD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Термин «невсасывающиеся антациды» являются в какой- то мере условным. Входящие в их состав алюминий и магний могут в минимальных количествах вс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сываться в кишечнике. Однако клинически значимое повышение уровня алюм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ния и магния в крови отмечается лишь у больных с выраженной почечной недо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таточностью, котора</w:t>
      </w:r>
      <w:r w:rsidR="00882BF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я является основным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82BF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 , по-видимому, единственным сер</w:t>
      </w:r>
      <w:r w:rsidR="00882BF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ь</w:t>
      </w:r>
      <w:r w:rsidR="00882BF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езным противопоказанием для проведения длительной антацидной терапии, п</w:t>
      </w:r>
      <w:r w:rsidR="00882BF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882BF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скольку в таких случаях кумуляция алюминия может привести к энцефалопатии и остеомаляции. У больных с нормальной или умеренно сниженной функции почек заметного повышения уровня алюминия в крови при лечении антацидами не происходит. При длительном приеме гидроокиси алюминия может снижаться всасывание фосфатов в кишечнике, что иногда сопровождается</w:t>
      </w:r>
      <w:r w:rsidR="008D45A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возникновением гипофосфатемии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D45A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Указанное осложнение чаще возникает у пациентов, злоупо</w:t>
      </w:r>
      <w:r w:rsidR="008D45A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8D45A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ребляющих алкоголем.</w:t>
      </w:r>
    </w:p>
    <w:p w14:paraId="2B187789" w14:textId="77777777" w:rsidR="00802F8B" w:rsidRDefault="008D45A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Лекарственные взаимодействия</w:t>
      </w:r>
    </w:p>
    <w:p w14:paraId="64AE85C1" w14:textId="77777777" w:rsidR="008D45A8" w:rsidRPr="00802F8B" w:rsidRDefault="008D45A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Антациды ослабляют всасывание многих препаратов в желудочно-кишечном тракте и таким образом снижают их биодоступность при приеме внутрь. Наиб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лее отчетливо это проявляется на приеме бензодиазепинов, НПВС (индометацин и др.), антибиотиков (ципрофлоксацин, </w:t>
      </w:r>
      <w:r w:rsidR="00255B8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тетрациклин, метранидазол, нитрофура</w:t>
      </w:r>
      <w:r w:rsidR="00255B8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255B8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тоин), противотуберкулезных средств (изониазид), Н</w:t>
      </w:r>
      <w:r w:rsidR="00255B81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255B8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-блокаторов, теофиллина, дигоксина, хинидина, варфарина, фенитоина, железа сульфата (табл.2). Чтобы и</w:t>
      </w:r>
      <w:r w:rsidR="00255B8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</w:t>
      </w:r>
      <w:r w:rsidR="00255B8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бежать нежелательного взаимодействия, антациды следует назначать за 2 часа до или через 2 часа после приема других препаратов</w:t>
      </w:r>
      <w:r w:rsidR="00E714C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164E25CA" w14:textId="77777777" w:rsidR="00802F8B" w:rsidRDefault="00E714CF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Форма выпуска и способ применения</w:t>
      </w:r>
    </w:p>
    <w:p w14:paraId="4F0C86B5" w14:textId="77777777" w:rsidR="00802F8B" w:rsidRDefault="00E714CF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Антацидные препараты применяются в виде суспензии, геля и таблеток. Многие врачи и пациенты отдают предпочтение жидким формам антацидов, которые б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лее приятны на вкус и более удобны для применении. Однако проведенные</w:t>
      </w:r>
      <w:r w:rsidR="00C737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и</w:t>
      </w:r>
      <w:r w:rsidR="00C737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="00C737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следования показали, что существенных различий между этими формами нет и, более того, таблетированные формы имеют преимущество по длительности де</w:t>
      </w:r>
      <w:r w:rsidR="00C737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й</w:t>
      </w:r>
      <w:r w:rsidR="00C737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ствия, поскольку эвакуируются из желудка медленнее, чем жидкие антациды.</w:t>
      </w:r>
    </w:p>
    <w:p w14:paraId="2E989CCE" w14:textId="77777777" w:rsidR="00C737B4" w:rsidRPr="00802F8B" w:rsidRDefault="00C737B4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Антациды назначают обычно 4 раза в день, по 10-15 мл суспензии или геля, 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бо по 1-2 таблетки. Таблетки следует разжевывать или рассасывать, не проглат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ы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вая целиком. В некоторых вкладышах-инструкциях</w:t>
      </w:r>
      <w:r w:rsidR="00273F2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по применению антацидов даются рекомендации принимать их до еды. Однако при этом они быстро эв</w:t>
      </w:r>
      <w:r w:rsidR="00273F2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273F2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куируются из желудка, к тому же их эффект нивелируется буферными свойствами самой пищи. Большинство гастроэнтерологов считает более обоснованным пр</w:t>
      </w:r>
      <w:r w:rsidR="00273F2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273F2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нимать антациды через 1час после еды и на ночь. В особых случаях , например, при значительных интервалах между приемами</w:t>
      </w:r>
      <w:r w:rsidR="004849C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пищи, можно рекомендовать и дополнительный прием антацидов через 3-4 часа после еды.</w:t>
      </w:r>
    </w:p>
    <w:p w14:paraId="2FC45684" w14:textId="77777777" w:rsidR="00802F8B" w:rsidRDefault="004849C4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Препараты</w:t>
      </w:r>
    </w:p>
    <w:p w14:paraId="1A37CAF7" w14:textId="77777777" w:rsidR="00802F8B" w:rsidRDefault="004849C4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Маалокс</w:t>
      </w:r>
      <w:r w:rsidR="00FB2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– комбинация гидроокиси алюминия и гидроокиси магния в следу</w:t>
      </w:r>
      <w:r w:rsidR="00FB2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ю</w:t>
      </w:r>
      <w:r w:rsidR="00FB2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щих количествах: в 1 таблетке – соответственно, 400 мг и 400 мг ; в 100 мл суспе</w:t>
      </w:r>
      <w:r w:rsidR="00FB2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FB2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зии во флаконе – 3,49 и </w:t>
      </w:r>
      <w:smartTag w:uri="urn:schemas-microsoft-com:office:smarttags" w:element="metricconverter">
        <w:smartTagPr>
          <w:attr w:name="ProductID" w:val="3,99 г"/>
        </w:smartTagPr>
        <w:r w:rsidR="00FB2D36"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3,99 г</w:t>
        </w:r>
      </w:smartTag>
      <w:r w:rsidR="00FB2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; в 15 мл суспензии в пакетиках – 523,5 мг и 598,5 мг. Назначают по 1-2 таблетки (разжевать или рассасывать во рту</w:t>
      </w:r>
      <w:r w:rsidR="001E7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)</w:t>
      </w:r>
      <w:r w:rsidR="00FB2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или по 15 мл суспензии (1 пакетик или 1 ст. ложка) 4 раза в день через 1 час после еды и на ночь. Формы выпуска :таблетки, суспензии во флаконах по 250 мл и пакетиках по 15 мл.</w:t>
      </w:r>
    </w:p>
    <w:p w14:paraId="6972245E" w14:textId="77777777" w:rsidR="00802F8B" w:rsidRDefault="000E34E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Фосфалюгель </w:t>
      </w:r>
      <w:r w:rsidR="00D3225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–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3225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содержит в 1 пакетике </w:t>
      </w:r>
      <w:smartTag w:uri="urn:schemas-microsoft-com:office:smarttags" w:element="metricconverter">
        <w:smartTagPr>
          <w:attr w:name="ProductID" w:val="8,8 г"/>
        </w:smartTagPr>
        <w:r w:rsidR="00D32254"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8,8 г</w:t>
        </w:r>
      </w:smartTag>
      <w:r w:rsidR="00D3225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коллоидного фосфата алюминия, гель пектина и агар-агара. Назначают по 1-2 пакетика 4 раза в день через 1 час п</w:t>
      </w:r>
      <w:r w:rsidR="00D3225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D3225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сле еды и перед сном. Форма выпуска: гель в пакетиках по </w:t>
      </w:r>
      <w:smartTag w:uri="urn:schemas-microsoft-com:office:smarttags" w:element="metricconverter">
        <w:smartTagPr>
          <w:attr w:name="ProductID" w:val="16 г"/>
        </w:smartTagPr>
        <w:r w:rsidR="00D32254"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16 г</w:t>
        </w:r>
      </w:smartTag>
      <w:r w:rsidR="00D3225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.</w:t>
      </w:r>
    </w:p>
    <w:p w14:paraId="5AEA24A8" w14:textId="77777777" w:rsidR="00802F8B" w:rsidRDefault="00D32254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Альмагель – содержит в 5 мл суспензии 300 мг гидроокиси алюминия и 100 мг гидроокиси магния. В состав Альмагеля А дополнительно входят анестезин (100 мг на 5 мл суспензии) и сорбитол (800 мг). Назначают по 10-15 мл 4-6 раз в день. Альмагель А назначают только при болях, продолжительность его применения</w:t>
      </w:r>
      <w:r w:rsidR="00492C2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не должна превышать 3-4 дней. Формы выпуска</w:t>
      </w:r>
      <w:r w:rsidR="001E7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:</w:t>
      </w:r>
      <w:r w:rsidR="00492C2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суспензия во флаконах по 170 и 200 мл.</w:t>
      </w:r>
    </w:p>
    <w:p w14:paraId="638D1A32" w14:textId="77777777" w:rsidR="00492C2C" w:rsidRPr="00802F8B" w:rsidRDefault="00492C2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Выпускаются и многие другие комбинированные антацидные препараты: алуг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стрин, гастралюгель, гелусил, гелусил-лак, компенсан, пее-хоо, ренни, тисацид и др.</w:t>
      </w:r>
    </w:p>
    <w:p w14:paraId="3732CFD9" w14:textId="77777777" w:rsidR="00492C2C" w:rsidRPr="00802F8B" w:rsidRDefault="00492C2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335C8FF3" w14:textId="77777777" w:rsidR="00492C2C" w:rsidRPr="00802F8B" w:rsidRDefault="00492C2C" w:rsidP="00C25F62">
      <w:pPr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</w:rPr>
        <w:t>2.2 Селективные холинолитики (М – холиноблокаторы)</w:t>
      </w:r>
    </w:p>
    <w:p w14:paraId="010B2823" w14:textId="77777777" w:rsidR="00802F8B" w:rsidRDefault="00802F8B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</w:p>
    <w:p w14:paraId="240F6570" w14:textId="77777777" w:rsidR="00802F8B" w:rsidRDefault="00EA6969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Холинолитики снижают кислотную продукцию, тормозят освобождение гастр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на, уменьшают выработку пепсина,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пролонгируют эффект антацидных средств</w:t>
      </w:r>
      <w:r w:rsidR="00B5144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усиливают буферные свойства пищи, уменьшают двигательную активность ж</w:t>
      </w:r>
      <w:r w:rsidR="00B5144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B5144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лудка и 12-й кишки.</w:t>
      </w:r>
    </w:p>
    <w:p w14:paraId="7DB33F4B" w14:textId="77777777" w:rsidR="00802F8B" w:rsidRDefault="00B51445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то же время применение при лечении язвенной болезни таких препаратов, как атропин, платифиллин и метацин, является ограниченным из-за системности их холиноблокирующего действия и как следствие этого – высокой частоты неж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лательных реакций. К последним относятся сухость во рту</w:t>
      </w:r>
      <w:r w:rsidR="0038336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нарушение аккомод</w:t>
      </w:r>
      <w:r w:rsidR="0038336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38336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ции, тахикардия, запоры, задержка мочеиспускания</w:t>
      </w:r>
      <w:r w:rsidR="000D0E3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головокружение, головная боль, бессонница.</w:t>
      </w:r>
    </w:p>
    <w:p w14:paraId="60902222" w14:textId="77777777" w:rsidR="00802F8B" w:rsidRDefault="000D0E3F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Атропин и атропиноподобные препараты противопоказаны при глаукоме, ад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номе предстательной железы, сердечной недостаточности. Их прием нежелат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лен при недостаточности кардии и гастроэзофагеальных рефлюксах, которые ча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то сопутствуют язвенной болезни, поскольку в таких случаях может усиливаться обратный заброс кислого желудочного содержимого из желудка в пищевод. Ш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рокое применение в клинической практике</w:t>
      </w:r>
      <w:r w:rsidR="00F6550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нашел препарат пирензепин (гастр</w:t>
      </w:r>
      <w:r w:rsidR="00F6550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F6550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цепин), также блокирующий холинорецепторы, но по механизмам своего дейс</w:t>
      </w:r>
      <w:r w:rsidR="00F6550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F6550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вия существенно отличающийся от атропина и других холинолитиков.</w:t>
      </w:r>
    </w:p>
    <w:p w14:paraId="147A5A94" w14:textId="77777777" w:rsidR="00F65502" w:rsidRPr="00802F8B" w:rsidRDefault="00F65502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Пирензепин является селективным холинолитическим препаратом,который 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бирательно блокирует преимущественно М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-холинорецепторы </w:t>
      </w:r>
      <w:r w:rsidR="00F6507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фундальных ж</w:t>
      </w:r>
      <w:r w:rsidR="00F6507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F6507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лез слизистой оболочки желудка и не влияет в терапевтических дозах на холин</w:t>
      </w:r>
      <w:r w:rsidR="00F6507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F6507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рецепторы слюнных и бронхиальных желез, сердечно-сосудистой системы, тк</w:t>
      </w:r>
      <w:r w:rsidR="00F6507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F6507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ней глаза, гладких мышц. Несмотря на свое структурное сходство с трициклич</w:t>
      </w:r>
      <w:r w:rsidR="00F6507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F6507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скими антидепрессантами, пирензепин не вызывает нежелательных реакций со стороны ЦНС, поскольку обладая преимущественно гидрофильными свойствами, он </w:t>
      </w:r>
      <w:r w:rsidR="002635F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не проникает через гематоэнцефалический барьер.</w:t>
      </w:r>
    </w:p>
    <w:p w14:paraId="34F1ACA5" w14:textId="77777777" w:rsidR="00802F8B" w:rsidRDefault="002635F4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Фармакодинамика</w:t>
      </w:r>
    </w:p>
    <w:p w14:paraId="3678F75B" w14:textId="77777777" w:rsidR="00802F8B" w:rsidRDefault="002635F4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Ведущий механизм пирензепина при язвенной болезни – подавление секреции соляной кислоты. При пероральном приеме максимальный антисекреторный э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ф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фект наблюдается через 2 часа и </w:t>
      </w:r>
      <w:r w:rsidR="00CC24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продолжается в зависимости от принятой дозы – от 5 до 12 часов. Ночная секреция соляной кислоты тормозится на 30-50%, б</w:t>
      </w:r>
      <w:r w:rsidR="00CC24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CC24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зальная – 40-60%, а секреция, стимулированная пентагастрином, - на 30-40%.</w:t>
      </w:r>
      <w:r w:rsidR="000A3C0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</w:t>
      </w:r>
      <w:r w:rsidR="000A3C0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0A3C0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рензепин подавляет базальную и стимулированную выработку пепсина, но не влияет на секрецию гастрина и ряда других гастроинтестинальных пептидов (с</w:t>
      </w:r>
      <w:r w:rsidR="000A3C0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0A3C0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матостатина, нейротензина, секретина).</w:t>
      </w:r>
    </w:p>
    <w:p w14:paraId="59B6277D" w14:textId="77777777" w:rsidR="00802F8B" w:rsidRDefault="000A3C0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Пирензепин несколько замедляет эвакуацию из желудка, но в отличие от нес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лективных холиноблокаторов, при пероральном</w:t>
      </w:r>
      <w:r w:rsidR="00FE638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приеме в средних терапевтич</w:t>
      </w:r>
      <w:r w:rsidR="00FE638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FE638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ских дозах не снижает тонус нижнего пищеводного сфинктера. При внутривенном введении препарата тонус сфинктера и перистальтика пищевода уменьшается.</w:t>
      </w:r>
    </w:p>
    <w:p w14:paraId="3C15C08D" w14:textId="77777777" w:rsidR="00FE638A" w:rsidRPr="00802F8B" w:rsidRDefault="00FE638A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Эффективность пирензепина при лечении язвенной болезни первоначально объяснялась его антисекреторной активностью. Однако последующие работы п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казали наличие у препарата цитопротективного дейс</w:t>
      </w:r>
      <w:r w:rsidR="00C53DB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вия, то есть способности п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вышать защитные свойства слизистой оболочки желудка</w:t>
      </w:r>
      <w:r w:rsidR="00C53DB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Этот эффект в опред</w:t>
      </w:r>
      <w:r w:rsidR="00C53DB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C53DB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ленной мере связан со способностью расширять кровеносные сосуды желудка и усиливать образование слизи.</w:t>
      </w:r>
    </w:p>
    <w:p w14:paraId="2988A868" w14:textId="77777777" w:rsidR="00802F8B" w:rsidRDefault="00C53DB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Фармакокинетика</w:t>
      </w:r>
    </w:p>
    <w:p w14:paraId="7AB166AF" w14:textId="77777777" w:rsidR="00DD4482" w:rsidRPr="00802F8B" w:rsidRDefault="00C53DB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Биодоступность при приеме внутрь натощак составляет в среднем 25%, Пища снижает ее до 10-20%. Максимальная концентрация препарата в сыворотке крови развивается через 2-3 часа после перорального приема и через</w:t>
      </w:r>
      <w:r w:rsidR="00DD448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20-30 минут после внутримышечного введения. Лишь около 10% препарата метаболизируется в п</w:t>
      </w:r>
      <w:r w:rsidR="00DD448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DD448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чени. Выведение осуществляется преимущественно через кишечник и в меньшей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D448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степени- через почки. Период полувыведения – 11 часов.</w:t>
      </w:r>
    </w:p>
    <w:p w14:paraId="02BD3DAA" w14:textId="77777777" w:rsidR="00802F8B" w:rsidRDefault="00DD4482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Клиническая эффективность и показания к применению</w:t>
      </w:r>
    </w:p>
    <w:p w14:paraId="30F3606D" w14:textId="77777777" w:rsidR="00802F8B" w:rsidRDefault="00DD4482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За прошедшие годы опубликовано много работ, свидетельствующих о дост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точно высокой эффективности пирензепина при лечении обострений язвенной болезни и 12-й кишки</w:t>
      </w:r>
      <w:r w:rsidR="007216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Отмечалась, в частности, способность препарата быстро купировать болевой синдром и диспепсические расстройства. Пирензепин не оказывал гепатотоксического и нефротоксического действия и был эффективен у больных с так называемыми «гепатогенными» язвами, обычно резистентными к проводимому лечению, у пациентов с хронической почечной недостаточностью, у лиц пожилого возраста. Имеются сообщения об успешном применении препар</w:t>
      </w:r>
      <w:r w:rsidR="007216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7216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та при лечении эрозивно-язвенных поражений слизистой желудка, вызванных приемом нестероидных противовоспалительных препаратов.</w:t>
      </w:r>
    </w:p>
    <w:p w14:paraId="03C6FBE3" w14:textId="77777777" w:rsidR="00721651" w:rsidRPr="00802F8B" w:rsidRDefault="0072165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 целом, применение пирензепина </w:t>
      </w:r>
      <w:r w:rsidR="004616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дозе 100-150 мг в сутки позволяет достичь заживления язв 12-й кишки в течении 4 недель у 70-78% больных. Препарат м</w:t>
      </w:r>
      <w:r w:rsidR="004616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4616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жет использоваться для предупреждения возникновения «стрессовых» язв, а также для профилактической терапии.</w:t>
      </w:r>
    </w:p>
    <w:p w14:paraId="03B9E61F" w14:textId="77777777" w:rsidR="00802F8B" w:rsidRDefault="0046161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Нежелательные реакции</w:t>
      </w:r>
    </w:p>
    <w:p w14:paraId="0DBDDEA6" w14:textId="77777777" w:rsidR="00802F8B" w:rsidRDefault="0046161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Пирензепин, как правило, хорошо переносится. Иногда отмечается сухость во рту, расстройства аккомодации, реже - запоры, тахикардия, головные боли. При этом частота их возникновения четко коррелируется</w:t>
      </w:r>
      <w:r w:rsidR="00FE5FF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 дозой. Так, при назначении средних терапевтических доз (100 мг в сутки) сухость во рту встречается у 7-13% пациентов</w:t>
      </w:r>
      <w:r w:rsidR="0079600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а нарушение аккомодации – у 1-4% больных. В более высоких дозах (150 мг в сутки) частота указанных нежелательных реакций возрастает до 13-16% и 5-6%, соответственно. В большинстве случаев нежелательные реакции бывают выражены слабо и не требуют отмены препарата.</w:t>
      </w:r>
    </w:p>
    <w:p w14:paraId="4813404D" w14:textId="77777777" w:rsidR="00F92150" w:rsidRPr="00802F8B" w:rsidRDefault="0079600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Пирензепин обычно не вызывает повышения внутриглазного давления, нар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шения мочеиспускания и нежелательных реакций со стороны сердечно </w:t>
      </w:r>
      <w:r w:rsidR="00F9215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–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сосуди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="00F9215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той системы. Однако при глаукоме, аденоме предстательной железы и </w:t>
      </w:r>
      <w:r w:rsidR="00B132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склонн</w:t>
      </w:r>
      <w:r w:rsidR="00B132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B132D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сти к тахикардии препарат следует назначать с осторожностью.</w:t>
      </w:r>
    </w:p>
    <w:p w14:paraId="25969414" w14:textId="77777777" w:rsidR="00802F8B" w:rsidRDefault="00B132D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Лекарственные взаимодействия</w:t>
      </w:r>
    </w:p>
    <w:p w14:paraId="1CBB8F65" w14:textId="77777777" w:rsidR="00B132D3" w:rsidRPr="00802F8B" w:rsidRDefault="00B132D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Пирензепин стимулирующее влияние алкоголя и кофеина на</w:t>
      </w:r>
      <w:r w:rsidR="00102C3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желудочную се</w:t>
      </w:r>
      <w:r w:rsidR="00102C3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 w:rsidR="00102C3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рецию. Одновременное назначение пирензепина и Н</w:t>
      </w:r>
      <w:r w:rsidR="00102C30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102C3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-блокаторов приводит к п</w:t>
      </w:r>
      <w:r w:rsidR="00102C3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102C3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тенцированию антисекреторного действия, что может использоваться у больных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02C3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 синдромом Золлингера – Эллисона.</w:t>
      </w:r>
    </w:p>
    <w:p w14:paraId="6278DE25" w14:textId="77777777" w:rsidR="00802F8B" w:rsidRDefault="00102C3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Дозировка и способы применения</w:t>
      </w:r>
    </w:p>
    <w:p w14:paraId="51EF2415" w14:textId="77777777" w:rsidR="00802F8B" w:rsidRDefault="00102C3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обострении язвенной болезни – по 50 мг 2 раза в день (утром и вечером) за пол часа до еды. Продолжительность курса составляет, как правило, 4-6 недель.</w:t>
      </w:r>
      <w:r w:rsidR="00B27D2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При поддерживающей терапии – 50 мг в день.</w:t>
      </w:r>
    </w:p>
    <w:p w14:paraId="5E481005" w14:textId="77777777" w:rsidR="00B27D2A" w:rsidRPr="00802F8B" w:rsidRDefault="00B27D2A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Внутривенно или внутримышечно – при очень упорном болевом синдроме (н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пример, у больных с синдромом Золлингера – Эллисона ) – по 10 мг 2-3 раза в 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тки. Внутривенное введение производится медленно струйно или (лучше) 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пельно.</w:t>
      </w:r>
    </w:p>
    <w:p w14:paraId="0D9B7A38" w14:textId="77777777" w:rsidR="00802F8B" w:rsidRDefault="00434E99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Форма выпуска</w:t>
      </w:r>
    </w:p>
    <w:p w14:paraId="20AC6720" w14:textId="77777777" w:rsidR="00434E99" w:rsidRPr="00802F8B" w:rsidRDefault="00434E99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Таблетки по 25 и 50 мг; ампулы по 10 мг/2 мл</w:t>
      </w:r>
    </w:p>
    <w:p w14:paraId="10FCF39F" w14:textId="77777777" w:rsidR="004C2FB8" w:rsidRPr="00802F8B" w:rsidRDefault="004C2FB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531AC8B1" w14:textId="77777777" w:rsidR="004C2FB8" w:rsidRPr="001E7D36" w:rsidRDefault="004C2FB8" w:rsidP="00C25F62">
      <w:pPr>
        <w:spacing w:before="0" w:line="360" w:lineRule="auto"/>
        <w:ind w:firstLine="709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1E7D36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2.3 Блокаторы Н</w:t>
      </w:r>
      <w:r w:rsidR="001E7D36" w:rsidRPr="001E7D36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</w:t>
      </w:r>
      <w:r w:rsidRPr="001E7D36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гистаминовых рецепторов</w:t>
      </w:r>
    </w:p>
    <w:p w14:paraId="45921567" w14:textId="77777777" w:rsidR="00802F8B" w:rsidRPr="001E7D36" w:rsidRDefault="00802F8B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104BE7DD" w14:textId="77777777" w:rsidR="004C2FB8" w:rsidRPr="00802F8B" w:rsidRDefault="004C2FB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1E7D36" w:rsidRPr="001E7D36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блокаторы, которые стали применяться в клинической практике с середины 70 – х годов, в настоящее время относятся к числу наиболее распространенных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противоязвенных препаратов. Известно несколько поколений этих лекарств. П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сле циметидина были последовательно синтезированы ранитидин, фамотидин, а несколько позже – низатидин и роксатидин.</w:t>
      </w:r>
    </w:p>
    <w:p w14:paraId="4B0ABBC9" w14:textId="77777777" w:rsidR="00802F8B" w:rsidRDefault="004C2FB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</w:t>
      </w:r>
      <w:r w:rsidR="00652925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Фармакодинамика</w:t>
      </w:r>
    </w:p>
    <w:p w14:paraId="75D2F831" w14:textId="77777777" w:rsidR="00802F8B" w:rsidRDefault="00652925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Главным эффектом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-блокаторов является антисекреторный: за счет конк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рентного блокирования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гистаминовых рецепторов в слизистой оболочке ж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лудка, они подавляют выработку соляной кислоты. Этим и обуславливается их высокая противоязвенная активность. Препараты новых поколений превосходят циметидин по степени подавления ночной и общей суточной секреции соляной кислоты, а также по длительности антисекреторного эффекта (табл. 3.).</w:t>
      </w:r>
    </w:p>
    <w:p w14:paraId="39885867" w14:textId="77777777" w:rsidR="00652925" w:rsidRPr="00802F8B" w:rsidRDefault="00652925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Помимо угнетения секреции соляной кислоты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Н</w:t>
      </w:r>
      <w:r w:rsidR="005239BA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блокаторы обладают и рядом других эффектов. Они подавляют базальную и стимулированную выработку пе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сина, увеличивают продукцию желудочной слизи и бикарбонатов, усиливают си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тез простагландинов в стенке желудка, улучшают микроциркуляцию в слизистой. В последнии годы было показано, что Н</w:t>
      </w:r>
      <w:r w:rsidR="005239BA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-блокаторы тормозят дегрануляцию ту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ных клеток, снижают содержание гистамина в периульцерозной зоне и увелич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523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вают количество ДНК – синтезирующих эпителиальных клеток, стимулируя тем самым репаративные процессы.</w:t>
      </w:r>
    </w:p>
    <w:p w14:paraId="3EB430C6" w14:textId="77777777" w:rsidR="00802F8B" w:rsidRDefault="008223E2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Фармакокинетика</w:t>
      </w:r>
    </w:p>
    <w:p w14:paraId="21BFEF1A" w14:textId="77777777" w:rsidR="008223E2" w:rsidRPr="00802F8B" w:rsidRDefault="008223E2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приеме внутрь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блокаторы хорошо всасываются в проксимальных отд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лах тонкой кишки, достигая пиковых концентраций в крови через 30-60 минут. Биодоступность циметедина составляет 60-80%, ранитидина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- 50-60%, фамотид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– 30-50%</w:t>
      </w:r>
      <w:r w:rsidR="001473C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низатидина – 70%, роксатидина – 90-100%. Экскреция препаратов осуществляется через почки, причем 50-90% принятой дозы – в неизмененном виде. Период полувыведения циметидина, ранитидина и низатидина составляет 2 часа, фамотидина – 3,5 часа, роксатидина – 6 часов.</w:t>
      </w:r>
    </w:p>
    <w:p w14:paraId="5B4483BF" w14:textId="77777777" w:rsidR="00802F8B" w:rsidRDefault="001473CA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Клиническая эффективность и показания к применению</w:t>
      </w:r>
    </w:p>
    <w:p w14:paraId="6E7F2547" w14:textId="77777777" w:rsidR="00802F8B" w:rsidRDefault="001473CA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15-летний опыт применения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блокаторов убедительно доказал их высокую эффективность. После их внедрения в клиническую практику число оперативных вмешательств по поводу </w:t>
      </w:r>
      <w:r w:rsidR="0069696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язвенной болезни во многих странах снизилось в 6-8 раз.</w:t>
      </w:r>
    </w:p>
    <w:p w14:paraId="1EC60E67" w14:textId="77777777" w:rsidR="00802F8B" w:rsidRDefault="0069696F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применении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блокаторов в течении 2 недель боли в эпигастральной области и диспепсические расстройства исчезают у 56-58% больных с обострением язвы желудка и 12-перстной кишки. Через 4 недели лечения рубцевание дуод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нальных язв достигается у 75-83% больных, через 6 недель</w:t>
      </w:r>
      <w:r w:rsidR="001C166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– у 90-95% пациентов. Язвы желудка заживают несколько медленнее (как и при применении других препаратов) : частота их рубцевания через 6 недель – 60-65%, через 8 недель – 85-90%.</w:t>
      </w:r>
    </w:p>
    <w:p w14:paraId="2F2357C4" w14:textId="77777777" w:rsidR="00802F8B" w:rsidRDefault="001C166B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Сравнительные многоцентровые рандомизированные исследования показали</w:t>
      </w:r>
      <w:r w:rsidR="00144F4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что эффективность двухкратного и однократного приема циметидина, ранитид</w:t>
      </w:r>
      <w:r w:rsidR="00144F4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144F4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на, фамотидина, низатидина примерно одинакова. Сопоставляя между собой о</w:t>
      </w:r>
      <w:r w:rsidR="00144F4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144F4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дельные поколения Н</w:t>
      </w:r>
      <w:r w:rsidR="00144F44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144F4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блокаторов,следует отметить, что хотя ранитидин и ф</w:t>
      </w:r>
      <w:r w:rsidR="00144F4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144F4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мотидин превосходят циметидин по антисекреторной активности, убедительных доказательств их более высокой клинической эффективности не получено.</w:t>
      </w:r>
      <w:r w:rsidR="00CE579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Гла</w:t>
      </w:r>
      <w:r w:rsidR="00CE579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="00CE579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ным преимуществом последних является лучшая переносимость пациентами</w:t>
      </w:r>
      <w:r w:rsidR="005110D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Н</w:t>
      </w:r>
      <w:r w:rsidR="005110D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5110D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затидин и роксатидин не имеют никаких особых преимуществ перед ранитид</w:t>
      </w:r>
      <w:r w:rsidR="005110D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5110D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ном и фамотидином и поэтому большого распространения не получили.</w:t>
      </w:r>
    </w:p>
    <w:p w14:paraId="79EAC594" w14:textId="77777777" w:rsidR="00802F8B" w:rsidRDefault="00E37D6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Для лечения язвенных поражений желудка и 12-перстной кишки у больных с синдромом Золлингера – Элиссона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-блокаторы назначаются в очень высоких дозах (в 4-10 раз превышающих средние терапевтические),при язвенных кров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течениях-парентерально.</w:t>
      </w:r>
    </w:p>
    <w:p w14:paraId="3EAAB4A1" w14:textId="77777777" w:rsidR="00E37D63" w:rsidRPr="00802F8B" w:rsidRDefault="00E37D6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-блокаторы используются для противорецидивной терапии, для лечения и профилактики эрозивно-язвенных поражений желудка и 12-перстной кишки, 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ы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званных приемом нестероидных противовоспалительных </w:t>
      </w:r>
      <w:r w:rsidR="00AD4AD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препаратов, а также «стрессовых» язв.</w:t>
      </w:r>
    </w:p>
    <w:p w14:paraId="35E053B0" w14:textId="77777777" w:rsidR="00802F8B" w:rsidRDefault="00AD4AD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Нежелательные реакции</w:t>
      </w:r>
    </w:p>
    <w:p w14:paraId="79F7608C" w14:textId="77777777" w:rsidR="00AD4AD1" w:rsidRPr="00802F8B" w:rsidRDefault="00AD4AD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Характерны в основном для циметидина:</w:t>
      </w:r>
    </w:p>
    <w:p w14:paraId="223FE45B" w14:textId="77777777" w:rsidR="00AD4AD1" w:rsidRPr="00802F8B" w:rsidRDefault="00AD4AD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 антиандрогенное действие, наблюдающееся при длительном приеме (особе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 в высоких дозах), проявляется повышением уровня пролактина в крови, во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никновением галактореи и аменореи, уменьшением числа сперматозоидов, пр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грессированием гинекомастии и импотенции;</w:t>
      </w:r>
    </w:p>
    <w:p w14:paraId="08283687" w14:textId="77777777" w:rsidR="00AD4AD1" w:rsidRPr="00802F8B" w:rsidRDefault="00AD4AD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 гепатотоксичность: ухудшение печеночного кровотока, повышение уровня трансаминаз в крови, в редких случаях – остр</w:t>
      </w:r>
      <w:r w:rsidR="00D2751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ы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й гепатит</w:t>
      </w:r>
      <w:r w:rsidR="00D2751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;</w:t>
      </w:r>
    </w:p>
    <w:p w14:paraId="09C086C1" w14:textId="77777777" w:rsidR="00D27518" w:rsidRPr="00802F8B" w:rsidRDefault="00D27518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 проникая через гематоэцефалический барьер, препарат вызывает церебрал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ь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ные расстройства (особенно у пожилых): головные боли, беспокойство, усталость, лихорадку (обусловленную действием препарата на гипоталамические центры терморегуляции), депрессию, галлюцинации, спутанность </w:t>
      </w:r>
      <w:r w:rsidR="002D059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сознания, иногда кому;</w:t>
      </w:r>
    </w:p>
    <w:p w14:paraId="39FE45F2" w14:textId="77777777" w:rsidR="002D059E" w:rsidRPr="007A0A43" w:rsidRDefault="002D059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 гематотоксичность: нейтропения, тромбоцитопения;</w:t>
      </w:r>
    </w:p>
    <w:p w14:paraId="6ACE38B7" w14:textId="77777777" w:rsidR="007A0A43" w:rsidRPr="001E7D36" w:rsidRDefault="007A0A43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14:paraId="0462C297" w14:textId="77777777" w:rsidR="002D059E" w:rsidRPr="00802F8B" w:rsidRDefault="002D059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 кардиотоксичность: синдром слабости синусного узла, нарушение ритма;</w:t>
      </w:r>
    </w:p>
    <w:p w14:paraId="5BCFC2F1" w14:textId="77777777" w:rsidR="00802F8B" w:rsidRDefault="002D059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 нефротоксичность: повышение уровня креатинина в сыворотке крови.</w:t>
      </w:r>
    </w:p>
    <w:p w14:paraId="4C767835" w14:textId="77777777" w:rsidR="00802F8B" w:rsidRDefault="002D059E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блокаторы последующих поколений – ранитидин, фамотидин, низатидин и роксатидин – переносятся значительно лучше. Они не оказывают антиандроге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ного и гепатотоксического действия</w:t>
      </w:r>
      <w:r w:rsidR="00B612B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не проникают через гематоэнцефалический барьер и не вызывают нервно-психических нарушений. При их применении могут лишь диспепсические расстройства(запоры, диарея, метеоризм) и аллергические реакции (преимущественно в виде крапивницы), которые встречаются сравн</w:t>
      </w:r>
      <w:r w:rsidR="00B612B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B612B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тельно редко (1-2%)</w:t>
      </w:r>
    </w:p>
    <w:p w14:paraId="77EE6F3A" w14:textId="77777777" w:rsidR="00802F8B" w:rsidRDefault="00B612B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длительном применении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блокаторов (более 8 недель), особенно в 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ы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соких дозах, следует иметь в виду потенциальную возможность развития гиперг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стринемии с последующей гиперплазией энтерохромаффинных клеток в слиз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стой желудка.</w:t>
      </w:r>
    </w:p>
    <w:p w14:paraId="112E0C71" w14:textId="77777777" w:rsidR="00B612B0" w:rsidRPr="00802F8B" w:rsidRDefault="00B612B0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резкой отмене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блокаторов, особенно циметидина, возможно развитие «синдрома рикошета</w:t>
      </w:r>
      <w:r w:rsidR="00306CE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», сопровождающегося вторичными гиперсекреторными р</w:t>
      </w:r>
      <w:r w:rsidR="00306CE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306CE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акциями.</w:t>
      </w:r>
    </w:p>
    <w:p w14:paraId="2EA01502" w14:textId="77777777" w:rsidR="00802F8B" w:rsidRDefault="00306CE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Лекарственные взаимодействия</w:t>
      </w:r>
    </w:p>
    <w:p w14:paraId="4E52ABEB" w14:textId="77777777" w:rsidR="00802F8B" w:rsidRDefault="00306CE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Циметидин является одним из наиболее мощных ингибиторов микросомальной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системы цитохрома Р-450 в печени. Поэтому он замедляет метаболизм и пов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ы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шает концентрацию в крови целого ряда лекарственных препаратов: </w:t>
      </w:r>
      <w:r w:rsidR="00BB3C3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теофиллина, диазепама, пропранолола, фенобарбитала, непрямых антикоагулянтов и других. Слабое ингибирование цитохрома Р-450 ранитидином не имеет клинического значения. Другие Н</w:t>
      </w:r>
      <w:r w:rsidR="00BB3C3D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BB3C3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блокаторы подобным действием вообще не обладают.</w:t>
      </w:r>
    </w:p>
    <w:p w14:paraId="549A2711" w14:textId="77777777" w:rsidR="00BB3C3D" w:rsidRPr="00802F8B" w:rsidRDefault="00BB3C3D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блокаторы могут уменьшать всасывание кетоконазола, которое зависит от наличия соляной кислоты в желудке.</w:t>
      </w:r>
    </w:p>
    <w:p w14:paraId="38D9A911" w14:textId="77777777" w:rsidR="00BB3C3D" w:rsidRPr="00802F8B" w:rsidRDefault="00BB3C3D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Дозировка и формы выпуска препаратов</w:t>
      </w:r>
    </w:p>
    <w:p w14:paraId="1137CE9D" w14:textId="77777777" w:rsidR="00983D77" w:rsidRPr="00802F8B" w:rsidRDefault="00983D77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Циметидин (альтрамет, гистодил, нейтронорм, примамет, тагамет; 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Cimetidinum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)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при обострении язвы назначается обычно по 200 мг 3 раза в день перед едой и 400 мг на ночь (1000 мг в день). При печеночной недостаточности дозу уменьш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ют до 400-800 мг в день</w:t>
      </w:r>
      <w:r w:rsidR="002E49D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Поддерживающая доза составляет 400 мг на ночь. При язвенных кровотечениях – внутримышечно или внутривенно по 200 мг 8-10 раз в сутки. Выпускается в таблетках по 200 и 400 мг, ампулах по 200 мг/2 мл</w:t>
      </w:r>
    </w:p>
    <w:p w14:paraId="24FE23EB" w14:textId="77777777" w:rsidR="002E49DB" w:rsidRPr="00802F8B" w:rsidRDefault="002E49DB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Ранитидин (зантак, раниберл, ранисан, гистак, улькодин; 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Ranitidini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hydrochlor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dum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)</w:t>
      </w:r>
      <w:r w:rsidR="00F8501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применяется в лечебной дозе 150 мг 2 раза в день </w:t>
      </w:r>
      <w:r w:rsidR="001E7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</w:t>
      </w:r>
      <w:r w:rsidR="00F8501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утром и вечером) или 300 мг на ночь. Поддерживающая доза – 150 мг на ночь. При ХПН лечебную дозу снижают до 150 мг, поддерживающую – до 75 мг в сутки. При кровотечениях – внутримышечно или внутривенно по 50 мг каждые 6-8 часов. Выпускается в та</w:t>
      </w:r>
      <w:r w:rsidR="00F8501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</w:t>
      </w:r>
      <w:r w:rsidR="00F8501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летках по 150 и 300 мг, ампулах по 50 мг/2 мл.</w:t>
      </w:r>
    </w:p>
    <w:p w14:paraId="44B4C1C4" w14:textId="77777777" w:rsidR="00802F8B" w:rsidRDefault="00F8501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Фамотидин (гастросидин, квамател, лецедил, ульфамид </w:t>
      </w:r>
      <w:r w:rsidR="00721A39"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; </w:t>
      </w:r>
      <w:r w:rsidR="00721A39" w:rsidRPr="00802F8B"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Famotidine</w:t>
      </w:r>
      <w:r w:rsidR="00721A39" w:rsidRPr="00802F8B">
        <w:rPr>
          <w:rStyle w:val="a3"/>
          <w:rFonts w:ascii="Times New Roman" w:hAnsi="Times New Roman"/>
          <w:color w:val="000000"/>
          <w:sz w:val="28"/>
          <w:szCs w:val="28"/>
        </w:rPr>
        <w:t>)</w:t>
      </w:r>
    </w:p>
    <w:p w14:paraId="657A5C69" w14:textId="77777777" w:rsidR="00F85011" w:rsidRPr="00802F8B" w:rsidRDefault="00F85011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Назначают по 20 мг 2 раза в день или по 40 мг перед сном. Поддерживающая 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за – 20 мг на ночь</w:t>
      </w:r>
      <w:r w:rsidR="002331C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При ХПН лечебную дозу уменьшают до 20 мг в день или увел</w:t>
      </w:r>
      <w:r w:rsidR="002331C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2331C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чивают интервалы между приемами (до 36-48 часов). Внутривенно – по 20 мг к</w:t>
      </w:r>
      <w:r w:rsidR="002331C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2331C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ждые 12 часов</w:t>
      </w:r>
      <w:r w:rsidR="00D2005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(на 5-10 мл изотонического раствора хлорида натрия). Выпускается в таблетках по 20 и 40 мг, ампулах по 20 мг.</w:t>
      </w:r>
    </w:p>
    <w:p w14:paraId="22380AAD" w14:textId="77777777" w:rsidR="00D20054" w:rsidRPr="00802F8B" w:rsidRDefault="00D20054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Низатидин (аксид</w:t>
      </w:r>
      <w:r w:rsidR="001206B6"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; </w:t>
      </w:r>
      <w:r w:rsidR="001206B6" w:rsidRPr="00802F8B"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Nizatidine</w:t>
      </w:r>
      <w:r w:rsidR="001206B6" w:rsidRPr="00802F8B">
        <w:rPr>
          <w:rStyle w:val="a3"/>
          <w:rFonts w:ascii="Times New Roman" w:hAnsi="Times New Roman"/>
          <w:color w:val="000000"/>
          <w:sz w:val="28"/>
          <w:szCs w:val="28"/>
        </w:rPr>
        <w:t>)</w:t>
      </w:r>
      <w:r w:rsidR="00721A39"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="00721A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 150 мг 2 раза вдень или 300 мг на ночь. По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держивающая доза – 150 мг в сутки. При ХПН – по 150 мг в сутки или через день. При кровотечениях - внутривенно капельно длительно со скоростью 10 мг/час или по 100 мг в течении 15 минут 3 раза в день. Выпускается в капсулах</w:t>
      </w:r>
      <w:r w:rsidR="00FB5EE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по 150-300 мг, флаконах по 100 мг/4 мл.</w:t>
      </w:r>
    </w:p>
    <w:p w14:paraId="5AFE6337" w14:textId="77777777" w:rsidR="00C25F62" w:rsidRDefault="00FB5EE4" w:rsidP="00C25F62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Роксатидин (роксан)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– по 75 мг 2 раза в день или 150 мг на ночь, при поддерж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вающей терапии – по 75 мг в сутки. При ХПН – 75 мг 1 раз в день или через день. Выпускается в таблетках по 150 мг.</w:t>
      </w:r>
      <w:r w:rsidR="00C25F62">
        <w:rPr>
          <w:rStyle w:val="a3"/>
          <w:rFonts w:ascii="Times New Roman" w:hAnsi="Times New Roman"/>
          <w:color w:val="000000"/>
          <w:sz w:val="28"/>
        </w:rPr>
        <w:br w:type="page"/>
      </w:r>
    </w:p>
    <w:p w14:paraId="6C31230C" w14:textId="77777777" w:rsidR="00FB5EE4" w:rsidRPr="00802F8B" w:rsidRDefault="00FB5EE4" w:rsidP="00C25F62">
      <w:pPr>
        <w:tabs>
          <w:tab w:val="left" w:pos="6630"/>
        </w:tabs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</w:rPr>
        <w:t>2.4 Ингибиторы протонного насоса</w:t>
      </w:r>
    </w:p>
    <w:p w14:paraId="341A7D0B" w14:textId="77777777" w:rsidR="00802F8B" w:rsidRDefault="00802F8B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</w:p>
    <w:p w14:paraId="773BE83C" w14:textId="77777777" w:rsidR="00FB5EE4" w:rsidRPr="00802F8B" w:rsidRDefault="00FB5EE4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Ингибиторы протонного насоса (ИПН) занимают центральное место среди пр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тивоязвенных лекарственных средств. Это связано, во-первых</w:t>
      </w:r>
      <w:r w:rsidR="001B6A5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с тем, что по ант</w:t>
      </w:r>
      <w:r w:rsidR="001B6A5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секреторной активности (</w:t>
      </w:r>
      <w:r w:rsidR="001B6A5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 следовательно – и по клинической эффективности) они значительно превосходят другие препараты. Во-вторых, ИПН создают благ</w:t>
      </w:r>
      <w:r w:rsidR="001B6A5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1B6A5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приятную среду для антигеликобактерного действия антибактериальных средств, в связи с чем они включаются в качестве неотъемлемого компонента в больши</w:t>
      </w:r>
      <w:r w:rsidR="001B6A5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1B6A5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ство схем эрадикации пилорического геликобактера. Из препаратов этой группы в клинике в настоящее время используются омепразол, а также менее известные в нашей стране, но широко применяемые за рубежом, пантопразол и лансопразол.</w:t>
      </w:r>
    </w:p>
    <w:p w14:paraId="50492C73" w14:textId="77777777" w:rsidR="00802F8B" w:rsidRDefault="004634C3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Фармакодинамика</w:t>
      </w:r>
    </w:p>
    <w:p w14:paraId="223B0BED" w14:textId="77777777" w:rsidR="00802F8B" w:rsidRDefault="004360DE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Ингибирование протонного (кислотного) насоса достигается за счет угнетения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АТ фазы париентальных клеток. Антисекреторный эффект в данном случае реализуется не посредством блокирования каких-либо рецепторов (Н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гистам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новых, М –холинергических), участвующих в регуляции желудочной секреции, а путем прямого воздействия на синтез соляной кислоты. Функционирование 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слотного насоса является заключительным этапом</w:t>
      </w:r>
      <w:r w:rsidR="002829A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биохимических превращений внутри париентальной клетки, результатом которых является выработка соляной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829A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кислоты. Воздействуя на этот этап, ИПН вызывают максимальное торможение к</w:t>
      </w:r>
      <w:r w:rsidR="002829A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2829A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слотообразования.</w:t>
      </w:r>
    </w:p>
    <w:p w14:paraId="4E4535E6" w14:textId="77777777" w:rsidR="00802F8B" w:rsidRDefault="002829A4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ИПН исходно не обладают биологической активностью. Но, являясь по химич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ской природе слабыми основаниями, они накапливаются в секреторных канал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ь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цах париентальных клеток, где под влиянием соляной кислоты превращаются в сульфенамидные производные, которые</w:t>
      </w:r>
      <w:r w:rsidR="00BD210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образуют ковалентные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D210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дисульфидные связи с цистеином Н</w:t>
      </w:r>
      <w:r w:rsidR="00BD2105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⁺</w:t>
      </w:r>
      <w:r w:rsidR="00BD210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 w:rsidR="00BD2105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⁺</w:t>
      </w:r>
      <w:r w:rsidR="00BD210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АТ Фазы, ингибируя данный фермент. Для восстановления секреции париентальная клетка вынуждена синтезировать новый белок ферме</w:t>
      </w:r>
      <w:r w:rsidR="00BD210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BD2105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та, на что требуется около 18 часов.</w:t>
      </w:r>
    </w:p>
    <w:p w14:paraId="5031983D" w14:textId="77777777" w:rsidR="00802F8B" w:rsidRDefault="00BD2105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Высокая терапевтическая эффективность ИПН обусловлена их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выраженной ант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секреторной активностью, от 2-10 раз более высокой, чем у Н</w:t>
      </w:r>
      <w:r w:rsidR="003A7540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-блокаторов. При приеме средней терапевтической дозы 1 раз в день</w:t>
      </w:r>
      <w:r w:rsidR="004360D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(независимо от времени с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ток) желудочное кислотовыделение в течение суток подавляется на 80-98% , в время как при приеме Н</w:t>
      </w:r>
      <w:r w:rsidR="003A7540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блокаторов – на 55-70%. По существу, ИПН являются в настоящее время единственными препаратами, способными поддержать показ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тели интрагастрального рН на уровне выше 3 более 18 часов и удовлетворяющ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ми, таким образом, требованиям, сформулированным </w:t>
      </w:r>
      <w:r w:rsidR="003A7540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Burget</w:t>
      </w:r>
      <w:r w:rsidR="00002E9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для идеальных пр</w:t>
      </w:r>
      <w:r w:rsidR="00002E9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002E9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тивоязвенных средств.</w:t>
      </w:r>
    </w:p>
    <w:p w14:paraId="19AA3447" w14:textId="77777777" w:rsidR="00002E9D" w:rsidRPr="00802F8B" w:rsidRDefault="00002E9D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ИПН не оказывают прямого влияния на выработку пепсина и желудочной слизи, но -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соответствии с законом «обратной связи»- повышают (в 1,6- 4 раза) ур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вень гастрина в сыворотке, который достаточно быстро нормализуется после пр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кращения лечения.</w:t>
      </w:r>
    </w:p>
    <w:p w14:paraId="31A452A6" w14:textId="77777777" w:rsidR="00802F8B" w:rsidRDefault="0076376E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Фармакокинетика</w:t>
      </w:r>
    </w:p>
    <w:p w14:paraId="08036F64" w14:textId="77777777" w:rsidR="0081506B" w:rsidRPr="00802F8B" w:rsidRDefault="0076376E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приеме внутрь ИПН протонного насоса,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попадая в кислую среду желудо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ного сока, могут преждевременно превратиться в сульфенамиды,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которые плохо всасываются в кишечнике. Поэтому они применяются в капсулах, устойчивых к действию желудочного сока. </w:t>
      </w:r>
      <w:r w:rsidR="0081506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Биодоступность омепразола в такой лекарственной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1506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форме составляет около 65%, пантопразола – 77%, у лансопразола она вари</w:t>
      </w:r>
      <w:r w:rsidR="0081506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81506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бельна. Препараты довольно быстро метаболизируются в печени, экскретируются через почки (омепразол, патопразол</w:t>
      </w:r>
      <w:r w:rsidR="00FD206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) и желудочно- кишечный тракт (</w:t>
      </w:r>
      <w:r w:rsidR="00FD2067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лансопр</w:t>
      </w:r>
      <w:r w:rsidR="00FD2067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а</w:t>
      </w:r>
      <w:r w:rsidR="00FD2067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зол</w:t>
      </w:r>
      <w:r w:rsidR="00FD206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). Период полувыведения омепразола -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D206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60 минут,пантопразола – 80-90 минут, лансопразола – 90-120 минут. При заболеваниях печени и почек эти величины существенно не изменяются.</w:t>
      </w:r>
    </w:p>
    <w:p w14:paraId="06D514F1" w14:textId="77777777" w:rsidR="00802F8B" w:rsidRDefault="00FD2067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Клиническая эффективность и показания к применению</w:t>
      </w:r>
    </w:p>
    <w:p w14:paraId="37910B36" w14:textId="77777777" w:rsidR="00802F8B" w:rsidRDefault="00FD2067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Многоцентровые и мета-аналитические исследования подтвердили более 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ы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сокую эффективность ИПН при лечении обострений язвенной болезни по сравн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нию с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блокаторами. Так, в течение 2 недель клиническая ремиссия (исчезн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вение болей и диспепсических расстройств), достигается у 72% больных с дуод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нальными язвами и 66%-с язвами желудка. У 69% пациентов в эти же сроки ру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цуется язвенный дефект 12-перстной кишки. Через 4 недели заживление дуод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нальных язв наблюдается уже у 93-100% пациентов. Язвы желудка рубцуются ч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6D132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рез 4 и 8 недель, в среднем, у 73% и 91% больных, соответственно.</w:t>
      </w:r>
    </w:p>
    <w:p w14:paraId="5267F028" w14:textId="77777777" w:rsidR="00802F8B" w:rsidRDefault="00D76A6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Специальным показанием к применению ИПН служат гастродуоденальные я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вы, резистентные к терапии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блокаторами. Данная резистентность встречается у 5-15% больных, получающих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блокаторы. При 4-х недельном применении ИПН язвы 12-перстной кишки заживают у 87%, а язвы желудка – у 80% таких п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циентов, через 8 недель – у 98 и 94% больных, соответственно.</w:t>
      </w:r>
    </w:p>
    <w:p w14:paraId="78750AB1" w14:textId="77777777" w:rsidR="00802F8B" w:rsidRDefault="00D76A6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труднорубцующихся язвах</w:t>
      </w:r>
      <w:r w:rsidR="006D706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которые чаще локализуются в желудке, усил</w:t>
      </w:r>
      <w:r w:rsidR="006D706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6D706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ние эффекта отмечается при двукратном увеличении дозы. Частота рубцевания через 4 недели повышается до 80%, а через 8 недель –до 96%.</w:t>
      </w:r>
    </w:p>
    <w:p w14:paraId="3D28122D" w14:textId="77777777" w:rsidR="006D7060" w:rsidRPr="00802F8B" w:rsidRDefault="006D7060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ИПН применяются также для противорецидивной терапии язвенной болезни, для лечения язвенных поражений, вызванных приемом НПВС. При гастродуод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нальных язвах у больных с синдромом Золлингера-Эллисона ИПН назначаются в дозах, превышающих средние терапевтические в 3-4 раза.</w:t>
      </w:r>
    </w:p>
    <w:p w14:paraId="454E1526" w14:textId="77777777" w:rsidR="006D7060" w:rsidRPr="00802F8B" w:rsidRDefault="006D7060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Как уже указывалось</w:t>
      </w:r>
      <w:r w:rsidR="0043240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ИПН входят в многие схемы антигеликобактерной тер</w:t>
      </w:r>
      <w:r w:rsidR="0043240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43240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пии.</w:t>
      </w:r>
    </w:p>
    <w:p w14:paraId="5F8E339C" w14:textId="77777777" w:rsidR="00802F8B" w:rsidRDefault="00432406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Нежелательные реакции</w:t>
      </w:r>
    </w:p>
    <w:p w14:paraId="6D5EDB95" w14:textId="77777777" w:rsidR="00802F8B" w:rsidRDefault="00432406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Профиль безопасности ИПН при которых </w:t>
      </w:r>
      <w:r w:rsidR="001E7D3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до 3 месяцев ) курсах терапии являе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ся очень высоким. Чаще всего при этом отмечаются головная боль (2-3%), уто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ляемость (2%), головокружение (1%), диарея (2%), запоры (1% пациентов). В ре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ких случаях – аллергические реакции в виде кожной сыпи или бронхоспазма. При внутривенном введении омепразола описаны единичные случаи нарушения зр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ния и слуха.</w:t>
      </w:r>
    </w:p>
    <w:p w14:paraId="6B1AE341" w14:textId="77777777" w:rsidR="00432406" w:rsidRPr="00802F8B" w:rsidRDefault="00432406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длительном (особенно в течение</w:t>
      </w:r>
      <w:r w:rsidR="00A9604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нескольких лет) непрерывном приеме ИПН в высоких дозах 40 мг омепразола, 80 мг пантопразола, 60 мг лансопразола) возникает гипергастринемия, прогрессируют явления атрофического гастрита, иногда – узелковая гиперплазия энтерохромаффинных клеток слизистой желудка. Необходимость длительного приема таких доз имеется обычно лишь у больных с синдромом Золлингера-Эллисона и при тяжелом течении эрозивно-язвенного эзофагита.</w:t>
      </w:r>
    </w:p>
    <w:p w14:paraId="018D25D6" w14:textId="77777777" w:rsidR="00802F8B" w:rsidRDefault="00A9604C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Лекарственные взаимодействия</w:t>
      </w:r>
    </w:p>
    <w:p w14:paraId="1EF1218A" w14:textId="77777777" w:rsidR="00A9604C" w:rsidRPr="00802F8B" w:rsidRDefault="00A9604C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Омепразол и лансопразол умеренно ингибируют</w:t>
      </w:r>
      <w:r w:rsidR="007E28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цитохром Р-450 в печени и, вследствие этого замедляют элиминацию некоторых лекарственных препаратов – диазепама, варфарина, фенотоина. В то же время, метаболизм кофеина, теофи</w:t>
      </w:r>
      <w:r w:rsidR="007E28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</w:t>
      </w:r>
      <w:r w:rsidR="007E28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лина, пропранолола, хинидина при этом не нарушается. Пантопразол практич</w:t>
      </w:r>
      <w:r w:rsidR="007E28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7E28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ски не оказывает влияния на цитохром Р-450.</w:t>
      </w:r>
    </w:p>
    <w:p w14:paraId="23A077B6" w14:textId="77777777" w:rsidR="00D41D3B" w:rsidRPr="00802F8B" w:rsidRDefault="007E286D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Дозировка и формы выпуска препаратов</w:t>
      </w:r>
    </w:p>
    <w:p w14:paraId="5E1D5885" w14:textId="77777777" w:rsidR="00D41D3B" w:rsidRPr="00802F8B" w:rsidRDefault="00D41D3B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Омепразол (лосек, омепрол,омез; 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Omeprasolum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)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назначается обычно внутрь в дозе 20 мг 1 раз в день утром на тощак. При труднорубцующихся язвах, а также при проведении антигеликобактерной терапии – по 20 мг 2 раза в день. При по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держивающей терапии доза уменьшается до 10 мг в день. При язвенном кровоте</w:t>
      </w:r>
      <w:r w:rsidR="00CD2A1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ении</w:t>
      </w:r>
      <w:r w:rsidR="00CD2A1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при «стрессовых» язвах – внутривенно капельно 42,6 мг омепразола н</w:t>
      </w:r>
      <w:r w:rsidR="00CD2A1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CD2A1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трия (соответствует 40 мг </w:t>
      </w:r>
      <w:r w:rsidR="00C51BE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омепразола) в 100 мл 0,9% раствора хлорида натрия или 5% раствора глюкозы. Выпускается в капсулах по 10 и 20 мг, во флаконах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51BEF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 42,6 мг омепразола натрия.</w:t>
      </w:r>
    </w:p>
    <w:p w14:paraId="26D9CEE1" w14:textId="77777777" w:rsidR="00C25C4B" w:rsidRPr="00802F8B" w:rsidRDefault="00C51BEF" w:rsidP="00802F8B">
      <w:pPr>
        <w:tabs>
          <w:tab w:val="center" w:pos="496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Пантопразол </w:t>
      </w:r>
      <w:r w:rsidR="001206B6" w:rsidRPr="00802F8B">
        <w:rPr>
          <w:rStyle w:val="a3"/>
          <w:rFonts w:ascii="Times New Roman" w:hAnsi="Times New Roman"/>
          <w:color w:val="000000"/>
          <w:sz w:val="28"/>
          <w:szCs w:val="28"/>
        </w:rPr>
        <w:t>(</w:t>
      </w:r>
      <w:r w:rsidR="001206B6" w:rsidRPr="00802F8B"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Pantoprazole</w:t>
      </w:r>
      <w:r w:rsidR="001206B6" w:rsidRPr="00802F8B">
        <w:rPr>
          <w:rStyle w:val="a3"/>
          <w:rFonts w:ascii="Times New Roman" w:hAnsi="Times New Roman"/>
          <w:color w:val="000000"/>
          <w:sz w:val="28"/>
          <w:szCs w:val="28"/>
        </w:rPr>
        <w:t>)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 внутрь по 40 мг 1 раз в день перед завтраком. При антигеликобактерной терапии – 80 мг в день. Внутривенно капельно</w:t>
      </w:r>
      <w:r w:rsidR="00C25C4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45,1 мг па</w:t>
      </w:r>
      <w:r w:rsidR="00C25C4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C25C4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топразола натрия (соответствует 40 мг пантопразола) в изотоническом растворе хлорида натрия. Выпускается в капсулах по 40 мг, флаконах по 45,1 мг пантопр</w:t>
      </w:r>
      <w:r w:rsidR="00C25C4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C25C4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зола натрия.</w:t>
      </w:r>
    </w:p>
    <w:p w14:paraId="0CE266C2" w14:textId="77777777" w:rsidR="00911651" w:rsidRPr="00802F8B" w:rsidRDefault="00C25C4B" w:rsidP="00802F8B">
      <w:pPr>
        <w:tabs>
          <w:tab w:val="center" w:pos="496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Лансопразол (ланзап</w:t>
      </w:r>
      <w:r w:rsidR="001206B6" w:rsidRPr="00802F8B">
        <w:rPr>
          <w:rStyle w:val="a3"/>
          <w:rFonts w:ascii="Times New Roman" w:hAnsi="Times New Roman"/>
          <w:color w:val="000000"/>
          <w:sz w:val="28"/>
          <w:szCs w:val="28"/>
        </w:rPr>
        <w:t>;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206B6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Lansoprazole</w:t>
      </w:r>
      <w:r w:rsidR="001206B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)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 внутрь по 30 мг 1 раз в день (утром или 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чером). При антигеликобактерной терапии </w:t>
      </w:r>
      <w:r w:rsidR="009116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–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116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60 мг в день. Выпускается в капсулах по 30 мг.</w:t>
      </w:r>
    </w:p>
    <w:p w14:paraId="648CCBDC" w14:textId="77777777" w:rsidR="00911651" w:rsidRPr="00802F8B" w:rsidRDefault="00911651" w:rsidP="00802F8B">
      <w:pPr>
        <w:tabs>
          <w:tab w:val="center" w:pos="496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14:paraId="08759749" w14:textId="77777777" w:rsidR="00911651" w:rsidRPr="00802F8B" w:rsidRDefault="00911651" w:rsidP="00C25F62">
      <w:pPr>
        <w:tabs>
          <w:tab w:val="center" w:pos="4960"/>
        </w:tabs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</w:rPr>
        <w:t>2.5 Цитопротекторы</w:t>
      </w:r>
    </w:p>
    <w:p w14:paraId="22396F43" w14:textId="77777777" w:rsidR="00802F8B" w:rsidRDefault="00802F8B" w:rsidP="00802F8B">
      <w:pPr>
        <w:tabs>
          <w:tab w:val="center" w:pos="496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</w:p>
    <w:p w14:paraId="106E2978" w14:textId="77777777" w:rsidR="00802CC3" w:rsidRPr="00802F8B" w:rsidRDefault="00911651" w:rsidP="00802F8B">
      <w:pPr>
        <w:tabs>
          <w:tab w:val="center" w:pos="496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 цитопротекторам относят лекарственные препараты, повышающие защитные свойства слизистой оболочки желудка и ее устойчивость к действию различных ульцерогенных факторов (в первую очередь, НПВС). В эту группу входят синтет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ческие аналоги простагландинов (мизопростол), сукрольфат и препараты висмута. Однако противоязвенный эффект последних в настоящее время связывают</w:t>
      </w:r>
      <w:r w:rsidR="00802CC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гла</w:t>
      </w:r>
      <w:r w:rsidR="00802CC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="00802CC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ным образом, с антигеликобактерной активностью, поэтому они рассматриваются в соответствующей главе.</w:t>
      </w:r>
    </w:p>
    <w:p w14:paraId="6D39A90C" w14:textId="77777777" w:rsidR="00802F8B" w:rsidRDefault="00802CC3" w:rsidP="00802F8B">
      <w:pPr>
        <w:tabs>
          <w:tab w:val="center" w:pos="496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Мизопростол</w:t>
      </w:r>
    </w:p>
    <w:p w14:paraId="58172400" w14:textId="77777777" w:rsidR="00802CC3" w:rsidRPr="00802F8B" w:rsidRDefault="00802CC3" w:rsidP="00802F8B">
      <w:pPr>
        <w:tabs>
          <w:tab w:val="center" w:pos="496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Мизопростол (сайтотек) является синтетическим аналогом простагландина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0ACCEA8C" w14:textId="77777777" w:rsidR="00802F8B" w:rsidRDefault="00802CC3" w:rsidP="00802F8B">
      <w:pPr>
        <w:tabs>
          <w:tab w:val="center" w:pos="496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Фармакодинамика</w:t>
      </w:r>
    </w:p>
    <w:p w14:paraId="724EA877" w14:textId="77777777" w:rsidR="007E286D" w:rsidRPr="00802F8B" w:rsidRDefault="00802CC3" w:rsidP="00C25F62">
      <w:pPr>
        <w:tabs>
          <w:tab w:val="center" w:pos="496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Препарат стимулирует выработку гликопротеинов желудочной слизи, улучшает кровоток в слизистой желудка, увеличивает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секрецию бикарбонатов,</w:t>
      </w:r>
      <w:r w:rsidR="00EC42D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подавляя базальную и стимулированную выработку соляной кислоты. Уст</w:t>
      </w:r>
      <w:r w:rsidR="00EC42D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EC42D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новлено, однако, что мизопростол проявляет противоязвенное действие в дозах, недостаточных для подавления кислотной секреции.</w:t>
      </w:r>
    </w:p>
    <w:p w14:paraId="4EA1D27E" w14:textId="77777777" w:rsidR="00802F8B" w:rsidRDefault="00EC42D7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Фармакокинетика</w:t>
      </w:r>
    </w:p>
    <w:p w14:paraId="31150FF4" w14:textId="77777777" w:rsidR="00EC42D7" w:rsidRPr="00802F8B" w:rsidRDefault="00EC42D7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Быстро всасывается в желудочно-кишечном тракте. Максимальная </w:t>
      </w:r>
      <w:r w:rsidR="002E0F2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концентр</w:t>
      </w:r>
      <w:r w:rsidR="002E0F2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2E0F2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ция в сыворотке крови достигается через 15 минут. При приеме с пищей, соде</w:t>
      </w:r>
      <w:r w:rsidR="002E0F2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</w:t>
      </w:r>
      <w:r w:rsidR="002E0F2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жащей большое количество жиров, абсорбция замедляется. Деэстерифицируясь, превращается в мизопростоловую кислоту, которая затем подвергается метаб</w:t>
      </w:r>
      <w:r w:rsidR="002E0F2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2E0F2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лизму, свойственному простагландинам и жирным кислотам.</w:t>
      </w:r>
      <w:r w:rsidR="0084397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Период полувыв</w:t>
      </w:r>
      <w:r w:rsidR="0084397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84397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дения мизопростола – 30 минут. При ХПН пиковая концентрация в крови и пер</w:t>
      </w:r>
      <w:r w:rsidR="0084397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84397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од полувыведения несколько возрастают.</w:t>
      </w:r>
    </w:p>
    <w:p w14:paraId="1011D7DD" w14:textId="77777777" w:rsidR="00802F8B" w:rsidRDefault="00843976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Клиническая эффективность и показания к применению</w:t>
      </w:r>
    </w:p>
    <w:p w14:paraId="1792F30F" w14:textId="77777777" w:rsidR="00802F8B" w:rsidRDefault="00843976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Мизопростол достаточно эффективен при лечении обострений язвенной боле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ни: в течение 4 недель заживление происходит у 76-85% больных с дуоденал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ь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ными язвами, а через 8 недель - у 51-62% пациентов с язвами желудка.</w:t>
      </w:r>
    </w:p>
    <w:p w14:paraId="7B833BA5" w14:textId="77777777" w:rsidR="00843976" w:rsidRPr="00802F8B" w:rsidRDefault="00843976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Однако показания к его применению в настоящее время ограничиваются леч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нием и профилактикой гастродуоденальных эрозивно-язвенных</w:t>
      </w:r>
      <w:r w:rsidR="000633B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поражений, в</w:t>
      </w:r>
      <w:r w:rsidR="000633B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ы</w:t>
      </w:r>
      <w:r w:rsidR="000633B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званных НПВС, поскольку один из важных механизмов их ульцерогенного дейс</w:t>
      </w:r>
      <w:r w:rsidR="000633B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0633B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вия заключается в подавлении синтеза эндогенных простагландинов в стенке ж</w:t>
      </w:r>
      <w:r w:rsidR="000633B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0633B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лудка. По эффективности в этих случаях он превосходит Н</w:t>
      </w:r>
      <w:r w:rsidR="000633BC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0633B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&gt;блокаторы</w:t>
      </w:r>
      <w:r w:rsidR="00F262E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и приме</w:t>
      </w:r>
      <w:r w:rsidR="00F262E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</w:t>
      </w:r>
      <w:r w:rsidR="00F262E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 равноценен омепразолу. При назначении вместе с НПВС мизопростол снижает частоту возникновения язв желудка с 7-11% до 2-4%, а язв 12-перстной кишки – с 4-9% до 0,2-1,4%. При этом существенно снижается и риск развития язвенных кровотечений. Назначаемый с целью лечения медикаментозных гастродуод</w:t>
      </w:r>
      <w:r w:rsidR="00F262E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F262E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нальных язв, мизопростол позволяет у большинства больных добиться их зажи</w:t>
      </w:r>
      <w:r w:rsidR="00F262E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="00F262E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ления без отмены НПВС.</w:t>
      </w:r>
    </w:p>
    <w:p w14:paraId="749427CB" w14:textId="77777777" w:rsidR="00802F8B" w:rsidRDefault="00F262E0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Нежелательные реакции</w:t>
      </w:r>
    </w:p>
    <w:p w14:paraId="72C78483" w14:textId="77777777" w:rsidR="00802F8B" w:rsidRDefault="00F262E0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Отмечаются диспепсические расстройства, схваткообразные боли в животе, кожные сыпи.</w:t>
      </w:r>
      <w:r w:rsidR="00AE7FC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Наиболее часто (у 11-33% больных) развивается диарея, обусло</w:t>
      </w:r>
      <w:r w:rsidR="00AE7FC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="00AE7FC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ленная усилением перистальтики кишечника. Обычно она умеренно выражена и, как правило, проходит в течение нескольких дней.</w:t>
      </w:r>
    </w:p>
    <w:p w14:paraId="6B3399D6" w14:textId="77777777" w:rsidR="00AE7FCE" w:rsidRPr="00802F8B" w:rsidRDefault="00AE7FCE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Мизопростол повышает тонус миометрия, в результате чего могут появляться боли внизу живота и кровянистые выделения из влагалища. Поэтому его можно принимать только начиная со 2-3 дня после менструации. Препарат противопок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зан при беременности.</w:t>
      </w:r>
    </w:p>
    <w:p w14:paraId="35A19783" w14:textId="77777777" w:rsidR="00802F8B" w:rsidRDefault="00AE7FCE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="00A9063F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Дозировка и формы выпуска</w:t>
      </w:r>
    </w:p>
    <w:p w14:paraId="133E3E4E" w14:textId="77777777" w:rsidR="00A9063F" w:rsidRPr="00802F8B" w:rsidRDefault="00A9063F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Внутрь по 200 мкг 4 раза в день ( 3 раза в день после еды и на ночь ) на весь срок приема НПВС. При выраженной ХПН доза снижается в 2 раза. Выпускается в таблетках по 200 мкг. Входит в состав препарата артротека (таблетки: 50 мг ди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лофенака натрия, 200 мкг мизопростола), который назначается по 1 таблетке 2-3 раза в день пациентам с ревматоидным артритом или остеоартрозом.</w:t>
      </w:r>
    </w:p>
    <w:p w14:paraId="55E8F546" w14:textId="77777777" w:rsidR="00802F8B" w:rsidRDefault="00A9063F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color w:val="000000"/>
          <w:sz w:val="28"/>
        </w:rPr>
        <w:t>Сукральфат</w:t>
      </w:r>
    </w:p>
    <w:p w14:paraId="65166E72" w14:textId="77777777" w:rsidR="00A9063F" w:rsidRPr="00802F8B" w:rsidRDefault="00A9063F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Сукральфат (алсукрал, вентер, сукрамал</w:t>
      </w:r>
      <w:r w:rsidR="000B74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сукрафил) является основной алюм</w:t>
      </w:r>
      <w:r w:rsidR="000B74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0B74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ниевой солью сульфата сахарозы. Нерастворим в воде и при пероральном при</w:t>
      </w:r>
      <w:r w:rsidR="000B74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0B7451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ме почти не всасывается в желудочно-кишечном тракте.</w:t>
      </w:r>
    </w:p>
    <w:p w14:paraId="2897FA76" w14:textId="77777777" w:rsidR="00802F8B" w:rsidRDefault="000B7451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Фармакодинамика</w:t>
      </w:r>
    </w:p>
    <w:p w14:paraId="69703BAF" w14:textId="77777777" w:rsidR="00802F8B" w:rsidRDefault="000B7451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кислой среде желудка диссоциирует на гидроокись алюминия и гидроге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сульфат сахорозы. Несмотря на образование гидроокиси алюминия, сукральфат обладает весьма слабой антацидной активностью, используя лишь 10 % своих п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тенциальных кислотонейтрализующих свойств. Гидрогенсульфат сахарозы обр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зует комплекс с некротическими массами </w:t>
      </w:r>
      <w:r w:rsidR="0025585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зоне язвенного дефекта, который с</w:t>
      </w:r>
      <w:r w:rsidR="0025585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255857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храняется около 3 часов и создает барьер для действия соляной кислоты, пепсина и желчных кислот.</w:t>
      </w:r>
    </w:p>
    <w:p w14:paraId="11AE98F8" w14:textId="77777777" w:rsidR="00255857" w:rsidRPr="00802F8B" w:rsidRDefault="00255857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Повышает содержание простагландинов в слизистой желудка, увеличивает выработку желудочной слизи и бикарбонатов, улучшает кровоток в слизистой и ускоряет регенерацию эпителиальных клеток. Адсорбирует пепсин и снижает чу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ствительность париентальных клеток. Ослабляет всасывание фосфатов в кише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нике.</w:t>
      </w:r>
    </w:p>
    <w:p w14:paraId="722F2740" w14:textId="77777777" w:rsidR="00802F8B" w:rsidRDefault="00255857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—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Клиническая эффективность и показания к применению</w:t>
      </w:r>
    </w:p>
    <w:p w14:paraId="1601B531" w14:textId="77777777" w:rsidR="00802F8B" w:rsidRDefault="00255857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Частота рубцевания язв желудка и 12-перстной кишки на фоне приема сукрал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ь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фата достигает 70-80%</w:t>
      </w:r>
      <w:r w:rsidR="002716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Однако в настоящее время он используется не для курс</w:t>
      </w:r>
      <w:r w:rsidR="002716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27161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вой терапии обострений язвенной болезни, где он уступил место более мощным антисекреторным препаратам, а, главным образом, для профилактики и лечения гастродуоденальных язв, вызванных приемом ульцерогенных лекарственных средств.</w:t>
      </w:r>
    </w:p>
    <w:p w14:paraId="5A90E4DA" w14:textId="77777777" w:rsidR="00802F8B" w:rsidRDefault="0027161E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Может применяться для профилактики стрессовых кровотечений у больных с тяжелыми травмами и ожогами. При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этом, как показали контролируемые иссл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дования, риск развития госпитальной пневмонии меньше, чем при применении антацидов, поскольку сукральфат, в отличие от последних, не вызывает повыш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ние рН желудочного содержимого и связанного с этим размножения</w:t>
      </w:r>
      <w:r w:rsidR="00B667B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грамотриц</w:t>
      </w:r>
      <w:r w:rsidR="00B667B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B667B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тельных бактерий в желудке.</w:t>
      </w:r>
    </w:p>
    <w:p w14:paraId="03A8670D" w14:textId="77777777" w:rsidR="00802F8B" w:rsidRDefault="009D548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Используется также при эрозивно-язвенных поражениях желудка, вызванных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приемом больших количеств острой пищи и алкоголя, однако объективных кл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нических доказательств эффективности его в таких ситуациях не имеется.</w:t>
      </w:r>
    </w:p>
    <w:p w14:paraId="6E8607C1" w14:textId="77777777" w:rsidR="009D548A" w:rsidRPr="00802F8B" w:rsidRDefault="009D548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Основным показанием к применению сукральфата является гиперфосфатемия у больных с уремией, которые находятся на диализе.</w:t>
      </w:r>
    </w:p>
    <w:p w14:paraId="26E4737F" w14:textId="77777777" w:rsidR="00802F8B" w:rsidRDefault="009D548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Нежелательные реакции</w:t>
      </w:r>
    </w:p>
    <w:p w14:paraId="252F96B2" w14:textId="77777777" w:rsidR="009D548A" w:rsidRPr="00802F8B" w:rsidRDefault="009D548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Наиболее частыми являются запоры (у 2-4% больных); реже встречаются гол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вокружение, крапивница. Необходимо соблюдать осторожность при применении препарата</w:t>
      </w:r>
      <w:r w:rsidR="0063450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у больных с тяжелой почечной недостаточностью.</w:t>
      </w:r>
    </w:p>
    <w:p w14:paraId="2DB4F00D" w14:textId="77777777" w:rsidR="00802F8B" w:rsidRDefault="0063450C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Лекарственные взаимодействия</w:t>
      </w:r>
    </w:p>
    <w:p w14:paraId="1169DDD8" w14:textId="77777777" w:rsidR="00802F8B" w:rsidRDefault="0063450C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Сукральфат снижает всасывание многих препаратов в желудочно-кишечном тракте (тетрациклины, фторхинолоны, Н</w:t>
      </w:r>
      <w:r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-блокаторы, дигоксин, теофиллины пр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лонгированного действия), поэтому интервалы между их приемами должны 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ставлять не менее 2 часов.</w:t>
      </w:r>
    </w:p>
    <w:p w14:paraId="25706703" w14:textId="77777777" w:rsidR="0063450C" w:rsidRPr="00802F8B" w:rsidRDefault="0063450C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Антациды, снижая кислотность в желудке, уменьшают степень диссоциации 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кральфата и ослабляют его активность, поэтому они должны применяться не м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нее чем за 30 минут до или не ранее чем через 30 минут после приема сукрал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ь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фата.</w:t>
      </w:r>
    </w:p>
    <w:p w14:paraId="642C92C3" w14:textId="77777777" w:rsidR="00802F8B" w:rsidRDefault="0063450C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—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u w:val="single"/>
        </w:rPr>
        <w:t>Дозировка и формы выпуска</w:t>
      </w:r>
    </w:p>
    <w:p w14:paraId="1D073748" w14:textId="77777777" w:rsidR="0063450C" w:rsidRPr="00802F8B" w:rsidRDefault="0063450C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Внутрь – по </w:t>
      </w:r>
      <w:smartTag w:uri="urn:schemas-microsoft-com:office:smarttags" w:element="metricconverter">
        <w:smartTagPr>
          <w:attr w:name="ProductID" w:val="1 г"/>
        </w:smartTagPr>
        <w:r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1 г</w:t>
        </w:r>
      </w:smartTag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3 раза в день за 0,5</w:t>
      </w:r>
      <w:r w:rsidR="00C006C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-1 час до еды (или через 2 часа после еды) и на ночь. Другой вариант – по </w:t>
      </w:r>
      <w:smartTag w:uri="urn:schemas-microsoft-com:office:smarttags" w:element="metricconverter">
        <w:smartTagPr>
          <w:attr w:name="ProductID" w:val="2 г"/>
        </w:smartTagPr>
        <w:r w:rsidR="00C006CB"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2 г</w:t>
        </w:r>
      </w:smartTag>
      <w:r w:rsidR="00C006C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2 раза в день. Выпускается в таблетках по </w:t>
      </w:r>
      <w:smartTag w:uri="urn:schemas-microsoft-com:office:smarttags" w:element="metricconverter">
        <w:smartTagPr>
          <w:attr w:name="ProductID" w:val="1 г"/>
        </w:smartTagPr>
        <w:r w:rsidR="00C006CB"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1 г</w:t>
        </w:r>
      </w:smartTag>
      <w:r w:rsidR="00C006C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в пакетиках, содержащих 1г сукральфата в гранулах. Таблетки можно проглатывать целиком, запивая водой, или так же, как и гранулы, размешать в половине стак</w:t>
      </w:r>
      <w:r w:rsidR="00C006C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C006C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воды и выпить.</w:t>
      </w:r>
    </w:p>
    <w:p w14:paraId="38E082F9" w14:textId="77777777" w:rsidR="00C006CB" w:rsidRPr="00802F8B" w:rsidRDefault="00C006CB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</w:p>
    <w:p w14:paraId="180D5EAE" w14:textId="77777777" w:rsidR="00C25F62" w:rsidRDefault="00C25F62">
      <w:pPr>
        <w:rPr>
          <w:rStyle w:val="a3"/>
          <w:rFonts w:ascii="Times New Roman" w:hAnsi="Times New Roman"/>
          <w:color w:val="000000"/>
          <w:sz w:val="28"/>
        </w:rPr>
      </w:pPr>
      <w:r>
        <w:rPr>
          <w:rStyle w:val="a3"/>
          <w:rFonts w:ascii="Times New Roman" w:hAnsi="Times New Roman"/>
          <w:color w:val="000000"/>
          <w:sz w:val="28"/>
        </w:rPr>
        <w:br w:type="page"/>
      </w:r>
    </w:p>
    <w:p w14:paraId="53F5F2FB" w14:textId="77777777" w:rsidR="00C006CB" w:rsidRPr="00802F8B" w:rsidRDefault="00C006CB" w:rsidP="00C25F62">
      <w:pPr>
        <w:tabs>
          <w:tab w:val="left" w:pos="6630"/>
        </w:tabs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</w:rPr>
        <w:t>3. Антигеликобактерные препараты</w:t>
      </w:r>
    </w:p>
    <w:p w14:paraId="1D7762C0" w14:textId="77777777" w:rsidR="00C006CB" w:rsidRPr="00802F8B" w:rsidRDefault="00C006CB" w:rsidP="00C25F62">
      <w:pPr>
        <w:tabs>
          <w:tab w:val="left" w:pos="6630"/>
        </w:tabs>
        <w:spacing w:before="0" w:line="360" w:lineRule="auto"/>
        <w:ind w:firstLine="709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081411E1" w14:textId="77777777" w:rsidR="00802F8B" w:rsidRDefault="00C006CB" w:rsidP="00C25F62">
      <w:pPr>
        <w:tabs>
          <w:tab w:val="left" w:pos="6630"/>
        </w:tabs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3.1 Антибиотики</w:t>
      </w:r>
    </w:p>
    <w:p w14:paraId="04FEAC13" w14:textId="77777777" w:rsidR="00C25F62" w:rsidRDefault="00C25F62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391C0562" w14:textId="77777777" w:rsidR="00802F8B" w:rsidRDefault="00C006CB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Из большого числа антибиотиков, применявшихся ранее для эрадикации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Helic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o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bacter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pylori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1B661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настоящее время оставлены кларитромицин, тетрациклин и ни</w:t>
      </w:r>
      <w:r w:rsidR="001B661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1B6616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роимидазолы.</w:t>
      </w:r>
    </w:p>
    <w:p w14:paraId="03074816" w14:textId="77777777" w:rsidR="002F22E9" w:rsidRPr="00802F8B" w:rsidRDefault="002F22E9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Кларитромицин (клацид)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– полусинтетический 14-членный макролид. По 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тивности против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H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pylori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превосходит другие макролиды и производные нитр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имидазола. Антигеликобактерное действие кларитромицина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in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vitro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154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усиливает амоксициллин. Хорошо всасывается в желудочно-кишечном тракте. Метаболиз</w:t>
      </w:r>
      <w:r w:rsidR="009B154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9B154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руется в печени с образованием 14-гидроксикларитромицина, также обладающе-</w:t>
      </w:r>
    </w:p>
    <w:p w14:paraId="49653268" w14:textId="77777777" w:rsidR="00802F8B" w:rsidRDefault="009B154D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го антибактериальным действием. Экскретируется через почки и кишечник. П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риод полувыведения 3-7 часов.</w:t>
      </w:r>
    </w:p>
    <w:p w14:paraId="4A4BA563" w14:textId="77777777" w:rsidR="00802F8B" w:rsidRDefault="009B154D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комбинации с антисекреторными препаратами (омепразолом, ранитидином), производными нитроими</w:t>
      </w:r>
      <w:r w:rsidR="00657B7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дазола, амоксициллином, препаратами висмута клари</w:t>
      </w:r>
      <w:r w:rsidR="00657B7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657B7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ромицин проявляет выраженное антигеликобактерное действие и входит в о</w:t>
      </w:r>
      <w:r w:rsidR="00657B7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="00657B7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новные схемы эрадикационной терапии. Однако, следует иметь в виду, что у 5-10% больных может отмечаться резистентность </w:t>
      </w:r>
      <w:r w:rsidR="00657B70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H</w:t>
      </w:r>
      <w:r w:rsidR="00657B7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  <w:r w:rsidR="00657B70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pylori</w:t>
      </w:r>
      <w:r w:rsidR="00657B70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 кларитромицину.</w:t>
      </w:r>
    </w:p>
    <w:p w14:paraId="53149D22" w14:textId="77777777" w:rsidR="00802F8B" w:rsidRDefault="00DD64E0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Назначается по 0,25 или </w:t>
      </w:r>
      <w:smartTag w:uri="urn:schemas-microsoft-com:office:smarttags" w:element="metricconverter">
        <w:smartTagPr>
          <w:attr w:name="ProductID" w:val="0,5 г"/>
        </w:smartTagPr>
        <w:r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0,5 г</w:t>
        </w:r>
      </w:smartTag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2 раза в день, в некоторых схемах – по </w:t>
      </w:r>
      <w:smartTag w:uri="urn:schemas-microsoft-com:office:smarttags" w:element="metricconverter">
        <w:smartTagPr>
          <w:attr w:name="ProductID" w:val="0,5 г"/>
        </w:smartTagPr>
        <w:r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0,5 г</w:t>
        </w:r>
      </w:smartTag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3 раза в день. Выпускается в таблетках по </w:t>
      </w:r>
      <w:smartTag w:uri="urn:schemas-microsoft-com:office:smarttags" w:element="metricconverter">
        <w:smartTagPr>
          <w:attr w:name="ProductID" w:val="0,25 г"/>
        </w:smartTagPr>
        <w:r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0,25 г</w:t>
        </w:r>
      </w:smartTag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58DCF6D8" w14:textId="77777777" w:rsidR="00802F8B" w:rsidRDefault="00DD64E0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Появились данные о возможности включения в схемы антигеликобактерной 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рапии некоторых других макролидов (рокситромицина, азитромицина).</w:t>
      </w:r>
    </w:p>
    <w:p w14:paraId="2FF69FFA" w14:textId="77777777" w:rsidR="00802F8B" w:rsidRDefault="000228ED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Тетрациклин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обладает широким спектром активности. Хорошо всасывается в желудочно-кишечном тракте при приеме натощак, экскретируется через почки и через кишечник. Период полувыведения составляет около 8 часов.</w:t>
      </w:r>
    </w:p>
    <w:p w14:paraId="2363F5B1" w14:textId="77777777" w:rsidR="00802F8B" w:rsidRDefault="000228ED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Тетрациклин явился одним из первых антибиотиков, который был применен для эрадикации геликобактера в составе «классической» тройной комбинации. В настоящее время рассматривается как компонент резервной схемы квадротер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пии</w:t>
      </w:r>
      <w:r w:rsidR="00BF53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применяющейся при неэффективности традиционных схем лечения. В сх</w:t>
      </w:r>
      <w:r w:rsidR="00BF53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BF53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мах антигеликобактерной терапии тетрациклин назначается в суточной дозе </w:t>
      </w:r>
      <w:smartTag w:uri="urn:schemas-microsoft-com:office:smarttags" w:element="metricconverter">
        <w:smartTagPr>
          <w:attr w:name="ProductID" w:val="2,0 г"/>
        </w:smartTagPr>
        <w:r w:rsidR="00BF538C"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2,0 г</w:t>
        </w:r>
      </w:smartTag>
      <w:r w:rsidR="00BF538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4CD53FCC" w14:textId="77777777" w:rsidR="00802F8B" w:rsidRDefault="00BF538C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 xml:space="preserve">нитроимидазолам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относятся метронидазол и 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тинидазол. Эмпирически их ст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ли применять при язвенной болезни еще до того, как был обнаружен 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H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pylori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п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скольку полагали, что эти препараты стимулируют процессы регенерации в сл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A669B4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зистой желудка.</w:t>
      </w:r>
    </w:p>
    <w:p w14:paraId="2BFD4D4D" w14:textId="77777777" w:rsidR="00802F8B" w:rsidRDefault="00A669B4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Нитромидазолы хорошо всасываются при приеме внутрь. Метаболизируются в печени, экскретируются через почки и через кишечник.</w:t>
      </w:r>
    </w:p>
    <w:p w14:paraId="2F8B54CC" w14:textId="77777777" w:rsidR="00802F8B" w:rsidRDefault="00A669B4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Применяются в составе многих схем эрадикации, хотя серьезной проблемы, как выяснилось в последнее время</w:t>
      </w:r>
      <w:r w:rsidR="004E586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является резистентность микроорганизмов к нитроимидазолам, которая в развитых странах встречается у 30%, а в развивающихся – почти у 70-80% больных. Развитие резистентности обусловлено широким и ча</w:t>
      </w:r>
      <w:r w:rsidR="004E586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="004E586B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то бесконтрольным применением </w:t>
      </w:r>
      <w:r w:rsidR="00A25BF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нитроимидазолов для лечения кишечных и урогенитальных инфекций. Тем не менее, нитроимидазолы сохраняют свое место в схемах антигеликобактерной терапии. Отчасти это связано с тем, что обладая высокой активностью против анаэробной флоры, они при назначении в сочетании с другим антибиотиком, снижают риск развития псевдомембранозного колита.</w:t>
      </w:r>
    </w:p>
    <w:p w14:paraId="0F40D713" w14:textId="77777777" w:rsidR="00802F8B" w:rsidRDefault="00A25BF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Метронидазол (трихопол, флагил, эфлоран)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назначается по </w:t>
      </w:r>
      <w:smartTag w:uri="urn:schemas-microsoft-com:office:smarttags" w:element="metricconverter">
        <w:smartTagPr>
          <w:attr w:name="ProductID" w:val="0,25 г"/>
        </w:smartTagPr>
        <w:r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0,25</w:t>
        </w:r>
        <w:r w:rsidR="0023513E"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 xml:space="preserve"> г</w:t>
        </w:r>
      </w:smartTag>
      <w:r w:rsidR="0023513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4 раза в день или по </w:t>
      </w:r>
      <w:smartTag w:uri="urn:schemas-microsoft-com:office:smarttags" w:element="metricconverter">
        <w:smartTagPr>
          <w:attr w:name="ProductID" w:val="0,5 г"/>
        </w:smartTagPr>
        <w:r w:rsidR="0023513E"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0,5 г</w:t>
        </w:r>
      </w:smartTag>
      <w:r w:rsidR="0023513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2 раза в день. Выпускается в таблетках по </w:t>
      </w:r>
      <w:smartTag w:uri="urn:schemas-microsoft-com:office:smarttags" w:element="metricconverter">
        <w:smartTagPr>
          <w:attr w:name="ProductID" w:val="0,25 г"/>
        </w:smartTagPr>
        <w:r w:rsidR="0023513E"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0,25 г</w:t>
        </w:r>
      </w:smartTag>
      <w:r w:rsidR="0023513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4587B9E3" w14:textId="77777777" w:rsidR="0023513E" w:rsidRPr="00802F8B" w:rsidRDefault="00AF49B3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Тинидазол (фазижин)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, имеющий более длительный период полувыведения, применяется по 2 раза в день. Выпускается в таблетках по </w:t>
      </w:r>
      <w:smartTag w:uri="urn:schemas-microsoft-com:office:smarttags" w:element="metricconverter">
        <w:smartTagPr>
          <w:attr w:name="ProductID" w:val="0,5 г"/>
        </w:smartTagPr>
        <w:r w:rsidRPr="00802F8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0,5 г</w:t>
        </w:r>
      </w:smartTag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02F305F8" w14:textId="77777777" w:rsidR="00AF49B3" w:rsidRPr="00802F8B" w:rsidRDefault="00AF49B3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4038C007" w14:textId="77777777" w:rsidR="00C25F62" w:rsidRDefault="00C25F62">
      <w:pPr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br w:type="page"/>
      </w:r>
    </w:p>
    <w:p w14:paraId="5C2BAA94" w14:textId="77777777" w:rsidR="00AF49B3" w:rsidRPr="00802F8B" w:rsidRDefault="00AF49B3" w:rsidP="00C25F62">
      <w:pPr>
        <w:tabs>
          <w:tab w:val="left" w:pos="6630"/>
        </w:tabs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3.2 Препараты висмута</w:t>
      </w:r>
    </w:p>
    <w:p w14:paraId="123BDF0A" w14:textId="77777777" w:rsidR="00802F8B" w:rsidRDefault="00802F8B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14:paraId="1DE82BFF" w14:textId="77777777" w:rsidR="00802F8B" w:rsidRDefault="00AF49B3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Препараты висмута широко использовались при лечении язвенной болезни еще в прошлом веке. Упор тогда делался на вяжущие и антисептические свойства висмута. После выявления роли 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H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pylori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было показано, что препараты висмута обладают выраженным антигеликобактерным действием, которое по характеру является бактерицидным. Осаждаясь на поверхности клеток бактерий, частицы висмута проникают затем в их цитоплазму</w:t>
      </w:r>
      <w:r w:rsidR="003A1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приводя к структурным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A1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поврежден</w:t>
      </w:r>
      <w:r w:rsidR="003A1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3A19B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ям и гибели микроорганизмов.</w:t>
      </w:r>
    </w:p>
    <w:p w14:paraId="6EEC934D" w14:textId="77777777" w:rsidR="00802F8B" w:rsidRDefault="003A19B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настоящее время препараты висмута применяются при лечении язвенной б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лезни в виде короткого курса в составе различных схем эрадикации геликобакт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ра.</w:t>
      </w:r>
    </w:p>
    <w:p w14:paraId="04DBDD9F" w14:textId="77777777" w:rsidR="00802F8B" w:rsidRDefault="003A19B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применении препаратов висмута могут отмечаться диспепсические ра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стройства (тошнота, диарея), аллергические реакции (кожная сыпь). Необходимо помнить </w:t>
      </w:r>
      <w:r w:rsidR="00DB74A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о появлении темной окраски стула, </w:t>
      </w:r>
      <w:r w:rsid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обусловленной образованием суль</w:t>
      </w:r>
      <w:r w:rsidR="00DB74A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фида висмута. При приеме обычных доз препаратов висмута его уровень в крови повышается крайне незначительно. Симптомы передозировки и интоксикации могут наблюдаться только у пациентов с ХПН при длительном ( в течении н</w:t>
      </w:r>
      <w:r w:rsidR="00DB74A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DB74AA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скольких месяцев) приеме высоких доз препарата.</w:t>
      </w:r>
    </w:p>
    <w:p w14:paraId="01D1DEED" w14:textId="77777777" w:rsidR="00802F8B" w:rsidRDefault="00DB74A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Висмута субцитрат (де-нол, вен</w:t>
      </w:r>
      <w:r w:rsidR="00521A0C" w:rsidRPr="00802F8B">
        <w:rPr>
          <w:rStyle w:val="a3"/>
          <w:rFonts w:ascii="Times New Roman" w:hAnsi="Times New Roman"/>
          <w:color w:val="000000"/>
          <w:sz w:val="28"/>
          <w:szCs w:val="28"/>
        </w:rPr>
        <w:t>трисол, трибимол)</w:t>
      </w:r>
      <w:r w:rsidR="00521A0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-коллоидный трикалия д</w:t>
      </w:r>
      <w:r w:rsidR="00521A0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521A0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цитрат висмута, который в кислой среде желудка образует на поверхности язв защитную пленку, препятствующую действию соляной кислоты и пепсина. Усил</w:t>
      </w:r>
      <w:r w:rsidR="00521A0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521A0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вает образование слизи, стимулирует секрецию бикарбонатов и синтез проста</w:t>
      </w:r>
      <w:r w:rsidR="00521A0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</w:t>
      </w:r>
      <w:r w:rsidR="00521A0C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ландинов в стенке желудка.</w:t>
      </w:r>
    </w:p>
    <w:p w14:paraId="6B61EC7B" w14:textId="77777777" w:rsidR="00802F8B" w:rsidRDefault="00521A0C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Прежде висмута субцитрат назначался 4-недельными курсами в качестве сам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стоятельного пртивоязвенного</w:t>
      </w:r>
      <w:r w:rsidR="0035525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препарата. В настоящее время он применяется в качестве компонента классической тройной эрадикационной схемы и резервной схемы квадротерапии. Назначается по 120 мг 4 раза в день. Выпускается в табле</w:t>
      </w:r>
      <w:r w:rsidR="0035525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35525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ках по 120 мг.</w:t>
      </w:r>
    </w:p>
    <w:p w14:paraId="26BA2858" w14:textId="77777777" w:rsidR="00802F8B" w:rsidRDefault="00355259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Бисмофальк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– комбинированный препарат. Выпускается в таблетках, каждая из которых содержит 50 мг висмута галлата основного и 100 мг висмута нитрата 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новного. Назначается по 2 таблетки 3 раза в день до еды.</w:t>
      </w:r>
    </w:p>
    <w:p w14:paraId="4EAA7389" w14:textId="77777777" w:rsidR="005F7B66" w:rsidRPr="00802F8B" w:rsidRDefault="00355259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color w:val="000000"/>
          <w:sz w:val="28"/>
          <w:szCs w:val="28"/>
        </w:rPr>
        <w:t>Ранитидин – висмут цитрат (пилорид)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сочетает в себе антисекреторные свойс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ва</w:t>
      </w:r>
      <w:r w:rsidR="00AE577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Н</w:t>
      </w:r>
      <w:r w:rsidR="00AE5773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AE5773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блокаторов и бактерицидное действие висмута. Подавляет базальную и стимулированную выработку соляной кислоты и обладает антигеликобактерным действием. Одной из целей создания препарата явилось уменьшение общего числа таблеток, которые больные язвенной болезнью вынуждены принимать ежедневно при проведении курса эрадикационной терапии</w:t>
      </w:r>
      <w:r w:rsidR="00A87C3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Ранитидин-висмут цитрат назначается в комбинации с антибиотиком (амоксициллином или клари</w:t>
      </w:r>
      <w:r w:rsidR="00A87C3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A87C3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ромицином) по 400 мг 2 раза в день в течение 2 недель, после чего лечение пр</w:t>
      </w:r>
      <w:r w:rsidR="00A87C3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A87C3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должается только ранитидин-висмут цитратом в течение еще 2 недель до полн</w:t>
      </w:r>
      <w:r w:rsidR="00A87C3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A87C38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го заживления язвенного дефекта. Выпускается в таблетках по 400 мг.</w:t>
      </w:r>
    </w:p>
    <w:p w14:paraId="7C1F381E" w14:textId="77777777" w:rsidR="00802F8B" w:rsidRDefault="00802F8B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54B8BF93" w14:textId="77777777" w:rsidR="00C25F62" w:rsidRDefault="00C25F62">
      <w:pPr>
        <w:rPr>
          <w:rStyle w:val="a3"/>
          <w:rFonts w:ascii="Times New Roman" w:hAnsi="Times New Roman"/>
          <w:color w:val="000000"/>
          <w:sz w:val="28"/>
        </w:rPr>
      </w:pPr>
      <w:r>
        <w:rPr>
          <w:rStyle w:val="a3"/>
          <w:rFonts w:ascii="Times New Roman" w:hAnsi="Times New Roman"/>
          <w:color w:val="000000"/>
          <w:sz w:val="28"/>
        </w:rPr>
        <w:br w:type="page"/>
      </w:r>
    </w:p>
    <w:p w14:paraId="4E9A3ACD" w14:textId="77777777" w:rsidR="005F7B66" w:rsidRPr="00802F8B" w:rsidRDefault="005F7B66" w:rsidP="00C25F62">
      <w:pPr>
        <w:tabs>
          <w:tab w:val="left" w:pos="6630"/>
        </w:tabs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</w:rPr>
        <w:t>Заключение</w:t>
      </w:r>
    </w:p>
    <w:p w14:paraId="0DCEA07E" w14:textId="77777777" w:rsidR="00802F8B" w:rsidRDefault="00802F8B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</w:p>
    <w:p w14:paraId="4AEFC954" w14:textId="77777777" w:rsidR="00802F8B" w:rsidRDefault="005F7B66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Успехи медицинской науки последних десятилетий ознаменовались не только выяснением механизмов возникновения болезней на клеточном и молекулярном уровне, но и созданием на основе этих знаний новых, в частности лекарственных методов лечения.</w:t>
      </w:r>
    </w:p>
    <w:p w14:paraId="6C0B8743" w14:textId="77777777" w:rsidR="00802F8B" w:rsidRDefault="005F7B66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Сегодня лекарства создаются с конкретной задачей: воздействовать на</w:t>
      </w:r>
      <w:r w:rsidR="00E6675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опред</w:t>
      </w:r>
      <w:r w:rsidR="00E6675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E6675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ленные биохимические и биофизические процессы, состояние рецепторов либо в микроорганизме – возбудителе болезни, либо в тех клеточных элементах, кот</w:t>
      </w:r>
      <w:r w:rsidR="00E6675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E6675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рые определяют развитие патологического процесса. В связи с этим лекарстве</w:t>
      </w:r>
      <w:r w:rsidR="00E6675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="00E6675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ные препараты становятся более целенаправленными, а значит более эффекти</w:t>
      </w:r>
      <w:r w:rsidR="00E6675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="00E6675E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ными и более безопасными.</w:t>
      </w:r>
    </w:p>
    <w:p w14:paraId="1150F6D3" w14:textId="77777777" w:rsidR="00802F8B" w:rsidRDefault="00E6675E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 1500 основных лекарственных средств, включенных в последнее издание наиболее известного справочника по лекарственным средствам М. Д. Машко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ского, около 1000 вошло в медицинскую практику лишь в 60-80-е годы. </w:t>
      </w:r>
      <w:r w:rsidR="00E7696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Такое обилие препаратов должно было бы облегчить работу врача. В определенной степени с позиций его терапевтических возможностей так и произошло</w:t>
      </w:r>
      <w:r w:rsidR="00EC7F92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E7696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 с др</w:t>
      </w:r>
      <w:r w:rsidR="00E7696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</w:t>
      </w:r>
      <w:r w:rsidR="00E7696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гой стороны, разобраться во всей гамме препаратов, с учетом их возможностей, побочных эффектов, индивидуальной переносимости, используемых даже при лечении одного заболевания, нелегкая задача. Важен и индивидуальный подход к назначению тех или иных средств в каждом конкретном случае.</w:t>
      </w:r>
    </w:p>
    <w:p w14:paraId="6A19BC44" w14:textId="77777777" w:rsidR="00210D19" w:rsidRDefault="00214735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Болезни желудка, 12-перстной кишки и поджелудочной железы (хронические гастриты и дуодениты, язвенная болезнь желудка и 12-перстной кишки, хронич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ские панкреатиты) </w:t>
      </w:r>
      <w:r w:rsidR="007B11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–</w:t>
      </w: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B11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часто встречающиеся заболевания пищеварительной сист</w:t>
      </w:r>
      <w:r w:rsidR="007B11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7B11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мы, при которых нарушаются процессы физиологической регенерации слизистой оболочки желудка и кишечника, расстройства их моторной функции и фермен</w:t>
      </w:r>
      <w:r w:rsidR="007B11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</w:t>
      </w:r>
      <w:r w:rsidR="007B116D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ной недостаточности поджелудочной железы. В качестве патогенетической терапии 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 увеличении кислотно-пептического фактора используются средства, не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й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трализующие соляную кислоту (антациды); средства, снижающие продукцию с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ляной кислоты (Н</w:t>
      </w:r>
      <w:r w:rsidR="007A3D39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₂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-гистаминоблокаторы, ингибиторы Н</w:t>
      </w:r>
      <w:r w:rsidR="007A3D39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⁺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К</w:t>
      </w:r>
      <w:r w:rsidR="007A3D39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⁺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- АТФ-азы, селекти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ные блокаторы переферических</w:t>
      </w:r>
      <w:r w:rsid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М-холинорецепторов, синтетические аналоги простагландина Е</w:t>
      </w:r>
      <w:r w:rsidR="007A3D39" w:rsidRPr="00802F8B">
        <w:rPr>
          <w:rStyle w:val="a3"/>
          <w:rFonts w:ascii="Cambria Math" w:hAnsi="Cambria Math" w:cs="Cambria Math"/>
          <w:b w:val="0"/>
          <w:color w:val="000000"/>
          <w:sz w:val="28"/>
          <w:szCs w:val="28"/>
        </w:rPr>
        <w:t>₁</w:t>
      </w:r>
      <w:r w:rsidR="007A3D3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, синтетические пептиды), активаторы процессов регенерации слизистой оболочки и средства, защищающие ее от химического и </w:t>
      </w:r>
      <w:r w:rsidR="00210D1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механического повреждения; средства, оказывающее бактерицидное действие на </w:t>
      </w:r>
      <w:r w:rsidR="00210D19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Helicobacter</w:t>
      </w:r>
      <w:r w:rsidR="00210D1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10D19" w:rsidRPr="00802F8B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pylori</w:t>
      </w:r>
      <w:r w:rsidR="00210D19"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; препараты, которые применяются в качестве заместительной терапии при ферментативной недостаточности желудка и поджелудочной железы.</w:t>
      </w:r>
    </w:p>
    <w:p w14:paraId="78585EB5" w14:textId="77777777" w:rsidR="00C25F62" w:rsidRPr="00802F8B" w:rsidRDefault="00C25F62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71363612" w14:textId="77777777" w:rsidR="00802F8B" w:rsidRDefault="00210D19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br w:type="page"/>
      </w:r>
    </w:p>
    <w:p w14:paraId="47C5352B" w14:textId="77777777" w:rsidR="007B116D" w:rsidRPr="00802F8B" w:rsidRDefault="00210D19" w:rsidP="00C25F62">
      <w:pPr>
        <w:tabs>
          <w:tab w:val="left" w:pos="6630"/>
        </w:tabs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802F8B">
        <w:rPr>
          <w:rStyle w:val="a3"/>
          <w:rFonts w:ascii="Times New Roman" w:hAnsi="Times New Roman"/>
          <w:color w:val="000000"/>
          <w:sz w:val="28"/>
        </w:rPr>
        <w:t>Список литературы</w:t>
      </w:r>
    </w:p>
    <w:p w14:paraId="73958A5C" w14:textId="77777777" w:rsidR="00802F8B" w:rsidRDefault="00802F8B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</w:rPr>
      </w:pPr>
    </w:p>
    <w:p w14:paraId="4AE9E029" w14:textId="77777777" w:rsidR="00802F8B" w:rsidRPr="00C25F62" w:rsidRDefault="00920B46" w:rsidP="00C25F62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0" w:line="360" w:lineRule="auto"/>
        <w:ind w:left="0" w:firstLine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Елизаветина Г.А. Кислотозависимые заболевания в практике провизора // </w:t>
      </w: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Cons</w:t>
      </w: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lium</w:t>
      </w: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medicum</w:t>
      </w: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D3A5A"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.—2004.—Том 04.—№2.—354 с.</w:t>
      </w:r>
    </w:p>
    <w:p w14:paraId="09495EBD" w14:textId="77777777" w:rsidR="00802F8B" w:rsidRPr="00C25F62" w:rsidRDefault="007D3A5A" w:rsidP="00C25F62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0" w:line="360" w:lineRule="auto"/>
        <w:ind w:left="0" w:firstLine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Охлобыстин А.В. Современные возможности ферментной терапии // Русский медицинский журнал.—</w:t>
      </w:r>
      <w:r w:rsidR="00537979"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2003.—№5.—С. 71 - 80.</w:t>
      </w:r>
    </w:p>
    <w:p w14:paraId="5EC423F8" w14:textId="77777777" w:rsidR="00537979" w:rsidRPr="00C25F62" w:rsidRDefault="00537979" w:rsidP="00C25F62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0" w:line="360" w:lineRule="auto"/>
        <w:ind w:left="0" w:firstLine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Федюкович Н.И.Фармакология : учебное пособие для мед. училищ</w:t>
      </w:r>
      <w:r w:rsidR="003A73F8"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и колледжей /</w:t>
      </w:r>
      <w:r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Н.И. Федю</w:t>
      </w:r>
      <w:r w:rsidR="003A73F8" w:rsidRPr="00C25F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кович.— 2-е изд.— Ростов н/Д: изд-во «Феникс», 2003.— 672 с.</w:t>
      </w:r>
    </w:p>
    <w:p w14:paraId="25A4BA7C" w14:textId="77777777" w:rsidR="007D3A5A" w:rsidRPr="00802F8B" w:rsidRDefault="007D3A5A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3B92F546" w14:textId="77777777" w:rsidR="005F7B66" w:rsidRPr="00802F8B" w:rsidRDefault="005F7B66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br w:type="page"/>
      </w:r>
    </w:p>
    <w:p w14:paraId="0FD84A2F" w14:textId="77777777" w:rsidR="00A87C38" w:rsidRPr="00C25F62" w:rsidRDefault="00A87C38" w:rsidP="00C25F62">
      <w:pPr>
        <w:tabs>
          <w:tab w:val="left" w:pos="6630"/>
        </w:tabs>
        <w:spacing w:before="0" w:line="36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</w:rPr>
      </w:pPr>
      <w:r w:rsidRPr="00C25F62">
        <w:rPr>
          <w:rStyle w:val="a3"/>
          <w:rFonts w:ascii="Times New Roman" w:hAnsi="Times New Roman"/>
          <w:color w:val="000000"/>
          <w:sz w:val="28"/>
        </w:rPr>
        <w:t>Приложение</w:t>
      </w:r>
    </w:p>
    <w:p w14:paraId="77A2B90C" w14:textId="77777777" w:rsidR="00C25F62" w:rsidRPr="00802F8B" w:rsidRDefault="00C25F62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</w:rPr>
      </w:pPr>
    </w:p>
    <w:p w14:paraId="38A2089B" w14:textId="77777777" w:rsidR="00A87C38" w:rsidRPr="00802F8B" w:rsidRDefault="00A87C38" w:rsidP="00802F8B">
      <w:pPr>
        <w:tabs>
          <w:tab w:val="left" w:pos="6630"/>
        </w:tabs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02F8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Таблица 1. Классификация противоязвенных препаратов</w:t>
      </w:r>
    </w:p>
    <w:tbl>
      <w:tblPr>
        <w:tblStyle w:val="a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544"/>
        <w:gridCol w:w="3181"/>
      </w:tblGrid>
      <w:tr w:rsidR="00C86D8A" w:rsidRPr="00C25F62" w14:paraId="7793EA25" w14:textId="77777777" w:rsidTr="00C25F62">
        <w:tc>
          <w:tcPr>
            <w:tcW w:w="2410" w:type="dxa"/>
            <w:vMerge w:val="restart"/>
          </w:tcPr>
          <w:p w14:paraId="3B30F6E7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Препараты базисной</w:t>
            </w:r>
            <w:r w:rsidR="00C25F62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терапии</w:t>
            </w:r>
          </w:p>
        </w:tc>
        <w:tc>
          <w:tcPr>
            <w:tcW w:w="3544" w:type="dxa"/>
          </w:tcPr>
          <w:p w14:paraId="607CD887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Препараты 1-й ступени</w:t>
            </w:r>
          </w:p>
        </w:tc>
        <w:tc>
          <w:tcPr>
            <w:tcW w:w="3181" w:type="dxa"/>
          </w:tcPr>
          <w:p w14:paraId="308BA05D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-Антациды</w:t>
            </w:r>
          </w:p>
        </w:tc>
      </w:tr>
      <w:tr w:rsidR="00C86D8A" w:rsidRPr="00C25F62" w14:paraId="63C1C342" w14:textId="77777777" w:rsidTr="00C25F62">
        <w:tc>
          <w:tcPr>
            <w:tcW w:w="2410" w:type="dxa"/>
            <w:vMerge/>
          </w:tcPr>
          <w:p w14:paraId="008A8FE5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544" w:type="dxa"/>
          </w:tcPr>
          <w:p w14:paraId="5EBF00CF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181" w:type="dxa"/>
          </w:tcPr>
          <w:p w14:paraId="608EDD04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-Селективные М-холинолитики</w:t>
            </w:r>
          </w:p>
        </w:tc>
      </w:tr>
      <w:tr w:rsidR="00C86D8A" w:rsidRPr="00C25F62" w14:paraId="238F723F" w14:textId="77777777" w:rsidTr="00C25F62">
        <w:tc>
          <w:tcPr>
            <w:tcW w:w="2410" w:type="dxa"/>
            <w:vMerge/>
          </w:tcPr>
          <w:p w14:paraId="1B6CAEE5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544" w:type="dxa"/>
          </w:tcPr>
          <w:p w14:paraId="337E3A98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Препараты 2-й ступени</w:t>
            </w:r>
          </w:p>
        </w:tc>
        <w:tc>
          <w:tcPr>
            <w:tcW w:w="3181" w:type="dxa"/>
          </w:tcPr>
          <w:p w14:paraId="0C9AA3ED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-Н</w:t>
            </w:r>
            <w:r w:rsidRPr="00C25F62">
              <w:rPr>
                <w:rStyle w:val="a3"/>
                <w:rFonts w:ascii="Cambria Math" w:hAnsi="Cambria Math" w:cs="Cambria Math"/>
                <w:b w:val="0"/>
                <w:sz w:val="20"/>
                <w:szCs w:val="28"/>
              </w:rPr>
              <w:t>₂</w:t>
            </w: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-блокаторы</w:t>
            </w:r>
          </w:p>
        </w:tc>
      </w:tr>
      <w:tr w:rsidR="00C86D8A" w:rsidRPr="00C25F62" w14:paraId="0693F2CB" w14:textId="77777777" w:rsidTr="00C25F62">
        <w:tc>
          <w:tcPr>
            <w:tcW w:w="2410" w:type="dxa"/>
            <w:vMerge w:val="restart"/>
          </w:tcPr>
          <w:p w14:paraId="511EA8BD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544" w:type="dxa"/>
          </w:tcPr>
          <w:p w14:paraId="203C29F0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181" w:type="dxa"/>
          </w:tcPr>
          <w:p w14:paraId="3F219668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-Ингибиторы протонного насоса</w:t>
            </w:r>
          </w:p>
        </w:tc>
      </w:tr>
      <w:tr w:rsidR="00C86D8A" w:rsidRPr="00C25F62" w14:paraId="387412B6" w14:textId="77777777" w:rsidTr="00C25F62">
        <w:tc>
          <w:tcPr>
            <w:tcW w:w="2410" w:type="dxa"/>
            <w:vMerge/>
          </w:tcPr>
          <w:p w14:paraId="74D61582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54040C2B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Цитопротекторы</w:t>
            </w:r>
          </w:p>
        </w:tc>
        <w:tc>
          <w:tcPr>
            <w:tcW w:w="3181" w:type="dxa"/>
          </w:tcPr>
          <w:p w14:paraId="3A53B5D9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-Сукральфат</w:t>
            </w:r>
          </w:p>
        </w:tc>
      </w:tr>
      <w:tr w:rsidR="00C86D8A" w:rsidRPr="00C25F62" w14:paraId="60AED348" w14:textId="77777777" w:rsidTr="00C25F62">
        <w:tc>
          <w:tcPr>
            <w:tcW w:w="2410" w:type="dxa"/>
            <w:vMerge/>
          </w:tcPr>
          <w:p w14:paraId="57FE9187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544" w:type="dxa"/>
            <w:vMerge/>
          </w:tcPr>
          <w:p w14:paraId="5C21D7D6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181" w:type="dxa"/>
          </w:tcPr>
          <w:p w14:paraId="196206E2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-Синтетические аналоги простагландинов</w:t>
            </w:r>
          </w:p>
        </w:tc>
      </w:tr>
      <w:tr w:rsidR="00AA32F2" w:rsidRPr="00C25F62" w14:paraId="5F7ABD90" w14:textId="77777777" w:rsidTr="00C25F62">
        <w:tc>
          <w:tcPr>
            <w:tcW w:w="2410" w:type="dxa"/>
          </w:tcPr>
          <w:p w14:paraId="2DEC606D" w14:textId="77777777" w:rsidR="00AA32F2" w:rsidRPr="00C25F62" w:rsidRDefault="00AA32F2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Препараты, </w:t>
            </w:r>
            <w:r w:rsidR="00C86D8A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применяемые по специальным показ</w:t>
            </w:r>
            <w:r w:rsidR="00C86D8A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а</w:t>
            </w:r>
            <w:r w:rsidR="00C86D8A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ниям</w:t>
            </w:r>
          </w:p>
        </w:tc>
        <w:tc>
          <w:tcPr>
            <w:tcW w:w="3544" w:type="dxa"/>
          </w:tcPr>
          <w:p w14:paraId="603C0552" w14:textId="77777777" w:rsidR="00AA32F2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Препараты, нормал</w:t>
            </w: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и</w:t>
            </w: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зующие двигательную функцию желудка и 12-перстной кишки</w:t>
            </w:r>
          </w:p>
        </w:tc>
        <w:tc>
          <w:tcPr>
            <w:tcW w:w="3181" w:type="dxa"/>
          </w:tcPr>
          <w:p w14:paraId="79A4FED1" w14:textId="77777777" w:rsidR="00802F8B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-Спазмолитики</w:t>
            </w:r>
          </w:p>
          <w:p w14:paraId="49D08492" w14:textId="77777777" w:rsidR="00AA32F2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-Прокинетики</w:t>
            </w:r>
            <w:r w:rsidR="00802F8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</w:p>
        </w:tc>
      </w:tr>
      <w:tr w:rsidR="00AA32F2" w:rsidRPr="00C25F62" w14:paraId="4A08C944" w14:textId="77777777" w:rsidTr="00C25F62">
        <w:tc>
          <w:tcPr>
            <w:tcW w:w="2410" w:type="dxa"/>
          </w:tcPr>
          <w:p w14:paraId="02C72611" w14:textId="77777777" w:rsidR="00AA32F2" w:rsidRPr="00C25F62" w:rsidRDefault="00AA32F2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544" w:type="dxa"/>
          </w:tcPr>
          <w:p w14:paraId="2D0C0B1B" w14:textId="77777777" w:rsidR="00AA32F2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Антигеликобактерные препараты</w:t>
            </w:r>
          </w:p>
        </w:tc>
        <w:tc>
          <w:tcPr>
            <w:tcW w:w="3181" w:type="dxa"/>
          </w:tcPr>
          <w:p w14:paraId="4212D5BD" w14:textId="77777777" w:rsidR="00AA32F2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-Препараты висмута</w:t>
            </w:r>
          </w:p>
          <w:p w14:paraId="679E96B7" w14:textId="77777777" w:rsidR="00C86D8A" w:rsidRPr="00C25F62" w:rsidRDefault="00C86D8A" w:rsidP="00C25F62">
            <w:pPr>
              <w:tabs>
                <w:tab w:val="left" w:pos="6630"/>
              </w:tabs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-Антибиотики</w:t>
            </w:r>
          </w:p>
        </w:tc>
      </w:tr>
    </w:tbl>
    <w:p w14:paraId="4E1E06ED" w14:textId="77777777" w:rsidR="009C08BD" w:rsidRPr="00802F8B" w:rsidRDefault="009C08BD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14:paraId="70FC880A" w14:textId="77777777" w:rsidR="00E0658C" w:rsidRPr="00C25F62" w:rsidRDefault="00E0658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</w:rPr>
      </w:pPr>
      <w:r w:rsidRPr="00C25F62">
        <w:rPr>
          <w:rStyle w:val="a3"/>
          <w:rFonts w:ascii="Times New Roman" w:hAnsi="Times New Roman"/>
          <w:b w:val="0"/>
          <w:color w:val="000000"/>
          <w:sz w:val="28"/>
        </w:rPr>
        <w:t xml:space="preserve">Таблица 2. </w:t>
      </w:r>
      <w:r w:rsidR="00B03E50" w:rsidRPr="00C25F62">
        <w:rPr>
          <w:rStyle w:val="a3"/>
          <w:rFonts w:ascii="Times New Roman" w:hAnsi="Times New Roman"/>
          <w:b w:val="0"/>
          <w:color w:val="000000"/>
          <w:sz w:val="28"/>
        </w:rPr>
        <w:t>Лекарственные препараты, всасывание которых снижается при сочетании с антацидами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812"/>
        <w:gridCol w:w="12"/>
      </w:tblGrid>
      <w:tr w:rsidR="009275A8" w:rsidRPr="00C25F62" w14:paraId="43C4EC7C" w14:textId="77777777" w:rsidTr="00C25F62">
        <w:trPr>
          <w:gridAfter w:val="1"/>
          <w:wAfter w:w="12" w:type="dxa"/>
        </w:trPr>
        <w:tc>
          <w:tcPr>
            <w:tcW w:w="4077" w:type="dxa"/>
            <w:vMerge w:val="restart"/>
          </w:tcPr>
          <w:p w14:paraId="22FBCE96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Противомикробные</w:t>
            </w:r>
          </w:p>
        </w:tc>
        <w:tc>
          <w:tcPr>
            <w:tcW w:w="3812" w:type="dxa"/>
          </w:tcPr>
          <w:p w14:paraId="31311A26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Тетрациклины</w:t>
            </w:r>
          </w:p>
        </w:tc>
      </w:tr>
      <w:tr w:rsidR="009275A8" w:rsidRPr="00C25F62" w14:paraId="66EA5963" w14:textId="77777777" w:rsidTr="00C25F62">
        <w:trPr>
          <w:gridAfter w:val="1"/>
          <w:wAfter w:w="12" w:type="dxa"/>
        </w:trPr>
        <w:tc>
          <w:tcPr>
            <w:tcW w:w="4077" w:type="dxa"/>
            <w:vMerge/>
          </w:tcPr>
          <w:p w14:paraId="74B1323A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12" w:type="dxa"/>
          </w:tcPr>
          <w:p w14:paraId="4CE0CB76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Изониазид</w:t>
            </w:r>
          </w:p>
        </w:tc>
      </w:tr>
      <w:tr w:rsidR="009275A8" w:rsidRPr="00C25F62" w14:paraId="014EF9FE" w14:textId="77777777" w:rsidTr="00C25F62">
        <w:trPr>
          <w:gridAfter w:val="1"/>
          <w:wAfter w:w="12" w:type="dxa"/>
        </w:trPr>
        <w:tc>
          <w:tcPr>
            <w:tcW w:w="4077" w:type="dxa"/>
            <w:vMerge/>
          </w:tcPr>
          <w:p w14:paraId="47741DE8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12" w:type="dxa"/>
          </w:tcPr>
          <w:p w14:paraId="4CAC192F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Ципрофлоксацин</w:t>
            </w:r>
          </w:p>
        </w:tc>
      </w:tr>
      <w:tr w:rsidR="009275A8" w:rsidRPr="00C25F62" w14:paraId="072148D7" w14:textId="77777777" w:rsidTr="00C25F62">
        <w:trPr>
          <w:gridAfter w:val="1"/>
          <w:wAfter w:w="12" w:type="dxa"/>
        </w:trPr>
        <w:tc>
          <w:tcPr>
            <w:tcW w:w="4077" w:type="dxa"/>
            <w:vMerge/>
          </w:tcPr>
          <w:p w14:paraId="4DD9378D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12" w:type="dxa"/>
          </w:tcPr>
          <w:p w14:paraId="2134F17F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Метронидазол</w:t>
            </w:r>
          </w:p>
        </w:tc>
      </w:tr>
      <w:tr w:rsidR="009275A8" w:rsidRPr="00C25F62" w14:paraId="39DA3F47" w14:textId="77777777" w:rsidTr="00C25F62">
        <w:trPr>
          <w:gridAfter w:val="1"/>
          <w:wAfter w:w="12" w:type="dxa"/>
        </w:trPr>
        <w:tc>
          <w:tcPr>
            <w:tcW w:w="4077" w:type="dxa"/>
            <w:vMerge/>
          </w:tcPr>
          <w:p w14:paraId="22F42052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12" w:type="dxa"/>
          </w:tcPr>
          <w:p w14:paraId="0A88B6D2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Нитрофурантоин</w:t>
            </w:r>
          </w:p>
        </w:tc>
      </w:tr>
      <w:tr w:rsidR="009275A8" w:rsidRPr="00C25F62" w14:paraId="2FE1F00B" w14:textId="77777777" w:rsidTr="00C25F62">
        <w:trPr>
          <w:gridAfter w:val="1"/>
          <w:wAfter w:w="12" w:type="dxa"/>
        </w:trPr>
        <w:tc>
          <w:tcPr>
            <w:tcW w:w="4077" w:type="dxa"/>
            <w:vMerge w:val="restart"/>
          </w:tcPr>
          <w:p w14:paraId="04BA47FC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Кардиотропные</w:t>
            </w:r>
          </w:p>
        </w:tc>
        <w:tc>
          <w:tcPr>
            <w:tcW w:w="3812" w:type="dxa"/>
          </w:tcPr>
          <w:p w14:paraId="79684312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Дигоксин</w:t>
            </w:r>
          </w:p>
        </w:tc>
      </w:tr>
      <w:tr w:rsidR="009275A8" w:rsidRPr="00C25F62" w14:paraId="618E66C3" w14:textId="77777777" w:rsidTr="00C25F62">
        <w:trPr>
          <w:gridAfter w:val="1"/>
          <w:wAfter w:w="12" w:type="dxa"/>
        </w:trPr>
        <w:tc>
          <w:tcPr>
            <w:tcW w:w="4077" w:type="dxa"/>
            <w:vMerge/>
          </w:tcPr>
          <w:p w14:paraId="09C29C0F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12" w:type="dxa"/>
          </w:tcPr>
          <w:p w14:paraId="09E9988F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Хинидин</w:t>
            </w:r>
          </w:p>
        </w:tc>
      </w:tr>
      <w:tr w:rsidR="009275A8" w:rsidRPr="00C25F62" w14:paraId="0FB8E6D3" w14:textId="77777777" w:rsidTr="00C25F62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077" w:type="dxa"/>
            <w:vMerge w:val="restart"/>
          </w:tcPr>
          <w:p w14:paraId="2F092540" w14:textId="77777777" w:rsidR="009275A8" w:rsidRPr="00C25F62" w:rsidRDefault="00C25F62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Препараты разных групп</w:t>
            </w:r>
          </w:p>
        </w:tc>
        <w:tc>
          <w:tcPr>
            <w:tcW w:w="3824" w:type="dxa"/>
            <w:gridSpan w:val="2"/>
          </w:tcPr>
          <w:p w14:paraId="0CE6DCFF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НПВС</w:t>
            </w:r>
          </w:p>
        </w:tc>
      </w:tr>
      <w:tr w:rsidR="009275A8" w:rsidRPr="00C25F62" w14:paraId="4170EF62" w14:textId="77777777" w:rsidTr="00C25F62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4077" w:type="dxa"/>
            <w:vMerge/>
          </w:tcPr>
          <w:p w14:paraId="437BEB5E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824" w:type="dxa"/>
            <w:gridSpan w:val="2"/>
          </w:tcPr>
          <w:p w14:paraId="04015044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Теофиллин</w:t>
            </w:r>
          </w:p>
        </w:tc>
      </w:tr>
      <w:tr w:rsidR="009275A8" w:rsidRPr="00C25F62" w14:paraId="72FBE385" w14:textId="77777777" w:rsidTr="00C25F62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077" w:type="dxa"/>
            <w:vMerge/>
          </w:tcPr>
          <w:p w14:paraId="249C62A9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24" w:type="dxa"/>
            <w:gridSpan w:val="2"/>
          </w:tcPr>
          <w:p w14:paraId="1E81C1FE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 xml:space="preserve"> Варфарин</w:t>
            </w:r>
          </w:p>
        </w:tc>
      </w:tr>
      <w:tr w:rsidR="009275A8" w:rsidRPr="00C25F62" w14:paraId="14F916BA" w14:textId="77777777" w:rsidTr="00C25F62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4077" w:type="dxa"/>
            <w:vMerge/>
          </w:tcPr>
          <w:p w14:paraId="445452A3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3824" w:type="dxa"/>
            <w:gridSpan w:val="2"/>
          </w:tcPr>
          <w:p w14:paraId="71F311A7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 xml:space="preserve"> Фенитоин</w:t>
            </w:r>
          </w:p>
        </w:tc>
      </w:tr>
      <w:tr w:rsidR="009275A8" w:rsidRPr="00C25F62" w14:paraId="7DF56BDB" w14:textId="77777777" w:rsidTr="00C25F62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077" w:type="dxa"/>
            <w:vMerge/>
          </w:tcPr>
          <w:p w14:paraId="32E99624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824" w:type="dxa"/>
            <w:gridSpan w:val="2"/>
          </w:tcPr>
          <w:p w14:paraId="4631C23D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Бензодиазепины</w:t>
            </w:r>
          </w:p>
        </w:tc>
      </w:tr>
      <w:tr w:rsidR="009275A8" w:rsidRPr="00C25F62" w14:paraId="636DD2C0" w14:textId="77777777" w:rsidTr="00C25F62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4077" w:type="dxa"/>
            <w:vMerge/>
          </w:tcPr>
          <w:p w14:paraId="4B37BE9F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824" w:type="dxa"/>
            <w:gridSpan w:val="2"/>
          </w:tcPr>
          <w:p w14:paraId="3498C296" w14:textId="77777777" w:rsidR="009275A8" w:rsidRPr="00C25F62" w:rsidRDefault="009275A8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Железа сульфат</w:t>
            </w:r>
          </w:p>
        </w:tc>
      </w:tr>
    </w:tbl>
    <w:p w14:paraId="073AFCED" w14:textId="77777777" w:rsidR="00E0658C" w:rsidRPr="00802F8B" w:rsidRDefault="00E0658C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14:paraId="7D05B628" w14:textId="77777777" w:rsidR="00C25F62" w:rsidRDefault="00C25F62">
      <w:pPr>
        <w:rPr>
          <w:rStyle w:val="a3"/>
          <w:rFonts w:ascii="Times New Roman" w:hAnsi="Times New Roman"/>
          <w:b w:val="0"/>
          <w:color w:val="000000"/>
          <w:sz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</w:rPr>
        <w:br w:type="page"/>
      </w:r>
    </w:p>
    <w:p w14:paraId="5F2A2739" w14:textId="77777777" w:rsidR="009275A8" w:rsidRPr="00C25F62" w:rsidRDefault="001656BA" w:rsidP="00802F8B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</w:rPr>
      </w:pPr>
      <w:r w:rsidRPr="00C25F62">
        <w:rPr>
          <w:rStyle w:val="a3"/>
          <w:rFonts w:ascii="Times New Roman" w:hAnsi="Times New Roman"/>
          <w:b w:val="0"/>
          <w:color w:val="000000"/>
          <w:sz w:val="28"/>
        </w:rPr>
        <w:t>Таблица 3. Сравнительная фармакодинамика Н</w:t>
      </w:r>
      <w:r w:rsidRPr="00C25F62">
        <w:rPr>
          <w:rStyle w:val="a3"/>
          <w:rFonts w:ascii="Cambria Math" w:hAnsi="Cambria Math" w:cs="Cambria Math"/>
          <w:b w:val="0"/>
          <w:color w:val="000000"/>
          <w:sz w:val="28"/>
        </w:rPr>
        <w:t>₂</w:t>
      </w:r>
      <w:r w:rsidRPr="00C25F62">
        <w:rPr>
          <w:rStyle w:val="a3"/>
          <w:rFonts w:ascii="Times New Roman" w:hAnsi="Times New Roman"/>
          <w:b w:val="0"/>
          <w:color w:val="000000"/>
          <w:sz w:val="28"/>
        </w:rPr>
        <w:t xml:space="preserve"> - блокаторов</w:t>
      </w:r>
    </w:p>
    <w:tbl>
      <w:tblPr>
        <w:tblStyle w:val="aa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360"/>
        <w:gridCol w:w="1892"/>
        <w:gridCol w:w="2835"/>
      </w:tblGrid>
      <w:tr w:rsidR="001656BA" w:rsidRPr="00C25F62" w14:paraId="2354E11B" w14:textId="77777777" w:rsidTr="00C25F62">
        <w:tc>
          <w:tcPr>
            <w:tcW w:w="1526" w:type="dxa"/>
          </w:tcPr>
          <w:p w14:paraId="6F2F97EF" w14:textId="77777777" w:rsidR="001656BA" w:rsidRPr="00C25F62" w:rsidRDefault="001656BA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Препарат</w:t>
            </w:r>
          </w:p>
        </w:tc>
        <w:tc>
          <w:tcPr>
            <w:tcW w:w="2360" w:type="dxa"/>
          </w:tcPr>
          <w:p w14:paraId="0FE4B10D" w14:textId="77777777" w:rsidR="001656BA" w:rsidRPr="00C25F62" w:rsidRDefault="001656BA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Ночная секр</w:t>
            </w: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е</w:t>
            </w: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ция (%)</w:t>
            </w:r>
          </w:p>
        </w:tc>
        <w:tc>
          <w:tcPr>
            <w:tcW w:w="1892" w:type="dxa"/>
          </w:tcPr>
          <w:p w14:paraId="5368F1B3" w14:textId="77777777" w:rsidR="001656BA" w:rsidRPr="00C25F62" w:rsidRDefault="001656BA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Общая секр</w:t>
            </w: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е</w:t>
            </w: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ция</w:t>
            </w:r>
          </w:p>
        </w:tc>
        <w:tc>
          <w:tcPr>
            <w:tcW w:w="2835" w:type="dxa"/>
          </w:tcPr>
          <w:p w14:paraId="7C0D3FC8" w14:textId="77777777" w:rsidR="001656BA" w:rsidRPr="00C25F62" w:rsidRDefault="001656BA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>Длительность действия (час)</w:t>
            </w:r>
          </w:p>
        </w:tc>
      </w:tr>
      <w:tr w:rsidR="001656BA" w:rsidRPr="00C25F62" w14:paraId="02803280" w14:textId="77777777" w:rsidTr="00C25F62">
        <w:tc>
          <w:tcPr>
            <w:tcW w:w="1526" w:type="dxa"/>
          </w:tcPr>
          <w:p w14:paraId="0A4C8F9F" w14:textId="77777777" w:rsidR="001656BA" w:rsidRPr="00C25F62" w:rsidRDefault="001656BA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Циметидин</w:t>
            </w:r>
          </w:p>
        </w:tc>
        <w:tc>
          <w:tcPr>
            <w:tcW w:w="2360" w:type="dxa"/>
          </w:tcPr>
          <w:p w14:paraId="362E6CD4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1656BA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50-65</w:t>
            </w:r>
          </w:p>
        </w:tc>
        <w:tc>
          <w:tcPr>
            <w:tcW w:w="1892" w:type="dxa"/>
          </w:tcPr>
          <w:p w14:paraId="2E11BEFC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50</w:t>
            </w:r>
          </w:p>
        </w:tc>
        <w:tc>
          <w:tcPr>
            <w:tcW w:w="2835" w:type="dxa"/>
          </w:tcPr>
          <w:p w14:paraId="79D88556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4-5</w:t>
            </w:r>
          </w:p>
        </w:tc>
      </w:tr>
      <w:tr w:rsidR="001656BA" w:rsidRPr="00C25F62" w14:paraId="48F2D17D" w14:textId="77777777" w:rsidTr="00C25F62">
        <w:tc>
          <w:tcPr>
            <w:tcW w:w="1526" w:type="dxa"/>
          </w:tcPr>
          <w:p w14:paraId="0B1E0E87" w14:textId="77777777" w:rsidR="001656BA" w:rsidRPr="00C25F62" w:rsidRDefault="001656BA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Ранитидин</w:t>
            </w:r>
          </w:p>
        </w:tc>
        <w:tc>
          <w:tcPr>
            <w:tcW w:w="2360" w:type="dxa"/>
          </w:tcPr>
          <w:p w14:paraId="1B20031A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</w:rPr>
              <w:t xml:space="preserve"> </w:t>
            </w:r>
            <w:r w:rsidR="001656BA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80-95</w:t>
            </w:r>
          </w:p>
        </w:tc>
        <w:tc>
          <w:tcPr>
            <w:tcW w:w="1892" w:type="dxa"/>
          </w:tcPr>
          <w:p w14:paraId="3623AD71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70</w:t>
            </w:r>
          </w:p>
        </w:tc>
        <w:tc>
          <w:tcPr>
            <w:tcW w:w="2835" w:type="dxa"/>
          </w:tcPr>
          <w:p w14:paraId="11C18AB4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8-9</w:t>
            </w:r>
          </w:p>
        </w:tc>
      </w:tr>
      <w:tr w:rsidR="001656BA" w:rsidRPr="00C25F62" w14:paraId="14EFA642" w14:textId="77777777" w:rsidTr="00C25F62">
        <w:tc>
          <w:tcPr>
            <w:tcW w:w="1526" w:type="dxa"/>
          </w:tcPr>
          <w:p w14:paraId="265B87CC" w14:textId="77777777" w:rsidR="001656BA" w:rsidRPr="00C25F62" w:rsidRDefault="001656BA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Фамотидин</w:t>
            </w:r>
          </w:p>
        </w:tc>
        <w:tc>
          <w:tcPr>
            <w:tcW w:w="2360" w:type="dxa"/>
          </w:tcPr>
          <w:p w14:paraId="2075595B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1656BA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80-95</w:t>
            </w:r>
          </w:p>
        </w:tc>
        <w:tc>
          <w:tcPr>
            <w:tcW w:w="1892" w:type="dxa"/>
          </w:tcPr>
          <w:p w14:paraId="50F1AD08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70</w:t>
            </w:r>
          </w:p>
        </w:tc>
        <w:tc>
          <w:tcPr>
            <w:tcW w:w="2835" w:type="dxa"/>
          </w:tcPr>
          <w:p w14:paraId="6287F5DA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10-12</w:t>
            </w:r>
          </w:p>
        </w:tc>
      </w:tr>
      <w:tr w:rsidR="001656BA" w:rsidRPr="00C25F62" w14:paraId="246C091C" w14:textId="77777777" w:rsidTr="00C25F62">
        <w:tc>
          <w:tcPr>
            <w:tcW w:w="1526" w:type="dxa"/>
          </w:tcPr>
          <w:p w14:paraId="48C9E155" w14:textId="77777777" w:rsidR="001656BA" w:rsidRPr="00C25F62" w:rsidRDefault="001656BA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Низатидин</w:t>
            </w:r>
          </w:p>
        </w:tc>
        <w:tc>
          <w:tcPr>
            <w:tcW w:w="2360" w:type="dxa"/>
          </w:tcPr>
          <w:p w14:paraId="03D64BEE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1656BA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80-95</w:t>
            </w:r>
          </w:p>
        </w:tc>
        <w:tc>
          <w:tcPr>
            <w:tcW w:w="1892" w:type="dxa"/>
          </w:tcPr>
          <w:p w14:paraId="4F2B98F7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70</w:t>
            </w:r>
          </w:p>
        </w:tc>
        <w:tc>
          <w:tcPr>
            <w:tcW w:w="2835" w:type="dxa"/>
          </w:tcPr>
          <w:p w14:paraId="56981BB6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10-12</w:t>
            </w:r>
          </w:p>
        </w:tc>
      </w:tr>
      <w:tr w:rsidR="001656BA" w:rsidRPr="00C25F62" w14:paraId="2BB3502C" w14:textId="77777777" w:rsidTr="00C25F62">
        <w:tc>
          <w:tcPr>
            <w:tcW w:w="1526" w:type="dxa"/>
          </w:tcPr>
          <w:p w14:paraId="5FA6318A" w14:textId="77777777" w:rsidR="001656BA" w:rsidRPr="00C25F62" w:rsidRDefault="001656BA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Роксатидин</w:t>
            </w:r>
          </w:p>
        </w:tc>
        <w:tc>
          <w:tcPr>
            <w:tcW w:w="2360" w:type="dxa"/>
          </w:tcPr>
          <w:p w14:paraId="05C76815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80-95</w:t>
            </w:r>
          </w:p>
        </w:tc>
        <w:tc>
          <w:tcPr>
            <w:tcW w:w="1892" w:type="dxa"/>
          </w:tcPr>
          <w:p w14:paraId="4DF0A526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70</w:t>
            </w:r>
          </w:p>
        </w:tc>
        <w:tc>
          <w:tcPr>
            <w:tcW w:w="2835" w:type="dxa"/>
          </w:tcPr>
          <w:p w14:paraId="23FC9380" w14:textId="77777777" w:rsidR="001656BA" w:rsidRPr="00C25F62" w:rsidRDefault="00802F8B" w:rsidP="00C25F62">
            <w:pPr>
              <w:spacing w:before="0" w:line="360" w:lineRule="auto"/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</w:pPr>
            <w:r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="0044101B" w:rsidRPr="00C25F62">
              <w:rPr>
                <w:rStyle w:val="a3"/>
                <w:rFonts w:ascii="Times New Roman" w:hAnsi="Times New Roman"/>
                <w:b w:val="0"/>
                <w:sz w:val="20"/>
                <w:szCs w:val="28"/>
              </w:rPr>
              <w:t>10-12</w:t>
            </w:r>
          </w:p>
        </w:tc>
      </w:tr>
    </w:tbl>
    <w:p w14:paraId="19176414" w14:textId="77777777" w:rsidR="009275A8" w:rsidRPr="00EC7F92" w:rsidRDefault="009275A8" w:rsidP="00EC7F92">
      <w:pPr>
        <w:spacing w:before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sectPr w:rsidR="009275A8" w:rsidRPr="00EC7F92" w:rsidSect="00802F8B">
      <w:pgSz w:w="11906" w:h="16838"/>
      <w:pgMar w:top="1134" w:right="850" w:bottom="1134" w:left="1701" w:header="709" w:footer="709" w:gutter="0"/>
      <w:pgNumType w:fmt="numberInDash" w:start="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F05D" w14:textId="77777777" w:rsidR="007565FE" w:rsidRDefault="007565FE" w:rsidP="006A2747">
      <w:pPr>
        <w:spacing w:before="0"/>
      </w:pPr>
      <w:r>
        <w:separator/>
      </w:r>
    </w:p>
  </w:endnote>
  <w:endnote w:type="continuationSeparator" w:id="0">
    <w:p w14:paraId="1C3A8209" w14:textId="77777777" w:rsidR="007565FE" w:rsidRDefault="007565FE" w:rsidP="006A27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4420" w14:textId="77777777" w:rsidR="007565FE" w:rsidRDefault="007565FE" w:rsidP="006A2747">
      <w:pPr>
        <w:spacing w:before="0"/>
      </w:pPr>
      <w:r>
        <w:separator/>
      </w:r>
    </w:p>
  </w:footnote>
  <w:footnote w:type="continuationSeparator" w:id="0">
    <w:p w14:paraId="2A44E4F9" w14:textId="77777777" w:rsidR="007565FE" w:rsidRDefault="007565FE" w:rsidP="006A274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12EE"/>
    <w:multiLevelType w:val="hybridMultilevel"/>
    <w:tmpl w:val="E63C4A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oNotHyphenateCaps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BD"/>
    <w:rsid w:val="00002E9D"/>
    <w:rsid w:val="00002FF9"/>
    <w:rsid w:val="000117E0"/>
    <w:rsid w:val="000228ED"/>
    <w:rsid w:val="00052E57"/>
    <w:rsid w:val="000633BC"/>
    <w:rsid w:val="0006468C"/>
    <w:rsid w:val="000776EC"/>
    <w:rsid w:val="000A3C0E"/>
    <w:rsid w:val="000B03FE"/>
    <w:rsid w:val="000B7451"/>
    <w:rsid w:val="000D0E3F"/>
    <w:rsid w:val="000E34E8"/>
    <w:rsid w:val="000E6E75"/>
    <w:rsid w:val="00102C30"/>
    <w:rsid w:val="00115093"/>
    <w:rsid w:val="001206B6"/>
    <w:rsid w:val="00144F44"/>
    <w:rsid w:val="00146F81"/>
    <w:rsid w:val="001473CA"/>
    <w:rsid w:val="00155D1E"/>
    <w:rsid w:val="00164EAA"/>
    <w:rsid w:val="001656BA"/>
    <w:rsid w:val="001B6616"/>
    <w:rsid w:val="001B6A5A"/>
    <w:rsid w:val="001C166B"/>
    <w:rsid w:val="001D1F33"/>
    <w:rsid w:val="001E123C"/>
    <w:rsid w:val="001E7D36"/>
    <w:rsid w:val="001F165F"/>
    <w:rsid w:val="00210D19"/>
    <w:rsid w:val="00214735"/>
    <w:rsid w:val="00232AEE"/>
    <w:rsid w:val="002331C4"/>
    <w:rsid w:val="0023513E"/>
    <w:rsid w:val="00255857"/>
    <w:rsid w:val="00255B81"/>
    <w:rsid w:val="002635F4"/>
    <w:rsid w:val="002668AF"/>
    <w:rsid w:val="0027161E"/>
    <w:rsid w:val="00273F21"/>
    <w:rsid w:val="002829A4"/>
    <w:rsid w:val="002A19A8"/>
    <w:rsid w:val="002B6EBD"/>
    <w:rsid w:val="002D059E"/>
    <w:rsid w:val="002E0F28"/>
    <w:rsid w:val="002E49DB"/>
    <w:rsid w:val="002F22E9"/>
    <w:rsid w:val="002F4A7D"/>
    <w:rsid w:val="002F75D2"/>
    <w:rsid w:val="0030508E"/>
    <w:rsid w:val="00306CEC"/>
    <w:rsid w:val="003078D3"/>
    <w:rsid w:val="00344769"/>
    <w:rsid w:val="00355259"/>
    <w:rsid w:val="00360125"/>
    <w:rsid w:val="003623B2"/>
    <w:rsid w:val="00383365"/>
    <w:rsid w:val="003A19BA"/>
    <w:rsid w:val="003A73F8"/>
    <w:rsid w:val="003A7540"/>
    <w:rsid w:val="003B0CBF"/>
    <w:rsid w:val="003C3204"/>
    <w:rsid w:val="003C653D"/>
    <w:rsid w:val="003C708E"/>
    <w:rsid w:val="003D1AC2"/>
    <w:rsid w:val="003F57C1"/>
    <w:rsid w:val="00413DE2"/>
    <w:rsid w:val="00426447"/>
    <w:rsid w:val="00432406"/>
    <w:rsid w:val="00434E99"/>
    <w:rsid w:val="004360DE"/>
    <w:rsid w:val="0044101B"/>
    <w:rsid w:val="0046161E"/>
    <w:rsid w:val="004634C3"/>
    <w:rsid w:val="00464835"/>
    <w:rsid w:val="00474971"/>
    <w:rsid w:val="004849C4"/>
    <w:rsid w:val="004905A7"/>
    <w:rsid w:val="00491391"/>
    <w:rsid w:val="00492901"/>
    <w:rsid w:val="00492C2C"/>
    <w:rsid w:val="004C2FB8"/>
    <w:rsid w:val="004C6030"/>
    <w:rsid w:val="004E586B"/>
    <w:rsid w:val="004F61AA"/>
    <w:rsid w:val="005110DE"/>
    <w:rsid w:val="00521A0C"/>
    <w:rsid w:val="005239BA"/>
    <w:rsid w:val="00537979"/>
    <w:rsid w:val="00546A65"/>
    <w:rsid w:val="00555D34"/>
    <w:rsid w:val="00585DD2"/>
    <w:rsid w:val="005C1D89"/>
    <w:rsid w:val="005C63CE"/>
    <w:rsid w:val="005D53EC"/>
    <w:rsid w:val="005F7B66"/>
    <w:rsid w:val="0063450C"/>
    <w:rsid w:val="00652925"/>
    <w:rsid w:val="00656B63"/>
    <w:rsid w:val="00657B70"/>
    <w:rsid w:val="00661B96"/>
    <w:rsid w:val="006622F5"/>
    <w:rsid w:val="00685DA5"/>
    <w:rsid w:val="00690AF8"/>
    <w:rsid w:val="00695F34"/>
    <w:rsid w:val="0069696F"/>
    <w:rsid w:val="006A2747"/>
    <w:rsid w:val="006A4540"/>
    <w:rsid w:val="006D1326"/>
    <w:rsid w:val="006D7060"/>
    <w:rsid w:val="006F108C"/>
    <w:rsid w:val="00704D64"/>
    <w:rsid w:val="00721651"/>
    <w:rsid w:val="00721A39"/>
    <w:rsid w:val="00723537"/>
    <w:rsid w:val="007469F3"/>
    <w:rsid w:val="007565FE"/>
    <w:rsid w:val="0076376E"/>
    <w:rsid w:val="00773980"/>
    <w:rsid w:val="00796001"/>
    <w:rsid w:val="007A05E8"/>
    <w:rsid w:val="007A0A43"/>
    <w:rsid w:val="007A3D39"/>
    <w:rsid w:val="007B116D"/>
    <w:rsid w:val="007D3A5A"/>
    <w:rsid w:val="007E286D"/>
    <w:rsid w:val="007E6C20"/>
    <w:rsid w:val="007F1BD4"/>
    <w:rsid w:val="00802CC3"/>
    <w:rsid w:val="00802F8B"/>
    <w:rsid w:val="00804E76"/>
    <w:rsid w:val="008059C3"/>
    <w:rsid w:val="00806BCC"/>
    <w:rsid w:val="0081506B"/>
    <w:rsid w:val="008154AB"/>
    <w:rsid w:val="008223E2"/>
    <w:rsid w:val="008348CE"/>
    <w:rsid w:val="00843976"/>
    <w:rsid w:val="00854A44"/>
    <w:rsid w:val="00882BF2"/>
    <w:rsid w:val="00891710"/>
    <w:rsid w:val="008A3BE1"/>
    <w:rsid w:val="008A3D2D"/>
    <w:rsid w:val="008D45A8"/>
    <w:rsid w:val="008F1D1C"/>
    <w:rsid w:val="00911651"/>
    <w:rsid w:val="009121C7"/>
    <w:rsid w:val="009172A6"/>
    <w:rsid w:val="0091732F"/>
    <w:rsid w:val="00920B46"/>
    <w:rsid w:val="00926E37"/>
    <w:rsid w:val="009275A8"/>
    <w:rsid w:val="009426A8"/>
    <w:rsid w:val="0095249D"/>
    <w:rsid w:val="00983D77"/>
    <w:rsid w:val="009B154D"/>
    <w:rsid w:val="009C08BD"/>
    <w:rsid w:val="009C2CD9"/>
    <w:rsid w:val="009D548A"/>
    <w:rsid w:val="009E2594"/>
    <w:rsid w:val="00A10AED"/>
    <w:rsid w:val="00A11204"/>
    <w:rsid w:val="00A145D5"/>
    <w:rsid w:val="00A25BFA"/>
    <w:rsid w:val="00A669B4"/>
    <w:rsid w:val="00A676F6"/>
    <w:rsid w:val="00A87C38"/>
    <w:rsid w:val="00A9063F"/>
    <w:rsid w:val="00A9604C"/>
    <w:rsid w:val="00A96804"/>
    <w:rsid w:val="00AA32F2"/>
    <w:rsid w:val="00AC7268"/>
    <w:rsid w:val="00AD4AD1"/>
    <w:rsid w:val="00AE5773"/>
    <w:rsid w:val="00AE7FCE"/>
    <w:rsid w:val="00AF49B3"/>
    <w:rsid w:val="00AF6CE8"/>
    <w:rsid w:val="00B02488"/>
    <w:rsid w:val="00B03E50"/>
    <w:rsid w:val="00B132D3"/>
    <w:rsid w:val="00B14EA1"/>
    <w:rsid w:val="00B15C52"/>
    <w:rsid w:val="00B21963"/>
    <w:rsid w:val="00B27308"/>
    <w:rsid w:val="00B27D2A"/>
    <w:rsid w:val="00B51445"/>
    <w:rsid w:val="00B612B0"/>
    <w:rsid w:val="00B667B8"/>
    <w:rsid w:val="00B71198"/>
    <w:rsid w:val="00B90EE3"/>
    <w:rsid w:val="00BB3C3D"/>
    <w:rsid w:val="00BC1DB8"/>
    <w:rsid w:val="00BC3E30"/>
    <w:rsid w:val="00BD2105"/>
    <w:rsid w:val="00BF5334"/>
    <w:rsid w:val="00BF538C"/>
    <w:rsid w:val="00C006CB"/>
    <w:rsid w:val="00C203FD"/>
    <w:rsid w:val="00C25C4B"/>
    <w:rsid w:val="00C25F62"/>
    <w:rsid w:val="00C263AF"/>
    <w:rsid w:val="00C3077D"/>
    <w:rsid w:val="00C42B41"/>
    <w:rsid w:val="00C50AE9"/>
    <w:rsid w:val="00C50BE3"/>
    <w:rsid w:val="00C51BEF"/>
    <w:rsid w:val="00C53A8F"/>
    <w:rsid w:val="00C53DB0"/>
    <w:rsid w:val="00C737B4"/>
    <w:rsid w:val="00C74C22"/>
    <w:rsid w:val="00C86D8A"/>
    <w:rsid w:val="00CA0B49"/>
    <w:rsid w:val="00CB23F8"/>
    <w:rsid w:val="00CC241E"/>
    <w:rsid w:val="00CD2A12"/>
    <w:rsid w:val="00CD6863"/>
    <w:rsid w:val="00CE5791"/>
    <w:rsid w:val="00D12BB5"/>
    <w:rsid w:val="00D20054"/>
    <w:rsid w:val="00D27518"/>
    <w:rsid w:val="00D32254"/>
    <w:rsid w:val="00D3334C"/>
    <w:rsid w:val="00D41D3B"/>
    <w:rsid w:val="00D7359A"/>
    <w:rsid w:val="00D76A6A"/>
    <w:rsid w:val="00D859BA"/>
    <w:rsid w:val="00DB74AA"/>
    <w:rsid w:val="00DD4482"/>
    <w:rsid w:val="00DD64E0"/>
    <w:rsid w:val="00DF36CD"/>
    <w:rsid w:val="00E0658C"/>
    <w:rsid w:val="00E12488"/>
    <w:rsid w:val="00E126CE"/>
    <w:rsid w:val="00E238F3"/>
    <w:rsid w:val="00E37D63"/>
    <w:rsid w:val="00E4230A"/>
    <w:rsid w:val="00E6675E"/>
    <w:rsid w:val="00E714CF"/>
    <w:rsid w:val="00E757B9"/>
    <w:rsid w:val="00E76969"/>
    <w:rsid w:val="00EA3297"/>
    <w:rsid w:val="00EA6969"/>
    <w:rsid w:val="00EA7B93"/>
    <w:rsid w:val="00EC42D7"/>
    <w:rsid w:val="00EC7F92"/>
    <w:rsid w:val="00F01FA1"/>
    <w:rsid w:val="00F14AAE"/>
    <w:rsid w:val="00F14CFF"/>
    <w:rsid w:val="00F262E0"/>
    <w:rsid w:val="00F65071"/>
    <w:rsid w:val="00F65502"/>
    <w:rsid w:val="00F6752E"/>
    <w:rsid w:val="00F81961"/>
    <w:rsid w:val="00F836D4"/>
    <w:rsid w:val="00F85011"/>
    <w:rsid w:val="00F92150"/>
    <w:rsid w:val="00FB2D36"/>
    <w:rsid w:val="00FB5EE4"/>
    <w:rsid w:val="00FC4693"/>
    <w:rsid w:val="00FC576B"/>
    <w:rsid w:val="00FD2067"/>
    <w:rsid w:val="00FE5021"/>
    <w:rsid w:val="00FE5FFD"/>
    <w:rsid w:val="00FE638A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F78567"/>
  <w15:chartTrackingRefBased/>
  <w15:docId w15:val="{63B6DD3C-408E-42C1-B892-2D54001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C20"/>
    <w:pPr>
      <w:spacing w:before="480"/>
    </w:pPr>
    <w:rPr>
      <w:rFonts w:cs="Times New Roman"/>
      <w:sz w:val="32"/>
      <w:szCs w:val="3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aliases w:val="Обычный1"/>
    <w:basedOn w:val="a0"/>
    <w:qFormat/>
    <w:rsid w:val="009C08BD"/>
    <w:rPr>
      <w:rFonts w:cs="Times New Roman"/>
      <w:b/>
      <w:bCs/>
    </w:rPr>
  </w:style>
  <w:style w:type="paragraph" w:customStyle="1" w:styleId="NoSpacing">
    <w:name w:val="No Spacing"/>
    <w:rsid w:val="00F836D4"/>
    <w:rPr>
      <w:rFonts w:cs="Times New Roman"/>
      <w:sz w:val="32"/>
      <w:szCs w:val="32"/>
      <w:lang w:eastAsia="en-US"/>
    </w:rPr>
  </w:style>
  <w:style w:type="paragraph" w:customStyle="1" w:styleId="1">
    <w:name w:val="Стиль1"/>
    <w:basedOn w:val="a"/>
    <w:link w:val="10"/>
    <w:rsid w:val="009C2CD9"/>
    <w:rPr>
      <w:sz w:val="28"/>
      <w:szCs w:val="28"/>
    </w:rPr>
  </w:style>
  <w:style w:type="paragraph" w:styleId="a4">
    <w:name w:val="header"/>
    <w:basedOn w:val="a"/>
    <w:link w:val="a5"/>
    <w:semiHidden/>
    <w:rsid w:val="006A2747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semiHidden/>
    <w:locked/>
    <w:rsid w:val="006A2747"/>
    <w:rPr>
      <w:rFonts w:cs="Times New Roman"/>
      <w:sz w:val="32"/>
      <w:szCs w:val="32"/>
    </w:rPr>
  </w:style>
  <w:style w:type="character" w:customStyle="1" w:styleId="10">
    <w:name w:val="Стиль1 Знак"/>
    <w:basedOn w:val="a0"/>
    <w:link w:val="1"/>
    <w:locked/>
    <w:rsid w:val="009C2CD9"/>
    <w:rPr>
      <w:rFonts w:cs="Times New Roman"/>
      <w:sz w:val="28"/>
      <w:szCs w:val="28"/>
    </w:rPr>
  </w:style>
  <w:style w:type="paragraph" w:styleId="a6">
    <w:name w:val="footer"/>
    <w:basedOn w:val="a"/>
    <w:link w:val="a7"/>
    <w:rsid w:val="006A2747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locked/>
    <w:rsid w:val="006A2747"/>
    <w:rPr>
      <w:rFonts w:cs="Times New Roman"/>
      <w:sz w:val="32"/>
      <w:szCs w:val="32"/>
    </w:rPr>
  </w:style>
  <w:style w:type="character" w:customStyle="1" w:styleId="PlaceholderText">
    <w:name w:val="Placeholder Text"/>
    <w:basedOn w:val="a0"/>
    <w:semiHidden/>
    <w:rsid w:val="00926E37"/>
    <w:rPr>
      <w:rFonts w:cs="Times New Roman"/>
      <w:color w:val="808080"/>
    </w:rPr>
  </w:style>
  <w:style w:type="paragraph" w:styleId="a8">
    <w:name w:val="Balloon Text"/>
    <w:basedOn w:val="a"/>
    <w:link w:val="a9"/>
    <w:semiHidden/>
    <w:rsid w:val="00926E3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926E3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32F2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C2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8422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Grizli777</Company>
  <LinksUpToDate>false</LinksUpToDate>
  <CharactersWithSpaces>56316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Жанна</dc:creator>
  <cp:keywords/>
  <dc:description/>
  <cp:lastModifiedBy>Igor</cp:lastModifiedBy>
  <cp:revision>3</cp:revision>
  <dcterms:created xsi:type="dcterms:W3CDTF">2024-10-30T07:01:00Z</dcterms:created>
  <dcterms:modified xsi:type="dcterms:W3CDTF">2024-10-30T07:01:00Z</dcterms:modified>
</cp:coreProperties>
</file>