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7C87" w14:textId="77777777" w:rsidR="00116498" w:rsidRDefault="00116498">
      <w:pPr>
        <w:pStyle w:val="a3"/>
        <w:rPr>
          <w:rFonts w:ascii="Times New Roman" w:hAnsi="Times New Roman"/>
        </w:rPr>
      </w:pPr>
    </w:p>
    <w:p w14:paraId="0D212455" w14:textId="77777777" w:rsidR="00116498" w:rsidRDefault="00116498">
      <w:pPr>
        <w:pStyle w:val="a3"/>
        <w:rPr>
          <w:rFonts w:ascii="Times New Roman" w:hAnsi="Times New Roman"/>
          <w:b w:val="0"/>
        </w:rPr>
      </w:pPr>
      <w:r>
        <w:rPr>
          <w:rFonts w:ascii="Times New Roman" w:hAnsi="Times New Roman"/>
          <w:b w:val="0"/>
        </w:rPr>
        <w:t>Министерство образования Российской Федерации</w:t>
      </w:r>
    </w:p>
    <w:p w14:paraId="4B7B89D3" w14:textId="77777777" w:rsidR="00116498" w:rsidRDefault="00116498">
      <w:pPr>
        <w:jc w:val="center"/>
        <w:rPr>
          <w:rFonts w:ascii="Times New Roman" w:hAnsi="Times New Roman"/>
        </w:rPr>
      </w:pPr>
      <w:r>
        <w:rPr>
          <w:rFonts w:ascii="Times New Roman" w:hAnsi="Times New Roman"/>
        </w:rPr>
        <w:t>Государственный Университет Управления</w:t>
      </w:r>
    </w:p>
    <w:p w14:paraId="5D633F4A" w14:textId="77777777" w:rsidR="00116498" w:rsidRDefault="00116498">
      <w:pPr>
        <w:jc w:val="center"/>
        <w:rPr>
          <w:rFonts w:ascii="Times New Roman" w:hAnsi="Times New Roman"/>
        </w:rPr>
      </w:pPr>
      <w:r>
        <w:rPr>
          <w:rFonts w:ascii="Times New Roman" w:hAnsi="Times New Roman"/>
        </w:rPr>
        <w:t>Институт управления в машиностроительной промышленности</w:t>
      </w:r>
    </w:p>
    <w:p w14:paraId="437FD957" w14:textId="77777777" w:rsidR="00116498" w:rsidRDefault="00116498">
      <w:pPr>
        <w:jc w:val="center"/>
        <w:rPr>
          <w:rFonts w:ascii="Times New Roman" w:hAnsi="Times New Roman"/>
        </w:rPr>
      </w:pPr>
      <w:r>
        <w:rPr>
          <w:rFonts w:ascii="Times New Roman" w:hAnsi="Times New Roman"/>
        </w:rPr>
        <w:t>Кафедра мировой экономики</w:t>
      </w:r>
    </w:p>
    <w:p w14:paraId="1AC1C82F" w14:textId="77777777" w:rsidR="00116498" w:rsidRDefault="00116498">
      <w:pPr>
        <w:jc w:val="center"/>
        <w:rPr>
          <w:rFonts w:ascii="Times New Roman" w:hAnsi="Times New Roman"/>
        </w:rPr>
      </w:pPr>
    </w:p>
    <w:p w14:paraId="172963EE" w14:textId="77777777" w:rsidR="00116498" w:rsidRDefault="00116498">
      <w:pPr>
        <w:jc w:val="center"/>
        <w:rPr>
          <w:rFonts w:ascii="Times New Roman" w:hAnsi="Times New Roman"/>
        </w:rPr>
      </w:pPr>
    </w:p>
    <w:p w14:paraId="29EB656C" w14:textId="77777777" w:rsidR="00116498" w:rsidRDefault="00116498">
      <w:pPr>
        <w:jc w:val="center"/>
        <w:rPr>
          <w:rFonts w:ascii="Times New Roman" w:hAnsi="Times New Roman"/>
        </w:rPr>
      </w:pPr>
    </w:p>
    <w:p w14:paraId="469EB068" w14:textId="77777777" w:rsidR="00116498" w:rsidRDefault="00116498">
      <w:pPr>
        <w:jc w:val="center"/>
        <w:rPr>
          <w:rFonts w:ascii="Times New Roman" w:hAnsi="Times New Roman"/>
        </w:rPr>
      </w:pPr>
    </w:p>
    <w:p w14:paraId="50E26D42" w14:textId="77777777" w:rsidR="00116498" w:rsidRDefault="00116498">
      <w:pPr>
        <w:jc w:val="center"/>
        <w:rPr>
          <w:rFonts w:ascii="Times New Roman" w:hAnsi="Times New Roman"/>
        </w:rPr>
      </w:pPr>
    </w:p>
    <w:p w14:paraId="198650E6" w14:textId="77777777" w:rsidR="00116498" w:rsidRDefault="00116498">
      <w:pPr>
        <w:jc w:val="center"/>
        <w:rPr>
          <w:rFonts w:ascii="Times New Roman" w:hAnsi="Times New Roman"/>
        </w:rPr>
      </w:pPr>
    </w:p>
    <w:p w14:paraId="50DA4BD0" w14:textId="77777777" w:rsidR="00116498" w:rsidRDefault="00116498">
      <w:pPr>
        <w:jc w:val="center"/>
        <w:rPr>
          <w:rFonts w:ascii="Times New Roman" w:hAnsi="Times New Roman"/>
        </w:rPr>
      </w:pPr>
    </w:p>
    <w:p w14:paraId="619B569B" w14:textId="77777777" w:rsidR="00116498" w:rsidRDefault="00116498">
      <w:pPr>
        <w:jc w:val="center"/>
        <w:rPr>
          <w:rFonts w:ascii="Times New Roman" w:hAnsi="Times New Roman"/>
        </w:rPr>
      </w:pPr>
    </w:p>
    <w:p w14:paraId="1F5675AA" w14:textId="77777777" w:rsidR="00116498" w:rsidRDefault="00116498">
      <w:pPr>
        <w:jc w:val="center"/>
        <w:rPr>
          <w:rFonts w:ascii="Times New Roman" w:hAnsi="Times New Roman"/>
        </w:rPr>
      </w:pPr>
    </w:p>
    <w:p w14:paraId="52ECD02D" w14:textId="77777777" w:rsidR="00116498" w:rsidRDefault="00116498">
      <w:pPr>
        <w:jc w:val="center"/>
        <w:rPr>
          <w:rFonts w:ascii="Times New Roman" w:hAnsi="Times New Roman"/>
        </w:rPr>
      </w:pPr>
    </w:p>
    <w:p w14:paraId="61FB2AE2" w14:textId="77777777" w:rsidR="00116498" w:rsidRDefault="00116498">
      <w:pPr>
        <w:jc w:val="center"/>
        <w:rPr>
          <w:rFonts w:ascii="Times New Roman" w:hAnsi="Times New Roman"/>
        </w:rPr>
      </w:pPr>
      <w:r>
        <w:rPr>
          <w:rFonts w:ascii="Times New Roman" w:hAnsi="Times New Roman"/>
        </w:rPr>
        <w:t>Реферат по дисциплине «Мировая экономика»</w:t>
      </w:r>
    </w:p>
    <w:p w14:paraId="7BA90673" w14:textId="77777777" w:rsidR="00116498" w:rsidRDefault="00116498">
      <w:pPr>
        <w:jc w:val="center"/>
        <w:rPr>
          <w:rFonts w:ascii="Times New Roman" w:hAnsi="Times New Roman"/>
        </w:rPr>
      </w:pPr>
    </w:p>
    <w:p w14:paraId="1E696EA1" w14:textId="77777777" w:rsidR="00116498" w:rsidRDefault="00116498">
      <w:pPr>
        <w:pStyle w:val="1"/>
        <w:ind w:firstLine="0"/>
        <w:rPr>
          <w:rFonts w:ascii="Times New Roman" w:hAnsi="Times New Roman"/>
          <w:sz w:val="48"/>
        </w:rPr>
      </w:pPr>
      <w:r>
        <w:rPr>
          <w:rFonts w:ascii="Times New Roman" w:hAnsi="Times New Roman"/>
          <w:sz w:val="48"/>
        </w:rPr>
        <w:t>«Финансирование футбольной индустрии»</w:t>
      </w:r>
    </w:p>
    <w:p w14:paraId="4DC5CBE9" w14:textId="77777777" w:rsidR="00116498" w:rsidRDefault="00116498">
      <w:pPr>
        <w:jc w:val="center"/>
        <w:rPr>
          <w:rFonts w:ascii="Times New Roman" w:hAnsi="Times New Roman"/>
          <w:b/>
          <w:spacing w:val="50"/>
        </w:rPr>
      </w:pPr>
    </w:p>
    <w:p w14:paraId="382C970A" w14:textId="77777777" w:rsidR="00116498" w:rsidRDefault="00116498">
      <w:pPr>
        <w:jc w:val="center"/>
        <w:rPr>
          <w:rFonts w:ascii="Times New Roman" w:hAnsi="Times New Roman"/>
        </w:rPr>
      </w:pPr>
    </w:p>
    <w:p w14:paraId="21AB3BF8" w14:textId="77777777" w:rsidR="00116498" w:rsidRDefault="00116498">
      <w:pPr>
        <w:jc w:val="center"/>
        <w:rPr>
          <w:rFonts w:ascii="Times New Roman" w:hAnsi="Times New Roman"/>
        </w:rPr>
      </w:pPr>
    </w:p>
    <w:p w14:paraId="41284AB2" w14:textId="77777777" w:rsidR="00116498" w:rsidRDefault="00116498">
      <w:pPr>
        <w:jc w:val="center"/>
        <w:rPr>
          <w:rFonts w:ascii="Times New Roman" w:hAnsi="Times New Roman"/>
        </w:rPr>
      </w:pPr>
    </w:p>
    <w:p w14:paraId="41C671F2" w14:textId="77777777" w:rsidR="00116498" w:rsidRDefault="00116498">
      <w:pPr>
        <w:pStyle w:val="a5"/>
        <w:tabs>
          <w:tab w:val="clear" w:pos="4153"/>
          <w:tab w:val="clear" w:pos="8306"/>
        </w:tabs>
        <w:rPr>
          <w:rFonts w:ascii="Times New Roman" w:hAnsi="Times New Roman"/>
        </w:rPr>
      </w:pPr>
    </w:p>
    <w:p w14:paraId="750E1E3D" w14:textId="77777777" w:rsidR="00116498" w:rsidRDefault="00116498">
      <w:pPr>
        <w:rPr>
          <w:rFonts w:ascii="Times New Roman" w:hAnsi="Times New Roman"/>
        </w:rPr>
      </w:pPr>
    </w:p>
    <w:p w14:paraId="39AAF562" w14:textId="77777777" w:rsidR="00116498" w:rsidRDefault="00116498">
      <w:pPr>
        <w:ind w:left="5103"/>
        <w:jc w:val="both"/>
        <w:rPr>
          <w:rFonts w:ascii="Times New Roman" w:hAnsi="Times New Roman"/>
        </w:rPr>
      </w:pPr>
      <w:r>
        <w:rPr>
          <w:rFonts w:ascii="Times New Roman" w:hAnsi="Times New Roman"/>
        </w:rPr>
        <w:t xml:space="preserve">Выполнила студентка </w:t>
      </w:r>
      <w:r>
        <w:rPr>
          <w:rFonts w:ascii="Times New Roman" w:hAnsi="Times New Roman"/>
          <w:lang w:val="en-US"/>
        </w:rPr>
        <w:t>II </w:t>
      </w:r>
      <w:r>
        <w:rPr>
          <w:rFonts w:ascii="Times New Roman" w:hAnsi="Times New Roman"/>
        </w:rPr>
        <w:t xml:space="preserve">курса, д/о, </w:t>
      </w:r>
      <w:r>
        <w:rPr>
          <w:rFonts w:ascii="Times New Roman" w:hAnsi="Times New Roman"/>
          <w:lang w:val="en-US"/>
        </w:rPr>
        <w:t>I</w:t>
      </w:r>
      <w:r>
        <w:rPr>
          <w:rFonts w:ascii="Times New Roman" w:hAnsi="Times New Roman"/>
        </w:rPr>
        <w:t xml:space="preserve"> группы спец. маркетинг</w:t>
      </w:r>
    </w:p>
    <w:p w14:paraId="6E9487BE" w14:textId="77777777" w:rsidR="00116498" w:rsidRDefault="002E2297">
      <w:pPr>
        <w:ind w:left="5103"/>
        <w:jc w:val="both"/>
        <w:rPr>
          <w:rFonts w:ascii="Times New Roman" w:hAnsi="Times New Roman"/>
        </w:rPr>
      </w:pPr>
      <w:r>
        <w:rPr>
          <w:rFonts w:ascii="Times New Roman" w:hAnsi="Times New Roman"/>
        </w:rPr>
        <w:t>Титова Юлия</w:t>
      </w:r>
    </w:p>
    <w:p w14:paraId="53286761" w14:textId="77777777" w:rsidR="00116498" w:rsidRDefault="00116498">
      <w:pPr>
        <w:ind w:left="5103"/>
        <w:jc w:val="both"/>
        <w:rPr>
          <w:rFonts w:ascii="Times New Roman" w:hAnsi="Times New Roman"/>
        </w:rPr>
      </w:pPr>
    </w:p>
    <w:p w14:paraId="5012C8AF" w14:textId="77777777" w:rsidR="00116498" w:rsidRDefault="00116498">
      <w:pPr>
        <w:ind w:left="5103"/>
        <w:jc w:val="both"/>
        <w:rPr>
          <w:rFonts w:ascii="Times New Roman" w:hAnsi="Times New Roman"/>
        </w:rPr>
      </w:pPr>
    </w:p>
    <w:p w14:paraId="7BA9B03F" w14:textId="77777777" w:rsidR="00116498" w:rsidRDefault="00116498">
      <w:pPr>
        <w:ind w:left="5103"/>
        <w:jc w:val="both"/>
        <w:rPr>
          <w:rFonts w:ascii="Times New Roman" w:hAnsi="Times New Roman"/>
        </w:rPr>
      </w:pPr>
    </w:p>
    <w:p w14:paraId="37DB5673" w14:textId="77777777" w:rsidR="00116498" w:rsidRDefault="00116498">
      <w:pPr>
        <w:pStyle w:val="2"/>
        <w:rPr>
          <w:rFonts w:ascii="Times New Roman" w:hAnsi="Times New Roman"/>
        </w:rPr>
      </w:pPr>
      <w:r>
        <w:rPr>
          <w:rFonts w:ascii="Times New Roman" w:hAnsi="Times New Roman"/>
        </w:rPr>
        <w:t>Москва – 2001</w:t>
      </w:r>
    </w:p>
    <w:p w14:paraId="74905377" w14:textId="77777777" w:rsidR="00116498" w:rsidRDefault="00116498">
      <w:pPr>
        <w:pStyle w:val="a9"/>
        <w:rPr>
          <w:sz w:val="36"/>
        </w:rPr>
      </w:pPr>
      <w:r>
        <w:br w:type="page"/>
      </w:r>
      <w:r>
        <w:rPr>
          <w:sz w:val="36"/>
        </w:rPr>
        <w:lastRenderedPageBreak/>
        <w:t>Содержание</w:t>
      </w:r>
    </w:p>
    <w:p w14:paraId="5FDEE654" w14:textId="77777777" w:rsidR="00116498" w:rsidRDefault="00116498">
      <w:pPr>
        <w:pStyle w:val="a9"/>
        <w:spacing w:line="480" w:lineRule="auto"/>
        <w:ind w:firstLine="0"/>
        <w:jc w:val="both"/>
        <w:rPr>
          <w:b w:val="0"/>
          <w:sz w:val="28"/>
        </w:rPr>
      </w:pPr>
    </w:p>
    <w:p w14:paraId="05370627" w14:textId="77777777" w:rsidR="00116498" w:rsidRDefault="00116498">
      <w:pPr>
        <w:pStyle w:val="a9"/>
        <w:spacing w:line="480" w:lineRule="auto"/>
        <w:ind w:firstLine="0"/>
        <w:jc w:val="both"/>
        <w:rPr>
          <w:b w:val="0"/>
        </w:rPr>
      </w:pPr>
      <w:hyperlink w:anchor="введение" w:history="1">
        <w:r>
          <w:rPr>
            <w:rStyle w:val="aa"/>
            <w:color w:val="auto"/>
          </w:rPr>
          <w:t>Введен</w:t>
        </w:r>
        <w:bookmarkStart w:id="0" w:name="_Hlt511146005"/>
        <w:r>
          <w:rPr>
            <w:rStyle w:val="aa"/>
            <w:color w:val="auto"/>
          </w:rPr>
          <w:t>и</w:t>
        </w:r>
        <w:bookmarkEnd w:id="0"/>
        <w:r>
          <w:rPr>
            <w:rStyle w:val="aa"/>
            <w:color w:val="auto"/>
          </w:rPr>
          <w:t>е 3</w:t>
        </w:r>
        <w:r>
          <w:rPr>
            <w:rStyle w:val="aa"/>
            <w:color w:val="auto"/>
          </w:rPr>
          <w:br/>
        </w:r>
      </w:hyperlink>
      <w:hyperlink w:anchor="футбол" w:history="1">
        <w:r>
          <w:rPr>
            <w:rStyle w:val="aa"/>
            <w:color w:val="auto"/>
          </w:rPr>
          <w:t>Футбол – это большой бизнес 4</w:t>
        </w:r>
        <w:r>
          <w:rPr>
            <w:rStyle w:val="aa"/>
            <w:color w:val="auto"/>
          </w:rPr>
          <w:br/>
        </w:r>
      </w:hyperlink>
      <w:hyperlink w:anchor="акции" w:history="1">
        <w:r>
          <w:rPr>
            <w:rStyle w:val="aa"/>
            <w:color w:val="auto"/>
          </w:rPr>
          <w:t>Футбол и акции 5</w:t>
        </w:r>
        <w:r>
          <w:rPr>
            <w:rStyle w:val="aa"/>
            <w:color w:val="auto"/>
          </w:rPr>
          <w:br/>
        </w:r>
      </w:hyperlink>
      <w:hyperlink w:anchor="букмекеры" w:history="1">
        <w:r>
          <w:rPr>
            <w:rStyle w:val="aa"/>
            <w:color w:val="auto"/>
          </w:rPr>
          <w:t>Букмекеры 10</w:t>
        </w:r>
        <w:r>
          <w:rPr>
            <w:rStyle w:val="aa"/>
            <w:color w:val="auto"/>
          </w:rPr>
          <w:br/>
        </w:r>
      </w:hyperlink>
      <w:hyperlink w:anchor="еврокубки" w:history="1">
        <w:r>
          <w:rPr>
            <w:rStyle w:val="aa"/>
            <w:color w:val="auto"/>
          </w:rPr>
          <w:t>Еврокубки дают возможность заработать 11</w:t>
        </w:r>
        <w:r>
          <w:rPr>
            <w:rStyle w:val="aa"/>
            <w:color w:val="auto"/>
          </w:rPr>
          <w:br/>
        </w:r>
      </w:hyperlink>
      <w:hyperlink w:anchor="трансляция" w:history="1">
        <w:r>
          <w:rPr>
            <w:rStyle w:val="aa"/>
            <w:color w:val="auto"/>
          </w:rPr>
          <w:t>За право на трансляцию матчей надо побороться 12</w:t>
        </w:r>
      </w:hyperlink>
      <w:r>
        <w:rPr>
          <w:b w:val="0"/>
          <w:sz w:val="28"/>
        </w:rPr>
        <w:br/>
      </w:r>
      <w:bookmarkStart w:id="1" w:name="_Hlt511146358"/>
      <w:r>
        <w:rPr>
          <w:b w:val="0"/>
          <w:sz w:val="28"/>
        </w:rPr>
        <w:fldChar w:fldCharType="begin"/>
      </w:r>
      <w:r>
        <w:rPr>
          <w:b w:val="0"/>
          <w:sz w:val="28"/>
        </w:rPr>
        <w:instrText xml:space="preserve"> HYPERLINK  \l "спонсорство" </w:instrText>
      </w:r>
      <w:r>
        <w:rPr>
          <w:b w:val="0"/>
          <w:sz w:val="28"/>
        </w:rPr>
      </w:r>
      <w:r>
        <w:rPr>
          <w:b w:val="0"/>
          <w:sz w:val="28"/>
        </w:rPr>
        <w:fldChar w:fldCharType="separate"/>
      </w:r>
      <w:r>
        <w:rPr>
          <w:rStyle w:val="aa"/>
          <w:color w:val="auto"/>
        </w:rPr>
        <w:t>Спонсорство 13</w:t>
      </w:r>
      <w:r>
        <w:rPr>
          <w:rStyle w:val="aa"/>
          <w:color w:val="auto"/>
        </w:rPr>
        <w:br/>
      </w:r>
      <w:r>
        <w:rPr>
          <w:b w:val="0"/>
          <w:sz w:val="28"/>
        </w:rPr>
        <w:fldChar w:fldCharType="end"/>
      </w:r>
      <w:bookmarkEnd w:id="1"/>
      <w:r>
        <w:rPr>
          <w:b w:val="0"/>
          <w:sz w:val="28"/>
        </w:rPr>
        <w:fldChar w:fldCharType="begin"/>
      </w:r>
      <w:r>
        <w:rPr>
          <w:b w:val="0"/>
          <w:sz w:val="28"/>
        </w:rPr>
        <w:instrText xml:space="preserve"> HYPERLINK  \l "россия" </w:instrText>
      </w:r>
      <w:r>
        <w:rPr>
          <w:b w:val="0"/>
          <w:sz w:val="28"/>
        </w:rPr>
      </w:r>
      <w:r>
        <w:rPr>
          <w:b w:val="0"/>
          <w:sz w:val="28"/>
        </w:rPr>
        <w:fldChar w:fldCharType="separate"/>
      </w:r>
      <w:r>
        <w:rPr>
          <w:rStyle w:val="aa"/>
          <w:color w:val="auto"/>
        </w:rPr>
        <w:t>Футбольный бизнес в России 15</w:t>
      </w:r>
      <w:r>
        <w:rPr>
          <w:rStyle w:val="aa"/>
          <w:color w:val="auto"/>
        </w:rPr>
        <w:br/>
      </w:r>
      <w:r>
        <w:rPr>
          <w:b w:val="0"/>
          <w:sz w:val="28"/>
        </w:rPr>
        <w:fldChar w:fldCharType="end"/>
      </w:r>
      <w:hyperlink w:anchor="заключение" w:history="1">
        <w:r>
          <w:rPr>
            <w:rStyle w:val="aa"/>
            <w:color w:val="auto"/>
          </w:rPr>
          <w:t>Заключение 17</w:t>
        </w:r>
        <w:r>
          <w:rPr>
            <w:rStyle w:val="aa"/>
            <w:color w:val="auto"/>
          </w:rPr>
          <w:br/>
        </w:r>
      </w:hyperlink>
      <w:hyperlink w:anchor="лит" w:history="1">
        <w:r>
          <w:rPr>
            <w:rStyle w:val="aa"/>
            <w:color w:val="auto"/>
          </w:rPr>
          <w:t>Список л</w:t>
        </w:r>
        <w:bookmarkStart w:id="2" w:name="_Hlt511147864"/>
        <w:r>
          <w:rPr>
            <w:rStyle w:val="aa"/>
            <w:color w:val="auto"/>
          </w:rPr>
          <w:t>и</w:t>
        </w:r>
        <w:bookmarkEnd w:id="2"/>
        <w:r>
          <w:rPr>
            <w:rStyle w:val="aa"/>
            <w:color w:val="auto"/>
          </w:rPr>
          <w:t>тературы 19</w:t>
        </w:r>
        <w:r>
          <w:rPr>
            <w:rStyle w:val="aa"/>
            <w:color w:val="auto"/>
          </w:rPr>
          <w:br/>
        </w:r>
      </w:hyperlink>
    </w:p>
    <w:p w14:paraId="2AF3AD48" w14:textId="77777777" w:rsidR="00116498" w:rsidRDefault="00116498">
      <w:pPr>
        <w:jc w:val="both"/>
        <w:rPr>
          <w:rFonts w:ascii="Times New Roman" w:hAnsi="Times New Roman"/>
          <w:sz w:val="28"/>
        </w:rPr>
      </w:pPr>
    </w:p>
    <w:p w14:paraId="614B75F3" w14:textId="77777777" w:rsidR="00116498" w:rsidRDefault="00116498">
      <w:pPr>
        <w:pStyle w:val="1"/>
        <w:rPr>
          <w:rFonts w:ascii="Times New Roman" w:hAnsi="Times New Roman"/>
          <w:spacing w:val="20"/>
          <w:sz w:val="36"/>
        </w:rPr>
      </w:pPr>
      <w:r>
        <w:rPr>
          <w:rFonts w:ascii="Times New Roman" w:hAnsi="Times New Roman"/>
          <w:spacing w:val="20"/>
          <w:sz w:val="28"/>
        </w:rPr>
        <w:br w:type="page"/>
      </w:r>
      <w:bookmarkStart w:id="3" w:name="введение"/>
      <w:bookmarkEnd w:id="3"/>
      <w:r>
        <w:rPr>
          <w:rFonts w:ascii="Times New Roman" w:hAnsi="Times New Roman"/>
          <w:spacing w:val="20"/>
          <w:sz w:val="36"/>
        </w:rPr>
        <w:lastRenderedPageBreak/>
        <w:t>Введение</w:t>
      </w:r>
    </w:p>
    <w:p w14:paraId="26F8E078" w14:textId="77777777" w:rsidR="00116498" w:rsidRDefault="00116498">
      <w:pPr>
        <w:ind w:firstLine="567"/>
        <w:jc w:val="both"/>
        <w:rPr>
          <w:rFonts w:ascii="Times New Roman" w:hAnsi="Times New Roman"/>
          <w:sz w:val="28"/>
        </w:rPr>
      </w:pPr>
    </w:p>
    <w:p w14:paraId="34C8125E" w14:textId="77777777" w:rsidR="00116498" w:rsidRDefault="00116498">
      <w:pPr>
        <w:pStyle w:val="20"/>
        <w:rPr>
          <w:rFonts w:ascii="Times New Roman" w:hAnsi="Times New Roman"/>
          <w:sz w:val="28"/>
        </w:rPr>
      </w:pPr>
      <w:r>
        <w:rPr>
          <w:rFonts w:ascii="Times New Roman" w:hAnsi="Times New Roman"/>
          <w:sz w:val="28"/>
        </w:rPr>
        <w:t xml:space="preserve">Футбол является одним из самых массовых видов спорта. Миллионы болельщиков всего мира смотрят футбольные матчи  на стадионах, по телевизору, а некоторые слушают радиотрансляции. Среди них есть и такие, которые повсюду следуют за своей любимой командой, не жалея сил и средств. Все больше людей вливается в ряды болельщиков. Этому способствует не только захватывающая игра на поле, но и даже то, кто содержит команду, кто вкладывает в нее деньги, как дороги ее игроки и что они рекламируют. Футбол является не только самым зрелищным и популярным видом спора, но и прибыльным. В своем реферате я постараюсь показать: насколько успешно футбольные клубы осуществляют свою коммерческую деятельность. </w:t>
      </w:r>
    </w:p>
    <w:p w14:paraId="7A757184" w14:textId="77777777" w:rsidR="00116498" w:rsidRDefault="00116498">
      <w:pPr>
        <w:pStyle w:val="1"/>
        <w:rPr>
          <w:rFonts w:ascii="Times New Roman" w:hAnsi="Times New Roman"/>
          <w:spacing w:val="20"/>
          <w:sz w:val="36"/>
        </w:rPr>
      </w:pPr>
      <w:r>
        <w:rPr>
          <w:rFonts w:ascii="Times New Roman" w:hAnsi="Times New Roman"/>
          <w:sz w:val="28"/>
        </w:rPr>
        <w:br w:type="page"/>
      </w:r>
      <w:bookmarkStart w:id="4" w:name="футбол"/>
      <w:r>
        <w:rPr>
          <w:rFonts w:ascii="Times New Roman" w:hAnsi="Times New Roman"/>
          <w:spacing w:val="20"/>
          <w:sz w:val="36"/>
        </w:rPr>
        <w:t>Футбол – это большой бизнес.</w:t>
      </w:r>
    </w:p>
    <w:bookmarkEnd w:id="4"/>
    <w:p w14:paraId="0690DF33" w14:textId="77777777" w:rsidR="00116498" w:rsidRDefault="00116498">
      <w:pPr>
        <w:rPr>
          <w:sz w:val="28"/>
        </w:rPr>
      </w:pPr>
    </w:p>
    <w:p w14:paraId="7ECF5FF2" w14:textId="77777777" w:rsidR="00116498" w:rsidRDefault="00116498">
      <w:pPr>
        <w:spacing w:line="360" w:lineRule="auto"/>
        <w:ind w:firstLine="567"/>
        <w:jc w:val="both"/>
        <w:rPr>
          <w:rFonts w:ascii="Times New Roman" w:hAnsi="Times New Roman"/>
          <w:sz w:val="28"/>
        </w:rPr>
      </w:pPr>
      <w:r>
        <w:rPr>
          <w:rFonts w:ascii="Times New Roman" w:hAnsi="Times New Roman"/>
          <w:sz w:val="28"/>
        </w:rPr>
        <w:t xml:space="preserve">В последнем десятилетии спорт, в том числе и футбол, превратился в большой бизнес. Особенно это заметно в начале каждого сезона, когда в Европе идет настоящий бум вокруг "распродажи" игроков. Особенно выделяются здесь владельцы итальянских клубов. Например, перед началом футбольного сезона 1997/1998 годов на закупку новых игроков руководство команд серии "А" (так называется национальный чемпионат Италии) истратило в общей сложности 250 млн. долларов. Первое место в этом списке занял "Интер", который за 29 млн. долларов приобрел знаменитого Рональдо из "Барселоны". Однако лучший футболист Бразилии смог удержать свой высокий статус самого "дорогого" игрока только несколько недель. Через некоторое время за его соотечественника Денилсона президент испанского клуба "Бетис" выложил 37 млн. долларов. </w:t>
      </w:r>
    </w:p>
    <w:p w14:paraId="74A0BE7F" w14:textId="77777777" w:rsidR="00116498" w:rsidRDefault="00116498">
      <w:pPr>
        <w:spacing w:line="360" w:lineRule="auto"/>
        <w:ind w:firstLine="567"/>
        <w:jc w:val="both"/>
        <w:rPr>
          <w:rFonts w:ascii="Times New Roman" w:hAnsi="Times New Roman"/>
          <w:sz w:val="28"/>
        </w:rPr>
      </w:pPr>
      <w:r>
        <w:rPr>
          <w:rFonts w:ascii="Times New Roman" w:hAnsi="Times New Roman"/>
          <w:sz w:val="28"/>
        </w:rPr>
        <w:t>Возросшие мировые цены на игроков вынудили самый богатый клуб мира «Манчестер Юнайтед» пойти на существенные затраты. Перед этим сезоном «МЮ» купил игроков на 65,8 миллионов фунтов стерлингов, что не идет ни в какое сравнение с цифрой прошлого сезона – 11,4 миллиона. Один Фабьен Бартез обошелся клубу в 7,8 миллиона. Снизились также доходы клуба: вместо 42 миллионов он получил всего 36,6. Все дело в том, что команда не играла матчи Кубка Англии, и потому провела меньше игр дома. И даже при том, что продажа товаров с символикой клуба возросла, и доход стал на 2 миллиона больше, чем год назад все равно «МЮ» зарабатывает меньше.</w:t>
      </w:r>
    </w:p>
    <w:p w14:paraId="55B90A71" w14:textId="77777777" w:rsidR="00116498" w:rsidRDefault="00116498">
      <w:pPr>
        <w:spacing w:line="360" w:lineRule="auto"/>
        <w:ind w:firstLine="567"/>
        <w:jc w:val="both"/>
        <w:rPr>
          <w:rFonts w:ascii="Times New Roman" w:hAnsi="Times New Roman"/>
          <w:sz w:val="28"/>
        </w:rPr>
      </w:pPr>
      <w:r>
        <w:rPr>
          <w:rFonts w:ascii="Times New Roman" w:hAnsi="Times New Roman"/>
          <w:sz w:val="28"/>
        </w:rPr>
        <w:t xml:space="preserve">А теперь отправимся на континент. Глядя на финансовые отчеты испанских футбольных клубов и результатов исследования, проведенного </w:t>
      </w:r>
      <w:r>
        <w:rPr>
          <w:rFonts w:ascii="Times New Roman" w:hAnsi="Times New Roman"/>
          <w:sz w:val="28"/>
          <w:lang w:val="en-US"/>
        </w:rPr>
        <w:t>Deloitte</w:t>
      </w:r>
      <w:r>
        <w:rPr>
          <w:rFonts w:ascii="Times New Roman" w:hAnsi="Times New Roman"/>
          <w:sz w:val="28"/>
        </w:rPr>
        <w:t xml:space="preserve"> &amp; </w:t>
      </w:r>
      <w:r>
        <w:rPr>
          <w:rFonts w:ascii="Times New Roman" w:hAnsi="Times New Roman"/>
          <w:sz w:val="28"/>
          <w:lang w:val="en-US"/>
        </w:rPr>
        <w:t>Touche</w:t>
      </w:r>
      <w:r>
        <w:rPr>
          <w:rFonts w:ascii="Times New Roman" w:hAnsi="Times New Roman"/>
          <w:sz w:val="28"/>
        </w:rPr>
        <w:t>, можно заметить, что долги клубов, во главе с известнейшим «Реал Мадрид», продолжают увеличиваться. На данный момент они составляют уже около 692 млн. долларов, увеличившись за последний год на 59 млн. По словам автора отчета Хосе Луиса Санчеса Фернандеса, доходы клубов также выросли на 8%, но их дальнейший рост считается маловероятным. Ситуация, конечно же, еще не угрожающая, но испанские клубы должны быть внимательнее в составлении ежегодных бюджетов, поскольку новым источником дохода для них являются только собственные вебсайты. Лучше всех финансово сейчас выглядит «Реал Сосьедад», очень эффектно продающий игроков, обеспечивая себе тем самым положительный баланс. На другом конце ряда находится «Реал Мадрид», чьи долги за 1998/99 года составили 103 млн. долларов. По словам президента клуба Флорентино Переса сейчас эта цифра составляет 152 млн. долларов. Клуб запросто может решить эти проблемы, продав 4-5 своих игроков, но предлагать, что руководство клуба решит поступить именно так, пока преждевременно.</w:t>
      </w:r>
    </w:p>
    <w:p w14:paraId="36D27814" w14:textId="77777777" w:rsidR="00116498" w:rsidRDefault="00116498">
      <w:pPr>
        <w:pStyle w:val="20"/>
        <w:rPr>
          <w:rFonts w:ascii="Times New Roman" w:hAnsi="Times New Roman"/>
          <w:sz w:val="28"/>
        </w:rPr>
      </w:pPr>
      <w:r>
        <w:rPr>
          <w:rFonts w:ascii="Times New Roman" w:hAnsi="Times New Roman"/>
          <w:sz w:val="28"/>
        </w:rPr>
        <w:t>Есть и альтернативные источники доходов. Так в Жероне была торжественно открыта первая автозаправочная станция под маркой каталонского клубы «Барселоны». Всего планируется в предстоящие месяцы построить пять бензоколонок, которые будут регулярно приносить доход в клубную казну клуба.</w:t>
      </w:r>
    </w:p>
    <w:p w14:paraId="435567BD" w14:textId="77777777" w:rsidR="00116498" w:rsidRDefault="00116498">
      <w:pPr>
        <w:spacing w:line="360" w:lineRule="auto"/>
        <w:ind w:firstLine="567"/>
        <w:jc w:val="both"/>
        <w:rPr>
          <w:rFonts w:ascii="Times New Roman" w:hAnsi="Times New Roman"/>
          <w:sz w:val="28"/>
        </w:rPr>
      </w:pPr>
    </w:p>
    <w:p w14:paraId="3E799AA6" w14:textId="77777777" w:rsidR="00116498" w:rsidRDefault="00116498">
      <w:pPr>
        <w:pStyle w:val="1"/>
        <w:rPr>
          <w:rFonts w:ascii="Times New Roman" w:hAnsi="Times New Roman"/>
          <w:spacing w:val="20"/>
          <w:sz w:val="36"/>
        </w:rPr>
      </w:pPr>
      <w:bookmarkStart w:id="5" w:name="акции"/>
      <w:r>
        <w:rPr>
          <w:rFonts w:ascii="Times New Roman" w:hAnsi="Times New Roman"/>
          <w:spacing w:val="20"/>
          <w:sz w:val="36"/>
        </w:rPr>
        <w:t>Футбол и акции</w:t>
      </w:r>
    </w:p>
    <w:bookmarkEnd w:id="5"/>
    <w:p w14:paraId="5A2E95BD" w14:textId="77777777" w:rsidR="00116498" w:rsidRDefault="00116498">
      <w:pPr>
        <w:rPr>
          <w:sz w:val="28"/>
        </w:rPr>
      </w:pPr>
    </w:p>
    <w:p w14:paraId="48335FC8" w14:textId="77777777" w:rsidR="00116498" w:rsidRDefault="00116498">
      <w:pPr>
        <w:pStyle w:val="20"/>
        <w:rPr>
          <w:rFonts w:ascii="Times New Roman" w:hAnsi="Times New Roman"/>
          <w:sz w:val="28"/>
        </w:rPr>
      </w:pPr>
      <w:r>
        <w:rPr>
          <w:rFonts w:ascii="Times New Roman" w:hAnsi="Times New Roman"/>
          <w:sz w:val="28"/>
        </w:rPr>
        <w:t xml:space="preserve">Многие футбольные клубы выпускают свои акции. Руководители некоторых английских клубов в 1998 году объявили о размещении на Лондонской фондовой бирже 50 миллионов простых акций стоимостью по полфунта стерлингов. Один из этих клубов "Бирмингем Сити" по объему "футбольной эмиссии" - 25 миллионов фунтов стерлингов - теперь занимает одно из первых мест во всей Великобритании, ровно в два раза опережая по совокупной стоимости акций шотландский "Селтик" и английский "Челси". Интересно проследить дальнейшую судьбу выставляемых акций. Сначала основными владельцами акций, которые распространялись в пакетах по тысяче штук, становятся многочисленные болельщики "Бирмингема". Аккумулированные суммы руководство клуба намерено израсходовать на рекламу команды, повышение гонораров футболистов и срочную покупку новых игроков. Но "Бирмингем Сити" - один из середняков в английском футболе. А что же такие гиганты, как "Манчестер Юнайтед"? Представители этой команды подсчитали, что реализация клубной атрибутики, сувениров, формы и т.д. в прошлом году принесла доход в сумме 8,5 млн. фунтов стерлингов. "Ливерпуль" и "Ньюкасл Юнайтед", например, заработали по 6 миллионов. Вообще топ-менеджеры "Манчестер Юнайтед" считаются самыми опытными не только в Великобритании, но не имеют себе равных в мировом футбольном бизнесе. Чего только стоит одна только рекламная кампания по раскрутке торговой марки фирмы. Ее итогом стала повальная узнаваемость брэнда «Манчестер Юнайтед» (см. диаграмму), несмотря на достаточно скромные по меркам суперклуба спортивные результаты на европейских соревнованиях. </w:t>
      </w:r>
    </w:p>
    <w:p w14:paraId="75EE599D" w14:textId="5B7D8A89" w:rsidR="00116498" w:rsidRDefault="00F604D0">
      <w:pPr>
        <w:pStyle w:val="20"/>
        <w:rPr>
          <w:rFonts w:ascii="Times New Roman" w:hAnsi="Times New Roman"/>
          <w:sz w:val="28"/>
        </w:rPr>
      </w:pPr>
      <w:r>
        <w:rPr>
          <w:rFonts w:ascii="Times New Roman" w:hAnsi="Times New Roman"/>
          <w:noProof/>
          <w:sz w:val="28"/>
        </w:rPr>
        <w:drawing>
          <wp:inline distT="0" distB="0" distL="0" distR="0" wp14:anchorId="09688D53" wp14:editId="7EDF66F4">
            <wp:extent cx="5257800" cy="32480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F0D3B2" w14:textId="77777777" w:rsidR="00116498" w:rsidRDefault="00116498">
      <w:pPr>
        <w:pStyle w:val="20"/>
        <w:rPr>
          <w:rFonts w:ascii="Times New Roman" w:hAnsi="Times New Roman"/>
          <w:sz w:val="28"/>
        </w:rPr>
      </w:pPr>
      <w:r>
        <w:rPr>
          <w:rFonts w:ascii="Times New Roman" w:hAnsi="Times New Roman"/>
          <w:sz w:val="28"/>
        </w:rPr>
        <w:t xml:space="preserve">  Приведем еще один факт. Когда менеджеры решили, что в Европе возможности для расширения продаж почти исчерпаны, началась подготовка к новому сезону в Малайзии и Таиланде. Ведь всем известно, что рынок Восточной Азии очень прибылен и на нем можно хорошо заработать. А что касается биржи, то из восемнадцати английских и шотландских клубов, уже рискнувших выйти на биржу, только акции "Манчестер Юнайтед" и "Бирмингем Сити" поднялись в цене за полгода с 644 пенсов до 667,5. Стоимость на лондонской фондовой биржи клуба «Манчестер Юнайтед» превысила 1 млрд. фунтов стерлингов (около 1,6 млрд. долларов). «Манчестер Юнайтед» стал первым в мире клубом, сумевшим преодолеть миллиардную отметку, а также доказать, что современный футбол является одним из наиболее доходных бизнесов.</w:t>
      </w:r>
    </w:p>
    <w:p w14:paraId="58F630A6" w14:textId="77777777" w:rsidR="00116498" w:rsidRDefault="00116498">
      <w:pPr>
        <w:pStyle w:val="20"/>
        <w:rPr>
          <w:rFonts w:ascii="Times New Roman" w:hAnsi="Times New Roman"/>
          <w:sz w:val="28"/>
        </w:rPr>
      </w:pPr>
      <w:r>
        <w:rPr>
          <w:rFonts w:ascii="Times New Roman" w:hAnsi="Times New Roman"/>
          <w:sz w:val="28"/>
        </w:rPr>
        <w:t xml:space="preserve">Но не все клубы так удачливы. Ведь на стоимость акций влияют многие факторы. Например, после тяжелой травмы лучшего бомбардира предпоследнего чемпионата Европы Алана Ширера цена на акции его клуба "Ньюкасл Юнайтед" на бирже упала на 10 пенсов, что принесло убытков на сумму около 12 млн. фунтов стерлингов. Поняв, что это ведет к банкротству, менеджеры клуба сразу же вывели на рынок футболки знаменитых игроков своей команды - Леса Фердинанда и Дэвида Жинолы, что пополнило казну команды на 17 млн. фунтов. </w:t>
      </w:r>
    </w:p>
    <w:p w14:paraId="77B53A1A" w14:textId="77777777" w:rsidR="00116498" w:rsidRDefault="00116498">
      <w:pPr>
        <w:pStyle w:val="20"/>
        <w:rPr>
          <w:rFonts w:ascii="Times New Roman" w:hAnsi="Times New Roman"/>
          <w:sz w:val="28"/>
        </w:rPr>
      </w:pPr>
      <w:r>
        <w:rPr>
          <w:rFonts w:ascii="Times New Roman" w:hAnsi="Times New Roman"/>
          <w:sz w:val="28"/>
        </w:rPr>
        <w:t>В остальных четырех ведущих европейских чемпионатах (Германия, Италия, Испания, Франция) этот процесс только начинается. Лишь три итальянских клуба – «Лацио», «Удинезе» и «Рома» – и один немецкий, «Боруссия» из Дортмунда, в течение двух последних лет вышли со своими акциями на биржевые площадки Милана и Франкфурта. Даже президент богатого германского клуба «Бавария» Франц Беккенбауэр до сих пор заявляет, что сильно сомневается в экономической  целесообразности такого шага. Во Франции и Испании вовсе нет ни одного клуба, чьи акции торговались бы на бирже.</w:t>
      </w:r>
    </w:p>
    <w:p w14:paraId="7E82E390" w14:textId="77777777" w:rsidR="00116498" w:rsidRDefault="00116498">
      <w:pPr>
        <w:pStyle w:val="20"/>
        <w:rPr>
          <w:rFonts w:ascii="Times New Roman" w:hAnsi="Times New Roman"/>
          <w:sz w:val="28"/>
        </w:rPr>
      </w:pPr>
      <w:r>
        <w:rPr>
          <w:rFonts w:ascii="Times New Roman" w:hAnsi="Times New Roman"/>
          <w:sz w:val="28"/>
        </w:rPr>
        <w:t xml:space="preserve">А как обстоят дела в России? В конце февраля у московского ЦСКА появился новый акционер – английская компания </w:t>
      </w:r>
      <w:r>
        <w:rPr>
          <w:rFonts w:ascii="Times New Roman" w:hAnsi="Times New Roman"/>
          <w:sz w:val="28"/>
          <w:lang w:val="en-US"/>
        </w:rPr>
        <w:t>Blue</w:t>
      </w:r>
      <w:r>
        <w:rPr>
          <w:rFonts w:ascii="Times New Roman" w:hAnsi="Times New Roman"/>
          <w:sz w:val="28"/>
        </w:rPr>
        <w:t xml:space="preserve"> </w:t>
      </w:r>
      <w:r>
        <w:rPr>
          <w:rFonts w:ascii="Times New Roman" w:hAnsi="Times New Roman"/>
          <w:sz w:val="28"/>
          <w:lang w:val="en-US"/>
        </w:rPr>
        <w:t>Castle</w:t>
      </w:r>
      <w:r>
        <w:rPr>
          <w:rFonts w:ascii="Times New Roman" w:hAnsi="Times New Roman"/>
          <w:sz w:val="28"/>
        </w:rPr>
        <w:t xml:space="preserve"> </w:t>
      </w:r>
      <w:r>
        <w:rPr>
          <w:rFonts w:ascii="Times New Roman" w:hAnsi="Times New Roman"/>
          <w:sz w:val="28"/>
          <w:lang w:val="en-US"/>
        </w:rPr>
        <w:t>Enterprises</w:t>
      </w:r>
      <w:r>
        <w:rPr>
          <w:rFonts w:ascii="Times New Roman" w:hAnsi="Times New Roman"/>
          <w:sz w:val="28"/>
        </w:rPr>
        <w:t xml:space="preserve"> </w:t>
      </w:r>
      <w:r>
        <w:rPr>
          <w:rFonts w:ascii="Times New Roman" w:hAnsi="Times New Roman"/>
          <w:sz w:val="28"/>
          <w:lang w:val="en-US"/>
        </w:rPr>
        <w:t>Limited</w:t>
      </w:r>
      <w:r>
        <w:rPr>
          <w:rFonts w:ascii="Times New Roman" w:hAnsi="Times New Roman"/>
          <w:sz w:val="28"/>
        </w:rPr>
        <w:t xml:space="preserve">. Отныне акции футбольного клуба ЦСКА распределены между </w:t>
      </w:r>
      <w:r>
        <w:rPr>
          <w:rFonts w:ascii="Times New Roman" w:hAnsi="Times New Roman"/>
          <w:sz w:val="28"/>
          <w:lang w:val="en-US"/>
        </w:rPr>
        <w:t>Macasyng</w:t>
      </w:r>
      <w:r>
        <w:rPr>
          <w:rFonts w:ascii="Times New Roman" w:hAnsi="Times New Roman"/>
          <w:sz w:val="28"/>
        </w:rPr>
        <w:t xml:space="preserve"> </w:t>
      </w:r>
      <w:r>
        <w:rPr>
          <w:rFonts w:ascii="Times New Roman" w:hAnsi="Times New Roman"/>
          <w:sz w:val="28"/>
          <w:lang w:val="en-US"/>
        </w:rPr>
        <w:t>Holding</w:t>
      </w:r>
      <w:r>
        <w:rPr>
          <w:rFonts w:ascii="Times New Roman" w:hAnsi="Times New Roman"/>
          <w:sz w:val="28"/>
        </w:rPr>
        <w:t xml:space="preserve"> </w:t>
      </w:r>
      <w:r>
        <w:rPr>
          <w:rFonts w:ascii="Times New Roman" w:hAnsi="Times New Roman"/>
          <w:sz w:val="28"/>
          <w:lang w:val="en-US"/>
        </w:rPr>
        <w:t>B</w:t>
      </w:r>
      <w:r>
        <w:rPr>
          <w:rFonts w:ascii="Times New Roman" w:hAnsi="Times New Roman"/>
          <w:sz w:val="28"/>
        </w:rPr>
        <w:t>.</w:t>
      </w:r>
      <w:r>
        <w:rPr>
          <w:rFonts w:ascii="Times New Roman" w:hAnsi="Times New Roman"/>
          <w:sz w:val="28"/>
          <w:lang w:val="en-US"/>
        </w:rPr>
        <w:t>V</w:t>
      </w:r>
      <w:r>
        <w:rPr>
          <w:rFonts w:ascii="Times New Roman" w:hAnsi="Times New Roman"/>
          <w:sz w:val="28"/>
        </w:rPr>
        <w:t xml:space="preserve">. (через </w:t>
      </w:r>
      <w:r>
        <w:rPr>
          <w:rFonts w:ascii="Times New Roman" w:hAnsi="Times New Roman"/>
          <w:sz w:val="28"/>
          <w:lang w:val="en-US"/>
        </w:rPr>
        <w:t>Blue</w:t>
      </w:r>
      <w:r>
        <w:rPr>
          <w:rFonts w:ascii="Times New Roman" w:hAnsi="Times New Roman"/>
          <w:sz w:val="28"/>
        </w:rPr>
        <w:t xml:space="preserve"> </w:t>
      </w:r>
      <w:r>
        <w:rPr>
          <w:rFonts w:ascii="Times New Roman" w:hAnsi="Times New Roman"/>
          <w:sz w:val="28"/>
          <w:lang w:val="en-US"/>
        </w:rPr>
        <w:t>Castle</w:t>
      </w:r>
      <w:r>
        <w:rPr>
          <w:rFonts w:ascii="Times New Roman" w:hAnsi="Times New Roman"/>
          <w:sz w:val="28"/>
        </w:rPr>
        <w:t xml:space="preserve"> </w:t>
      </w:r>
      <w:r>
        <w:rPr>
          <w:rFonts w:ascii="Times New Roman" w:hAnsi="Times New Roman"/>
          <w:sz w:val="28"/>
          <w:lang w:val="en-US"/>
        </w:rPr>
        <w:t>Enterprises</w:t>
      </w:r>
      <w:r>
        <w:rPr>
          <w:rFonts w:ascii="Times New Roman" w:hAnsi="Times New Roman"/>
          <w:sz w:val="28"/>
        </w:rPr>
        <w:t xml:space="preserve"> владеет 49%), российским банком «Еврофинанс» (через компанию «АВО –Капитал» владеет 25%) и Министерством обороны РФ (26%). Размер инвестиций в будущее ЦСКА определят между собой два инвестора - </w:t>
      </w:r>
      <w:r>
        <w:rPr>
          <w:rFonts w:ascii="Times New Roman" w:hAnsi="Times New Roman"/>
          <w:sz w:val="28"/>
          <w:lang w:val="en-US"/>
        </w:rPr>
        <w:t>Macasyng</w:t>
      </w:r>
      <w:r>
        <w:rPr>
          <w:rFonts w:ascii="Times New Roman" w:hAnsi="Times New Roman"/>
          <w:sz w:val="28"/>
        </w:rPr>
        <w:t xml:space="preserve"> </w:t>
      </w:r>
      <w:r>
        <w:rPr>
          <w:rFonts w:ascii="Times New Roman" w:hAnsi="Times New Roman"/>
          <w:sz w:val="28"/>
          <w:lang w:val="en-US"/>
        </w:rPr>
        <w:t>Holding</w:t>
      </w:r>
      <w:r>
        <w:rPr>
          <w:rFonts w:ascii="Times New Roman" w:hAnsi="Times New Roman"/>
          <w:sz w:val="28"/>
        </w:rPr>
        <w:t xml:space="preserve"> </w:t>
      </w:r>
      <w:r>
        <w:rPr>
          <w:rFonts w:ascii="Times New Roman" w:hAnsi="Times New Roman"/>
          <w:sz w:val="28"/>
          <w:lang w:val="en-US"/>
        </w:rPr>
        <w:t>B</w:t>
      </w:r>
      <w:r>
        <w:rPr>
          <w:rFonts w:ascii="Times New Roman" w:hAnsi="Times New Roman"/>
          <w:sz w:val="28"/>
        </w:rPr>
        <w:t>.</w:t>
      </w:r>
      <w:r>
        <w:rPr>
          <w:rFonts w:ascii="Times New Roman" w:hAnsi="Times New Roman"/>
          <w:sz w:val="28"/>
          <w:lang w:val="en-US"/>
        </w:rPr>
        <w:t>V</w:t>
      </w:r>
      <w:r>
        <w:rPr>
          <w:rFonts w:ascii="Times New Roman" w:hAnsi="Times New Roman"/>
          <w:sz w:val="28"/>
        </w:rPr>
        <w:t xml:space="preserve">. и российский банк «Еврофинанс». Инвесторы намерены привлечь консультантов из западной аудиторской компании. По словам председателя совета директоров ЗАО ПФК ЦСКА сейчас ведутся переговоры с офисом консалтинговой компании </w:t>
      </w:r>
      <w:r>
        <w:rPr>
          <w:rFonts w:ascii="Times New Roman" w:hAnsi="Times New Roman"/>
          <w:sz w:val="28"/>
          <w:lang w:val="en-US"/>
        </w:rPr>
        <w:t>Deloitte</w:t>
      </w:r>
      <w:r>
        <w:rPr>
          <w:rFonts w:ascii="Times New Roman" w:hAnsi="Times New Roman"/>
          <w:sz w:val="28"/>
        </w:rPr>
        <w:t xml:space="preserve"> &amp; </w:t>
      </w:r>
      <w:r>
        <w:rPr>
          <w:rFonts w:ascii="Times New Roman" w:hAnsi="Times New Roman"/>
          <w:sz w:val="28"/>
          <w:lang w:val="en-US"/>
        </w:rPr>
        <w:t>Touche</w:t>
      </w:r>
      <w:r>
        <w:rPr>
          <w:rFonts w:ascii="Times New Roman" w:hAnsi="Times New Roman"/>
          <w:sz w:val="28"/>
        </w:rPr>
        <w:t xml:space="preserve"> в Англии. </w:t>
      </w:r>
    </w:p>
    <w:p w14:paraId="7E610FB5" w14:textId="77777777" w:rsidR="00116498" w:rsidRDefault="00116498">
      <w:pPr>
        <w:pStyle w:val="20"/>
        <w:rPr>
          <w:rFonts w:ascii="Times New Roman" w:hAnsi="Times New Roman"/>
          <w:sz w:val="28"/>
        </w:rPr>
      </w:pPr>
      <w:r>
        <w:rPr>
          <w:rFonts w:ascii="Times New Roman" w:hAnsi="Times New Roman"/>
          <w:sz w:val="28"/>
        </w:rPr>
        <w:t xml:space="preserve">Столь большая разница в развитии футбольного бизнеса кроется в коренном отличии подходов к игре номер один в ведущих футбольных державах. Для англичан это в первую очередь бизнес, зачастую в ущерб спортивным результатам. Благодаря этому клубы премьер-лиги в среднем по своему финансовому состоянию заметно превосходят европейских конкурентов. Финансовый оборот 22 клубов этой лиги по итогам сезона 1998/99 годов составил около 972 млн. долларов, что на 18% превысил уровень предыдущего сезона. </w:t>
      </w:r>
    </w:p>
    <w:p w14:paraId="6CA49175" w14:textId="66DE8112" w:rsidR="00116498" w:rsidRDefault="00F604D0">
      <w:pPr>
        <w:pStyle w:val="20"/>
        <w:ind w:firstLine="0"/>
        <w:rPr>
          <w:rFonts w:ascii="Times New Roman" w:hAnsi="Times New Roman"/>
          <w:sz w:val="28"/>
        </w:rPr>
      </w:pPr>
      <w:r>
        <w:rPr>
          <w:rFonts w:ascii="Times New Roman" w:hAnsi="Times New Roman"/>
          <w:noProof/>
          <w:sz w:val="28"/>
        </w:rPr>
        <w:drawing>
          <wp:inline distT="0" distB="0" distL="0" distR="0" wp14:anchorId="0B026CAB" wp14:editId="60D1ACC9">
            <wp:extent cx="5267325" cy="53721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D1557" w14:textId="77777777" w:rsidR="00116498" w:rsidRDefault="00116498">
      <w:pPr>
        <w:pStyle w:val="20"/>
        <w:rPr>
          <w:rFonts w:ascii="Times New Roman" w:hAnsi="Times New Roman"/>
          <w:sz w:val="28"/>
        </w:rPr>
      </w:pPr>
    </w:p>
    <w:p w14:paraId="73D86A5E" w14:textId="77777777" w:rsidR="00116498" w:rsidRDefault="00116498">
      <w:pPr>
        <w:pStyle w:val="20"/>
        <w:rPr>
          <w:rFonts w:ascii="Times New Roman" w:hAnsi="Times New Roman"/>
          <w:sz w:val="28"/>
        </w:rPr>
      </w:pPr>
      <w:r>
        <w:rPr>
          <w:rFonts w:ascii="Times New Roman" w:hAnsi="Times New Roman"/>
          <w:sz w:val="28"/>
        </w:rPr>
        <w:t>Общий профицит клубов премьер-лиги составил около 100 млн. долларов, и только четыре команды из двадцати двух имеют небольшой отрицательный баланс.</w:t>
      </w:r>
    </w:p>
    <w:p w14:paraId="50758818" w14:textId="7C9AD539" w:rsidR="00116498" w:rsidRDefault="00F604D0">
      <w:pPr>
        <w:pStyle w:val="20"/>
        <w:ind w:firstLine="0"/>
        <w:rPr>
          <w:rFonts w:ascii="Times New Roman" w:hAnsi="Times New Roman"/>
          <w:sz w:val="28"/>
        </w:rPr>
      </w:pPr>
      <w:r>
        <w:rPr>
          <w:rFonts w:ascii="Times New Roman" w:hAnsi="Times New Roman"/>
          <w:noProof/>
          <w:sz w:val="28"/>
        </w:rPr>
        <w:drawing>
          <wp:inline distT="0" distB="0" distL="0" distR="0" wp14:anchorId="770F827B" wp14:editId="14C249ED">
            <wp:extent cx="5486400" cy="53054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F2CDF8" w14:textId="77777777" w:rsidR="00116498" w:rsidRDefault="00116498">
      <w:pPr>
        <w:pStyle w:val="1"/>
        <w:rPr>
          <w:rFonts w:ascii="Times New Roman" w:hAnsi="Times New Roman"/>
          <w:spacing w:val="20"/>
          <w:sz w:val="36"/>
        </w:rPr>
      </w:pPr>
      <w:bookmarkStart w:id="6" w:name="букмекеры"/>
      <w:r>
        <w:rPr>
          <w:rFonts w:ascii="Times New Roman" w:hAnsi="Times New Roman"/>
          <w:spacing w:val="20"/>
          <w:sz w:val="36"/>
        </w:rPr>
        <w:t>Букмекеры</w:t>
      </w:r>
    </w:p>
    <w:bookmarkEnd w:id="6"/>
    <w:p w14:paraId="48D48759" w14:textId="77777777" w:rsidR="00116498" w:rsidRDefault="00116498">
      <w:pPr>
        <w:pStyle w:val="20"/>
        <w:rPr>
          <w:rFonts w:ascii="Times New Roman" w:hAnsi="Times New Roman"/>
          <w:sz w:val="28"/>
        </w:rPr>
      </w:pPr>
      <w:r>
        <w:rPr>
          <w:rFonts w:ascii="Times New Roman" w:hAnsi="Times New Roman"/>
          <w:sz w:val="28"/>
        </w:rPr>
        <w:t>Многое в современном футболе зависит также и от букмекерских контор. Особенно популярны лондонские букмекеры, которые в начале каждого нового сезона предлагают своим клиентам весьма любопытные ставки. Например, в начале  футбольного года 1998 они принимали ставки на вероятность смещения тренеров клубов со своих постов в течение сезона. По мнению букмекерской конторы "Уильям Хилл", самыми серьезными перспективами сохранить свой пост до следующего лета обладает тренер "Арсенала" Арсен Венгер. Как ни странно, несмотря на несколько проигрышей, руководители "Арсенала" не думают о том, чтобы уволить А. Венгера.</w:t>
      </w:r>
    </w:p>
    <w:p w14:paraId="1C593C86" w14:textId="77777777" w:rsidR="00116498" w:rsidRDefault="00116498">
      <w:pPr>
        <w:pStyle w:val="20"/>
        <w:rPr>
          <w:rFonts w:ascii="Times New Roman" w:hAnsi="Times New Roman"/>
          <w:sz w:val="28"/>
        </w:rPr>
      </w:pPr>
    </w:p>
    <w:p w14:paraId="26739655" w14:textId="77777777" w:rsidR="00116498" w:rsidRDefault="00116498">
      <w:pPr>
        <w:pStyle w:val="3"/>
        <w:rPr>
          <w:spacing w:val="20"/>
          <w:sz w:val="36"/>
        </w:rPr>
      </w:pPr>
      <w:bookmarkStart w:id="7" w:name="еврокубки"/>
      <w:r>
        <w:rPr>
          <w:spacing w:val="20"/>
          <w:sz w:val="36"/>
        </w:rPr>
        <w:t>Еврокубки дают возможность заработать</w:t>
      </w:r>
    </w:p>
    <w:bookmarkEnd w:id="7"/>
    <w:p w14:paraId="3B5AF074" w14:textId="77777777" w:rsidR="00116498" w:rsidRDefault="00116498">
      <w:pPr>
        <w:rPr>
          <w:sz w:val="28"/>
        </w:rPr>
      </w:pPr>
    </w:p>
    <w:p w14:paraId="2AC7671C" w14:textId="77777777" w:rsidR="00116498" w:rsidRDefault="00116498">
      <w:pPr>
        <w:pStyle w:val="20"/>
        <w:rPr>
          <w:rFonts w:ascii="Times New Roman" w:hAnsi="Times New Roman"/>
          <w:sz w:val="28"/>
        </w:rPr>
      </w:pPr>
      <w:r>
        <w:rPr>
          <w:rFonts w:ascii="Times New Roman" w:hAnsi="Times New Roman"/>
          <w:sz w:val="28"/>
        </w:rPr>
        <w:t>Самые большие деньги крутятся в Международной ассоциаций футбольных федераций (</w:t>
      </w:r>
      <w:r>
        <w:rPr>
          <w:rFonts w:ascii="Times New Roman" w:hAnsi="Times New Roman"/>
          <w:b/>
          <w:sz w:val="28"/>
          <w:lang w:val="en-US"/>
        </w:rPr>
        <w:t>FIFA</w:t>
      </w:r>
      <w:r>
        <w:rPr>
          <w:rFonts w:ascii="Times New Roman" w:hAnsi="Times New Roman"/>
          <w:sz w:val="28"/>
        </w:rPr>
        <w:t>). Приведем несколько примеров. Каждая сборная, которая получила право выступить на чемпионате мира в 1998 году, получит от ФИФА миллион долларов. И в зависимости от дальнейших успехов команды, эта сумма будет увеличиваться.</w:t>
      </w:r>
    </w:p>
    <w:p w14:paraId="3ECB7643" w14:textId="77777777" w:rsidR="00116498" w:rsidRDefault="00116498">
      <w:pPr>
        <w:pStyle w:val="20"/>
        <w:rPr>
          <w:rFonts w:ascii="Times New Roman" w:hAnsi="Times New Roman"/>
          <w:sz w:val="28"/>
        </w:rPr>
      </w:pPr>
      <w:r>
        <w:rPr>
          <w:rFonts w:ascii="Times New Roman" w:hAnsi="Times New Roman"/>
          <w:sz w:val="28"/>
        </w:rPr>
        <w:t xml:space="preserve">На 140 миллионов швейцарских франков выросли в этом сезоне доходы </w:t>
      </w:r>
      <w:r>
        <w:rPr>
          <w:rFonts w:ascii="Times New Roman" w:hAnsi="Times New Roman"/>
          <w:b/>
          <w:sz w:val="28"/>
          <w:lang w:val="en-US"/>
        </w:rPr>
        <w:t>UEFA</w:t>
      </w:r>
      <w:r>
        <w:rPr>
          <w:rFonts w:ascii="Times New Roman" w:hAnsi="Times New Roman"/>
          <w:sz w:val="28"/>
        </w:rPr>
        <w:t xml:space="preserve"> от Лиги Чемпионов по сравнению с турниром – 99/2000. В связи с этим Европейский союз футбольных ассоциаций принял решение увеличить бонус за участие в Лиге каждому из 32 клубов с полутора до двух с половиной миллионов франков. Таким образом, после 9 сыгранных матчей сумма, вырученная московским «Спартаком» составляет 9,5 млн. франков: 2,5 млн. составляет выплата за участие в групповом турнире, 4,5 млн. – премиальные за 9 сыгранных матчей, а еще 2,5 млн. – бонус за набранные очки.</w:t>
      </w:r>
    </w:p>
    <w:p w14:paraId="1E84C10F" w14:textId="77777777" w:rsidR="00116498" w:rsidRPr="00C61772" w:rsidRDefault="00116498">
      <w:pPr>
        <w:pStyle w:val="20"/>
        <w:rPr>
          <w:rFonts w:ascii="Times New Roman" w:hAnsi="Times New Roman"/>
          <w:sz w:val="28"/>
        </w:rPr>
      </w:pPr>
      <w:r>
        <w:rPr>
          <w:rFonts w:ascii="Times New Roman" w:hAnsi="Times New Roman"/>
          <w:sz w:val="28"/>
        </w:rPr>
        <w:t xml:space="preserve">Благодаря тому, что московский «Спартак» не уступил на своем поле французскому «Лиону», лондонский «Арсенал» заработает 20 млн. фунтов стерлингов. Англичане в ходе выступления в Лиге Чемпионов уже получили от </w:t>
      </w:r>
      <w:r>
        <w:rPr>
          <w:rFonts w:ascii="Times New Roman" w:hAnsi="Times New Roman"/>
          <w:sz w:val="28"/>
          <w:lang w:val="en-US"/>
        </w:rPr>
        <w:t>UEFA</w:t>
      </w:r>
      <w:r w:rsidRPr="00C61772">
        <w:rPr>
          <w:rFonts w:ascii="Times New Roman" w:hAnsi="Times New Roman"/>
          <w:sz w:val="28"/>
        </w:rPr>
        <w:t xml:space="preserve"> </w:t>
      </w:r>
      <w:r>
        <w:rPr>
          <w:rFonts w:ascii="Times New Roman" w:hAnsi="Times New Roman"/>
          <w:sz w:val="28"/>
        </w:rPr>
        <w:t>6,5 млн., однако, успешное продвижение в следующий раунд турнира сулит большую наживу. Часть средств поступит из того же кошелька Европейской футбольной организации, часть благодаря рекламе спонсоров команды. Финансовые средства нужны лондонцам как никому другому. Намеченное строительство нового стадиона, по предварительной оценке, обойдется в 111,6 млн. фунтов.</w:t>
      </w:r>
      <w:r w:rsidRPr="00C61772">
        <w:rPr>
          <w:rFonts w:ascii="Times New Roman" w:hAnsi="Times New Roman"/>
          <w:sz w:val="28"/>
        </w:rPr>
        <w:t xml:space="preserve"> </w:t>
      </w:r>
    </w:p>
    <w:p w14:paraId="65EF1252" w14:textId="77777777" w:rsidR="00116498" w:rsidRDefault="00116498">
      <w:pPr>
        <w:pStyle w:val="20"/>
        <w:rPr>
          <w:rFonts w:ascii="Times New Roman" w:hAnsi="Times New Roman"/>
          <w:sz w:val="28"/>
        </w:rPr>
      </w:pPr>
      <w:r>
        <w:rPr>
          <w:rFonts w:ascii="Times New Roman" w:hAnsi="Times New Roman"/>
          <w:sz w:val="28"/>
        </w:rPr>
        <w:t>Группа компаний «Итера» установила призовой фонд Кубка Содружества - 100 тысяч долларов, из них обладателю трофея достались 35 тысяч.</w:t>
      </w:r>
    </w:p>
    <w:p w14:paraId="1F9EC4A2" w14:textId="77777777" w:rsidR="00116498" w:rsidRDefault="00116498">
      <w:pPr>
        <w:pStyle w:val="20"/>
        <w:rPr>
          <w:rFonts w:ascii="Times New Roman" w:hAnsi="Times New Roman"/>
          <w:sz w:val="28"/>
        </w:rPr>
      </w:pPr>
      <w:r>
        <w:rPr>
          <w:rFonts w:ascii="Times New Roman" w:hAnsi="Times New Roman"/>
          <w:sz w:val="28"/>
        </w:rPr>
        <w:t>Очень доходным в последнее время стало проводить чемпионаты мира и Европы. Организаторы этих первенств получают немало прибыли. Например, матчи чемпионата Евро-96 смотрели 400 миллионов зрителей, что принесло 65 млн. долларов от продажи прав на трансляцию матчей. Самое интересное, что организаторы Евро-96 ограничились выделением достаточно скромного бюджета на проведение церемонии открытия - всего 600 тысяч долларов. Но это только чемпионат Европы.</w:t>
      </w:r>
    </w:p>
    <w:p w14:paraId="28EA4375" w14:textId="77777777" w:rsidR="00116498" w:rsidRDefault="00116498">
      <w:pPr>
        <w:pStyle w:val="20"/>
        <w:rPr>
          <w:rFonts w:ascii="Times New Roman" w:hAnsi="Times New Roman"/>
          <w:sz w:val="28"/>
        </w:rPr>
      </w:pPr>
    </w:p>
    <w:p w14:paraId="3E2AB9B8" w14:textId="77777777" w:rsidR="00116498" w:rsidRDefault="00116498">
      <w:pPr>
        <w:pStyle w:val="1"/>
        <w:rPr>
          <w:spacing w:val="20"/>
          <w:sz w:val="36"/>
        </w:rPr>
      </w:pPr>
      <w:bookmarkStart w:id="8" w:name="трансляция"/>
      <w:r>
        <w:rPr>
          <w:spacing w:val="20"/>
          <w:sz w:val="36"/>
        </w:rPr>
        <w:t>За право на трансляцию матчей надо побороться</w:t>
      </w:r>
    </w:p>
    <w:bookmarkEnd w:id="8"/>
    <w:p w14:paraId="082395FF" w14:textId="77777777" w:rsidR="00116498" w:rsidRDefault="00116498">
      <w:pPr>
        <w:pStyle w:val="20"/>
        <w:jc w:val="center"/>
        <w:rPr>
          <w:rFonts w:ascii="Times New Roman" w:hAnsi="Times New Roman"/>
          <w:sz w:val="28"/>
        </w:rPr>
      </w:pPr>
    </w:p>
    <w:p w14:paraId="583E1C6B" w14:textId="77777777" w:rsidR="00116498" w:rsidRDefault="00116498">
      <w:pPr>
        <w:pStyle w:val="20"/>
        <w:rPr>
          <w:rFonts w:ascii="Times New Roman" w:hAnsi="Times New Roman"/>
          <w:sz w:val="28"/>
        </w:rPr>
      </w:pPr>
      <w:r>
        <w:rPr>
          <w:rFonts w:ascii="Times New Roman" w:hAnsi="Times New Roman"/>
          <w:sz w:val="28"/>
        </w:rPr>
        <w:t>В спортивном бизнесе многое зависит от трансляций. Поэтому многие болельщики приветствовали предложение Европейской Комиссии о том, чтобы все передачи с крупных спортивных событий были без всяких ограничений доступны широкой публике. Для этого их предлагают не кодировать - последнее однако не лишает компании возможности бороться за эксклюзивное право трансляции. Таким образом ЕК поддержала инициативу Европейского парламента о внесении поправки в союзный закон о "телевидении без границ". Пробел в союзном законодательстве позволял платным и, следовательно, более богатым телеканалам покупать право на трансляцию репортажей с самых интересных спортивных событий и показывать их в закодированном виде, что лишало 80 процентов телезрителей в странах ЕС возможности смотреть их. Еврокомиссия готова консультироваться с правительствами и профессиональными организациями всех 15 стран союза. На сегодняшний день составлен список спортивных событий, которые вообще не могут транслироваться на основе эксклюзивного права и доступ к которым будет гарантирован всем гражданам ЕС. Это крупнейшие международные состязания: Олимпийские Игры, чемпионат Европы по футболу, чемпионат мира по легкой атлетике и др. Странам ЕС дается право определять свой собственный перечень состязании на национальном уровне, которые могли бы заинтересовать широкую публику как внутри страны, так и за ее пределами. Отметим, что на сегодняшний день 8 из 15 стран ЕС приняли законы, регулирующие приобретение эксклюзивных прав на трансляцию по телевидению крупных спортивных событий.</w:t>
      </w:r>
    </w:p>
    <w:p w14:paraId="61D52B55" w14:textId="77777777" w:rsidR="00116498" w:rsidRDefault="00116498">
      <w:pPr>
        <w:pStyle w:val="20"/>
        <w:rPr>
          <w:rFonts w:ascii="Times New Roman" w:hAnsi="Times New Roman"/>
          <w:sz w:val="28"/>
        </w:rPr>
      </w:pPr>
    </w:p>
    <w:p w14:paraId="49EC3C63" w14:textId="77777777" w:rsidR="00116498" w:rsidRDefault="00116498">
      <w:pPr>
        <w:pStyle w:val="1"/>
        <w:rPr>
          <w:rFonts w:ascii="Times New Roman" w:hAnsi="Times New Roman"/>
          <w:spacing w:val="20"/>
          <w:sz w:val="36"/>
        </w:rPr>
      </w:pPr>
      <w:bookmarkStart w:id="9" w:name="спонсорство"/>
      <w:r>
        <w:rPr>
          <w:rFonts w:ascii="Times New Roman" w:hAnsi="Times New Roman"/>
          <w:spacing w:val="20"/>
          <w:sz w:val="36"/>
        </w:rPr>
        <w:t>Спонсорство</w:t>
      </w:r>
    </w:p>
    <w:bookmarkEnd w:id="9"/>
    <w:p w14:paraId="06D57A02" w14:textId="77777777" w:rsidR="00116498" w:rsidRDefault="00116498">
      <w:pPr>
        <w:rPr>
          <w:sz w:val="28"/>
        </w:rPr>
      </w:pPr>
    </w:p>
    <w:p w14:paraId="46B6629D" w14:textId="77777777" w:rsidR="00116498" w:rsidRDefault="00116498">
      <w:pPr>
        <w:pStyle w:val="20"/>
        <w:rPr>
          <w:rFonts w:ascii="Times New Roman" w:hAnsi="Times New Roman"/>
          <w:sz w:val="28"/>
        </w:rPr>
      </w:pPr>
      <w:r>
        <w:rPr>
          <w:rFonts w:ascii="Times New Roman" w:hAnsi="Times New Roman"/>
          <w:sz w:val="28"/>
        </w:rPr>
        <w:t xml:space="preserve">С 1982 года корпорация </w:t>
      </w:r>
      <w:r>
        <w:rPr>
          <w:rFonts w:ascii="Times New Roman" w:hAnsi="Times New Roman"/>
          <w:sz w:val="28"/>
          <w:lang w:val="en-US"/>
        </w:rPr>
        <w:t>Sharp</w:t>
      </w:r>
      <w:r>
        <w:rPr>
          <w:rFonts w:ascii="Times New Roman" w:hAnsi="Times New Roman"/>
          <w:sz w:val="28"/>
        </w:rPr>
        <w:t xml:space="preserve"> является главным спонсором английской футбольной команды «Манчестер Юнайтед». Уже сейчас известно, что это продолжительное спонсорство будет продолжено и в этом тысячелетии. </w:t>
      </w:r>
    </w:p>
    <w:p w14:paraId="5DF1EA3D" w14:textId="77777777" w:rsidR="00116498" w:rsidRDefault="00116498">
      <w:pPr>
        <w:pStyle w:val="20"/>
        <w:rPr>
          <w:rFonts w:ascii="Times New Roman" w:hAnsi="Times New Roman"/>
          <w:sz w:val="28"/>
        </w:rPr>
      </w:pPr>
      <w:r>
        <w:rPr>
          <w:rFonts w:ascii="Times New Roman" w:hAnsi="Times New Roman"/>
          <w:sz w:val="28"/>
        </w:rPr>
        <w:t xml:space="preserve">Всемирная известность и высокие спортивные достижения делают этот футбольный клуб весьма привлекательным для рекламных инвестиций глобального масштаба. Любой болельщик знает, что «МЮ» играет в форме </w:t>
      </w:r>
      <w:r>
        <w:rPr>
          <w:rFonts w:ascii="Times New Roman" w:hAnsi="Times New Roman"/>
          <w:sz w:val="28"/>
          <w:lang w:val="en-US"/>
        </w:rPr>
        <w:t>Umbro</w:t>
      </w:r>
      <w:r>
        <w:rPr>
          <w:rFonts w:ascii="Times New Roman" w:hAnsi="Times New Roman"/>
          <w:sz w:val="28"/>
        </w:rPr>
        <w:t xml:space="preserve">. Но срок контракта с этой фирмой у богатейшего клуба заканчивается в 2002 году. Все ведущие производители спортивной экипировки выстроились в очередь за право поместить название своей фирмы  на футболку этого клуба. У </w:t>
      </w:r>
      <w:r>
        <w:rPr>
          <w:rFonts w:ascii="Times New Roman" w:hAnsi="Times New Roman"/>
          <w:sz w:val="28"/>
          <w:lang w:val="en-US"/>
        </w:rPr>
        <w:t>Umbro</w:t>
      </w:r>
      <w:r w:rsidRPr="00C61772">
        <w:rPr>
          <w:rFonts w:ascii="Times New Roman" w:hAnsi="Times New Roman"/>
          <w:sz w:val="28"/>
        </w:rPr>
        <w:t xml:space="preserve">, </w:t>
      </w:r>
      <w:r>
        <w:rPr>
          <w:rFonts w:ascii="Times New Roman" w:hAnsi="Times New Roman"/>
          <w:sz w:val="28"/>
        </w:rPr>
        <w:t xml:space="preserve">конечно, приоритет, но предложение </w:t>
      </w:r>
      <w:r>
        <w:rPr>
          <w:rFonts w:ascii="Times New Roman" w:hAnsi="Times New Roman"/>
          <w:sz w:val="28"/>
          <w:lang w:val="en-US"/>
        </w:rPr>
        <w:t>Nike</w:t>
      </w:r>
      <w:r>
        <w:rPr>
          <w:rFonts w:ascii="Times New Roman" w:hAnsi="Times New Roman"/>
          <w:sz w:val="28"/>
        </w:rPr>
        <w:t xml:space="preserve"> было более щедрым.</w:t>
      </w:r>
    </w:p>
    <w:p w14:paraId="24B411C2" w14:textId="77777777" w:rsidR="00116498" w:rsidRDefault="00116498">
      <w:pPr>
        <w:pStyle w:val="20"/>
        <w:rPr>
          <w:rFonts w:ascii="Times New Roman" w:hAnsi="Times New Roman"/>
          <w:sz w:val="28"/>
        </w:rPr>
      </w:pPr>
      <w:r>
        <w:rPr>
          <w:rFonts w:ascii="Times New Roman" w:hAnsi="Times New Roman"/>
          <w:sz w:val="28"/>
        </w:rPr>
        <w:t xml:space="preserve">Почти полмиллиарда долларов «Манчестер Юнайтед» получит только за то, что будет в течение 15 лет носить форму </w:t>
      </w:r>
      <w:r>
        <w:rPr>
          <w:rFonts w:ascii="Times New Roman" w:hAnsi="Times New Roman"/>
          <w:sz w:val="28"/>
          <w:lang w:val="en-US"/>
        </w:rPr>
        <w:t>Nike</w:t>
      </w:r>
      <w:r>
        <w:rPr>
          <w:rFonts w:ascii="Times New Roman" w:hAnsi="Times New Roman"/>
          <w:sz w:val="28"/>
        </w:rPr>
        <w:t>. Это очередной мировой рекорд в футбольно-финансовой области.</w:t>
      </w:r>
    </w:p>
    <w:p w14:paraId="2B1A1306" w14:textId="77777777" w:rsidR="00116498" w:rsidRDefault="00116498">
      <w:pPr>
        <w:pStyle w:val="20"/>
        <w:rPr>
          <w:rFonts w:ascii="Times New Roman" w:hAnsi="Times New Roman"/>
          <w:sz w:val="28"/>
        </w:rPr>
      </w:pPr>
      <w:r>
        <w:rPr>
          <w:rFonts w:ascii="Times New Roman" w:hAnsi="Times New Roman"/>
          <w:sz w:val="28"/>
        </w:rPr>
        <w:t>Теперь ежегодно «МЮ» будет получать 20 миллионов фунтов или 30 миллионов долларов, а общая сумма контракта составила 450 миллионов долларов. Такого в истории футбола еще не было. Что ж, единственному в мире клубу, чьи активы оцениваются более чем в полтора миллиарда долларов, подстать иметь таких поставщиков.</w:t>
      </w:r>
    </w:p>
    <w:p w14:paraId="225894F7" w14:textId="77777777" w:rsidR="00116498" w:rsidRDefault="00116498">
      <w:pPr>
        <w:pStyle w:val="20"/>
        <w:rPr>
          <w:rFonts w:ascii="Times New Roman" w:hAnsi="Times New Roman"/>
          <w:sz w:val="28"/>
        </w:rPr>
      </w:pPr>
      <w:r>
        <w:rPr>
          <w:rFonts w:ascii="Times New Roman" w:hAnsi="Times New Roman"/>
          <w:sz w:val="28"/>
          <w:lang w:val="en-US"/>
        </w:rPr>
        <w:t>Nike</w:t>
      </w:r>
      <w:r w:rsidRPr="00C61772">
        <w:rPr>
          <w:rFonts w:ascii="Times New Roman" w:hAnsi="Times New Roman"/>
          <w:sz w:val="28"/>
        </w:rPr>
        <w:t xml:space="preserve"> </w:t>
      </w:r>
      <w:r>
        <w:rPr>
          <w:rFonts w:ascii="Times New Roman" w:hAnsi="Times New Roman"/>
          <w:sz w:val="28"/>
        </w:rPr>
        <w:t xml:space="preserve">же побила собственный рекорд. За 10-летний контракт со сборной Бразилии эта фирма за 4 года выложила 100 миллионов долларов. </w:t>
      </w:r>
      <w:r>
        <w:rPr>
          <w:rFonts w:ascii="Times New Roman" w:hAnsi="Times New Roman"/>
          <w:sz w:val="28"/>
          <w:lang w:val="en-US"/>
        </w:rPr>
        <w:t>Nike</w:t>
      </w:r>
      <w:r w:rsidRPr="00C61772">
        <w:rPr>
          <w:rFonts w:ascii="Times New Roman" w:hAnsi="Times New Roman"/>
          <w:sz w:val="28"/>
        </w:rPr>
        <w:t xml:space="preserve"> </w:t>
      </w:r>
      <w:r>
        <w:rPr>
          <w:rFonts w:ascii="Times New Roman" w:hAnsi="Times New Roman"/>
          <w:sz w:val="28"/>
        </w:rPr>
        <w:t>одевает такие известные во всем мире клубы, как «Интер», «Барселона», «Арсенал», «Лидс», «Рейнджерс».</w:t>
      </w:r>
    </w:p>
    <w:p w14:paraId="3B577BA8" w14:textId="77777777" w:rsidR="00116498" w:rsidRDefault="00116498">
      <w:pPr>
        <w:pStyle w:val="20"/>
        <w:rPr>
          <w:rFonts w:ascii="Times New Roman" w:hAnsi="Times New Roman"/>
          <w:sz w:val="28"/>
        </w:rPr>
      </w:pPr>
      <w:r>
        <w:rPr>
          <w:rFonts w:ascii="Times New Roman" w:hAnsi="Times New Roman"/>
          <w:sz w:val="28"/>
        </w:rPr>
        <w:t xml:space="preserve"> Кроме рекламы </w:t>
      </w:r>
      <w:r>
        <w:rPr>
          <w:rFonts w:ascii="Times New Roman" w:hAnsi="Times New Roman"/>
          <w:sz w:val="28"/>
          <w:lang w:val="en-US"/>
        </w:rPr>
        <w:t>Nike</w:t>
      </w:r>
      <w:r w:rsidRPr="00C61772">
        <w:rPr>
          <w:rFonts w:ascii="Times New Roman" w:hAnsi="Times New Roman"/>
          <w:sz w:val="28"/>
        </w:rPr>
        <w:t xml:space="preserve"> </w:t>
      </w:r>
      <w:r>
        <w:rPr>
          <w:rFonts w:ascii="Times New Roman" w:hAnsi="Times New Roman"/>
          <w:sz w:val="28"/>
        </w:rPr>
        <w:t xml:space="preserve">получает практически эксклюзивную возможность изготовлять сувенирные майки с символикой «МЮ». Процент от продаж идет клубу, но и </w:t>
      </w:r>
      <w:r>
        <w:rPr>
          <w:rFonts w:ascii="Times New Roman" w:hAnsi="Times New Roman"/>
          <w:sz w:val="28"/>
          <w:lang w:val="en-US"/>
        </w:rPr>
        <w:t>Nike</w:t>
      </w:r>
      <w:r>
        <w:rPr>
          <w:rFonts w:ascii="Times New Roman" w:hAnsi="Times New Roman"/>
          <w:sz w:val="28"/>
        </w:rPr>
        <w:t xml:space="preserve"> перепадает огромная сумма, которая с лихвой перекрывает все расходы на производство экипировки для клуба. Кроме того </w:t>
      </w:r>
      <w:r>
        <w:rPr>
          <w:rFonts w:ascii="Times New Roman" w:hAnsi="Times New Roman"/>
          <w:sz w:val="28"/>
          <w:lang w:val="en-US"/>
        </w:rPr>
        <w:t>Nike</w:t>
      </w:r>
      <w:r w:rsidRPr="00C61772">
        <w:rPr>
          <w:rFonts w:ascii="Times New Roman" w:hAnsi="Times New Roman"/>
          <w:sz w:val="28"/>
        </w:rPr>
        <w:t xml:space="preserve"> </w:t>
      </w:r>
      <w:r>
        <w:rPr>
          <w:rFonts w:ascii="Times New Roman" w:hAnsi="Times New Roman"/>
          <w:sz w:val="28"/>
        </w:rPr>
        <w:t>будут рекламировать игроки команды, а нынешний ее тренер Алекс Фергюсон будет так называемым послом этой фирмы во всем мире.</w:t>
      </w:r>
    </w:p>
    <w:p w14:paraId="262FB127" w14:textId="77777777" w:rsidR="00116498" w:rsidRDefault="00116498">
      <w:pPr>
        <w:pStyle w:val="20"/>
        <w:rPr>
          <w:rFonts w:ascii="Times New Roman" w:hAnsi="Times New Roman"/>
          <w:sz w:val="28"/>
        </w:rPr>
      </w:pPr>
      <w:r>
        <w:rPr>
          <w:rFonts w:ascii="Times New Roman" w:hAnsi="Times New Roman"/>
          <w:sz w:val="28"/>
        </w:rPr>
        <w:t xml:space="preserve">Рекламируя товары известных фирм, зарабатывают и наши футбольные клубы. Самый популярный из них «Спартак» подписал соглашение о спонсорстве с парфюмерно-косметической компанией </w:t>
      </w:r>
      <w:r>
        <w:rPr>
          <w:rFonts w:ascii="Times New Roman" w:hAnsi="Times New Roman"/>
          <w:sz w:val="28"/>
          <w:lang w:val="en-US"/>
        </w:rPr>
        <w:t>Procter</w:t>
      </w:r>
      <w:r w:rsidRPr="00C61772">
        <w:rPr>
          <w:rFonts w:ascii="Times New Roman" w:hAnsi="Times New Roman"/>
          <w:sz w:val="28"/>
        </w:rPr>
        <w:t xml:space="preserve"> &amp; </w:t>
      </w:r>
      <w:r>
        <w:rPr>
          <w:rFonts w:ascii="Times New Roman" w:hAnsi="Times New Roman"/>
          <w:sz w:val="28"/>
          <w:lang w:val="en-US"/>
        </w:rPr>
        <w:t>Gamble</w:t>
      </w:r>
      <w:r>
        <w:rPr>
          <w:rFonts w:ascii="Times New Roman" w:hAnsi="Times New Roman"/>
          <w:sz w:val="28"/>
        </w:rPr>
        <w:t xml:space="preserve">. Футболисты будут рекламировать торговую марку </w:t>
      </w:r>
      <w:r>
        <w:rPr>
          <w:rFonts w:ascii="Times New Roman" w:hAnsi="Times New Roman"/>
          <w:sz w:val="28"/>
          <w:lang w:val="en-US"/>
        </w:rPr>
        <w:t>P</w:t>
      </w:r>
      <w:r w:rsidRPr="00C61772">
        <w:rPr>
          <w:rFonts w:ascii="Times New Roman" w:hAnsi="Times New Roman"/>
          <w:sz w:val="28"/>
        </w:rPr>
        <w:t>&amp;</w:t>
      </w:r>
      <w:r>
        <w:rPr>
          <w:rFonts w:ascii="Times New Roman" w:hAnsi="Times New Roman"/>
          <w:sz w:val="28"/>
          <w:lang w:val="en-US"/>
        </w:rPr>
        <w:t>G</w:t>
      </w:r>
      <w:r w:rsidRPr="00C61772">
        <w:rPr>
          <w:rFonts w:ascii="Times New Roman" w:hAnsi="Times New Roman"/>
          <w:sz w:val="28"/>
        </w:rPr>
        <w:t xml:space="preserve"> – </w:t>
      </w:r>
      <w:r>
        <w:rPr>
          <w:rFonts w:ascii="Times New Roman" w:hAnsi="Times New Roman"/>
          <w:sz w:val="28"/>
          <w:lang w:val="en-US"/>
        </w:rPr>
        <w:t>Old</w:t>
      </w:r>
      <w:r w:rsidRPr="00C61772">
        <w:rPr>
          <w:rFonts w:ascii="Times New Roman" w:hAnsi="Times New Roman"/>
          <w:sz w:val="28"/>
        </w:rPr>
        <w:t xml:space="preserve"> </w:t>
      </w:r>
      <w:r>
        <w:rPr>
          <w:rFonts w:ascii="Times New Roman" w:hAnsi="Times New Roman"/>
          <w:sz w:val="28"/>
          <w:lang w:val="en-US"/>
        </w:rPr>
        <w:t>Spice</w:t>
      </w:r>
      <w:r>
        <w:rPr>
          <w:rFonts w:ascii="Times New Roman" w:hAnsi="Times New Roman"/>
          <w:sz w:val="28"/>
        </w:rPr>
        <w:t xml:space="preserve">. </w:t>
      </w:r>
    </w:p>
    <w:p w14:paraId="0EABE5D6" w14:textId="77777777" w:rsidR="00116498" w:rsidRDefault="00116498">
      <w:pPr>
        <w:pStyle w:val="20"/>
        <w:rPr>
          <w:rFonts w:ascii="Times New Roman" w:hAnsi="Times New Roman"/>
          <w:sz w:val="28"/>
        </w:rPr>
      </w:pPr>
      <w:r>
        <w:rPr>
          <w:rFonts w:ascii="Times New Roman" w:hAnsi="Times New Roman"/>
          <w:sz w:val="28"/>
        </w:rPr>
        <w:t xml:space="preserve">По условиям договора логотип </w:t>
      </w:r>
      <w:r>
        <w:rPr>
          <w:rFonts w:ascii="Times New Roman" w:hAnsi="Times New Roman"/>
          <w:sz w:val="28"/>
          <w:lang w:val="en-US"/>
        </w:rPr>
        <w:t>Old</w:t>
      </w:r>
      <w:r w:rsidRPr="00C61772">
        <w:rPr>
          <w:rFonts w:ascii="Times New Roman" w:hAnsi="Times New Roman"/>
          <w:sz w:val="28"/>
        </w:rPr>
        <w:t xml:space="preserve"> </w:t>
      </w:r>
      <w:r>
        <w:rPr>
          <w:rFonts w:ascii="Times New Roman" w:hAnsi="Times New Roman"/>
          <w:sz w:val="28"/>
          <w:lang w:val="en-US"/>
        </w:rPr>
        <w:t>Spice</w:t>
      </w:r>
      <w:r w:rsidRPr="00C61772">
        <w:rPr>
          <w:rFonts w:ascii="Times New Roman" w:hAnsi="Times New Roman"/>
          <w:sz w:val="28"/>
        </w:rPr>
        <w:t xml:space="preserve"> </w:t>
      </w:r>
      <w:r>
        <w:rPr>
          <w:rFonts w:ascii="Times New Roman" w:hAnsi="Times New Roman"/>
          <w:sz w:val="28"/>
        </w:rPr>
        <w:t>будет размещен на левом рукаве футболки каждого из футболистов «Спартака». Контракт подписан сроком на один год с возможностью последующего продления. Генеральным спонсором команды по-прежнему остается нефтяная компания «ЛУКОЙЛ».</w:t>
      </w:r>
    </w:p>
    <w:p w14:paraId="739CECD9" w14:textId="77777777" w:rsidR="00116498" w:rsidRDefault="00116498">
      <w:pPr>
        <w:pStyle w:val="20"/>
        <w:rPr>
          <w:rFonts w:ascii="Times New Roman" w:hAnsi="Times New Roman"/>
          <w:sz w:val="28"/>
        </w:rPr>
      </w:pPr>
      <w:r>
        <w:rPr>
          <w:rFonts w:ascii="Times New Roman" w:hAnsi="Times New Roman"/>
          <w:sz w:val="28"/>
        </w:rPr>
        <w:t>Договор с футбольной командой также предусматривает возможность съемок игроков команды в рекламных роликах дезодоранта.</w:t>
      </w:r>
    </w:p>
    <w:p w14:paraId="6637442E" w14:textId="77777777" w:rsidR="00116498" w:rsidRDefault="00116498">
      <w:pPr>
        <w:pStyle w:val="1"/>
        <w:rPr>
          <w:rFonts w:ascii="Times New Roman" w:hAnsi="Times New Roman"/>
          <w:spacing w:val="20"/>
          <w:sz w:val="36"/>
        </w:rPr>
      </w:pPr>
      <w:bookmarkStart w:id="10" w:name="россия"/>
      <w:r>
        <w:rPr>
          <w:rFonts w:ascii="Times New Roman" w:hAnsi="Times New Roman"/>
          <w:spacing w:val="20"/>
          <w:sz w:val="36"/>
        </w:rPr>
        <w:t>Футбольный бизнес в России</w:t>
      </w:r>
    </w:p>
    <w:bookmarkEnd w:id="10"/>
    <w:p w14:paraId="713F8295" w14:textId="77777777" w:rsidR="00116498" w:rsidRDefault="00116498">
      <w:pPr>
        <w:rPr>
          <w:sz w:val="28"/>
        </w:rPr>
      </w:pPr>
    </w:p>
    <w:p w14:paraId="2C818138" w14:textId="77777777" w:rsidR="00116498" w:rsidRDefault="00116498">
      <w:pPr>
        <w:pStyle w:val="20"/>
        <w:rPr>
          <w:rFonts w:ascii="Times New Roman" w:hAnsi="Times New Roman"/>
          <w:sz w:val="28"/>
        </w:rPr>
      </w:pPr>
      <w:r>
        <w:rPr>
          <w:rFonts w:ascii="Times New Roman" w:hAnsi="Times New Roman"/>
          <w:sz w:val="28"/>
        </w:rPr>
        <w:t>Все разговоры о сереньком и скучном нашем первенстве сводятся в последнее время к финансовой теме – нет денег. Сомнительно, что некто всерьез может рассматривать российский футбол, точнее, российские футбольные клубы, как выгодное коммерческое предприятие. Коммерция – это вложение средств с целью получения прибыли. Футбольные клубы в России - сплошные расходы.</w:t>
      </w:r>
    </w:p>
    <w:p w14:paraId="7F471B2E" w14:textId="77777777" w:rsidR="00116498" w:rsidRDefault="00116498">
      <w:pPr>
        <w:pStyle w:val="20"/>
        <w:pBdr>
          <w:top w:val="doubleWave" w:sz="6" w:space="1" w:color="auto"/>
          <w:left w:val="doubleWave" w:sz="6" w:space="4" w:color="auto"/>
          <w:bottom w:val="doubleWave" w:sz="6" w:space="1" w:color="auto"/>
          <w:right w:val="doubleWave" w:sz="6" w:space="4" w:color="auto"/>
        </w:pBdr>
        <w:jc w:val="center"/>
        <w:rPr>
          <w:rFonts w:ascii="Times New Roman" w:hAnsi="Times New Roman"/>
          <w:b/>
          <w:sz w:val="28"/>
        </w:rPr>
      </w:pPr>
      <w:r>
        <w:rPr>
          <w:rFonts w:ascii="Times New Roman" w:hAnsi="Times New Roman"/>
          <w:b/>
          <w:sz w:val="28"/>
        </w:rPr>
        <w:t>Кто спонсирует футбольные клубы России (высший дивизион)</w:t>
      </w:r>
    </w:p>
    <w:p w14:paraId="65EAABBE"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«Спартак»</w:t>
      </w:r>
      <w:r>
        <w:rPr>
          <w:rFonts w:ascii="Times New Roman" w:hAnsi="Times New Roman"/>
          <w:sz w:val="28"/>
        </w:rPr>
        <w:t xml:space="preserve"> - «ЛУКойл» (титульный спонсор), «Уренгойгазпром», «</w:t>
      </w:r>
      <w:r>
        <w:rPr>
          <w:rFonts w:ascii="Times New Roman" w:hAnsi="Times New Roman"/>
          <w:sz w:val="28"/>
          <w:lang w:val="en-US"/>
        </w:rPr>
        <w:t>P</w:t>
      </w:r>
      <w:r w:rsidRPr="00C61772">
        <w:rPr>
          <w:rFonts w:ascii="Times New Roman" w:hAnsi="Times New Roman"/>
          <w:sz w:val="28"/>
        </w:rPr>
        <w:t>&amp;</w:t>
      </w:r>
      <w:r>
        <w:rPr>
          <w:rFonts w:ascii="Times New Roman" w:hAnsi="Times New Roman"/>
          <w:sz w:val="28"/>
          <w:lang w:val="en-US"/>
        </w:rPr>
        <w:t>G</w:t>
      </w:r>
      <w:r>
        <w:rPr>
          <w:rFonts w:ascii="Times New Roman" w:hAnsi="Times New Roman"/>
          <w:sz w:val="28"/>
        </w:rPr>
        <w:t>».</w:t>
      </w:r>
    </w:p>
    <w:p w14:paraId="76CB97EC"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ЦСКА</w:t>
      </w:r>
      <w:r>
        <w:rPr>
          <w:rFonts w:ascii="Times New Roman" w:hAnsi="Times New Roman"/>
          <w:sz w:val="28"/>
        </w:rPr>
        <w:t xml:space="preserve"> – Министерство обороны РФ, английская компания «</w:t>
      </w:r>
      <w:r>
        <w:rPr>
          <w:rFonts w:ascii="Times New Roman" w:hAnsi="Times New Roman"/>
          <w:sz w:val="28"/>
          <w:lang w:val="en-US"/>
        </w:rPr>
        <w:t>Blue</w:t>
      </w:r>
      <w:r w:rsidRPr="00C61772">
        <w:rPr>
          <w:rFonts w:ascii="Times New Roman" w:hAnsi="Times New Roman"/>
          <w:sz w:val="28"/>
        </w:rPr>
        <w:t xml:space="preserve"> </w:t>
      </w:r>
      <w:r>
        <w:rPr>
          <w:rFonts w:ascii="Times New Roman" w:hAnsi="Times New Roman"/>
          <w:sz w:val="28"/>
          <w:lang w:val="en-US"/>
        </w:rPr>
        <w:t>Castle</w:t>
      </w:r>
      <w:r>
        <w:rPr>
          <w:rFonts w:ascii="Times New Roman" w:hAnsi="Times New Roman"/>
          <w:sz w:val="28"/>
        </w:rPr>
        <w:t>» и акционерный коммерческий банк «Еврофинанс».</w:t>
      </w:r>
    </w:p>
    <w:p w14:paraId="7B903B42"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«Динамо» (Москва)</w:t>
      </w:r>
      <w:r>
        <w:rPr>
          <w:rFonts w:ascii="Times New Roman" w:hAnsi="Times New Roman"/>
          <w:sz w:val="28"/>
        </w:rPr>
        <w:t xml:space="preserve"> – ОАО ТВЕЛ (ядерное топливо для реакторов атомных электростанций), </w:t>
      </w:r>
      <w:r>
        <w:rPr>
          <w:rFonts w:ascii="Times New Roman" w:hAnsi="Times New Roman"/>
          <w:sz w:val="28"/>
          <w:lang w:val="en-US"/>
        </w:rPr>
        <w:t>Fitcom</w:t>
      </w:r>
      <w:r>
        <w:rPr>
          <w:rFonts w:ascii="Times New Roman" w:hAnsi="Times New Roman"/>
          <w:sz w:val="28"/>
        </w:rPr>
        <w:t xml:space="preserve"> (транснациональная корпорация, производитель и продавец химического сырья, минеральных удобрений), Эргобанк, Международная группа компаний ИТЕРА – поставки природного газа на рынки России, в страны СНГ и Балтии, Газпроминвестхолдинг.</w:t>
      </w:r>
    </w:p>
    <w:p w14:paraId="673E3CFF"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«Торпедо-ЗИЛ»</w:t>
      </w:r>
      <w:r>
        <w:rPr>
          <w:rFonts w:ascii="Times New Roman" w:hAnsi="Times New Roman"/>
          <w:sz w:val="28"/>
        </w:rPr>
        <w:t xml:space="preserve"> – основной владелец – завод.</w:t>
      </w:r>
    </w:p>
    <w:p w14:paraId="59B703BD"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«Торпедо – Лужники»</w:t>
      </w:r>
      <w:r>
        <w:rPr>
          <w:rFonts w:ascii="Times New Roman" w:hAnsi="Times New Roman"/>
          <w:sz w:val="28"/>
        </w:rPr>
        <w:t xml:space="preserve"> - крупнейшая в Европе барахолка.</w:t>
      </w:r>
    </w:p>
    <w:p w14:paraId="5D174239"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«Ротор» (Волгоград)</w:t>
      </w:r>
      <w:r>
        <w:rPr>
          <w:rFonts w:ascii="Times New Roman" w:hAnsi="Times New Roman"/>
          <w:sz w:val="28"/>
        </w:rPr>
        <w:t xml:space="preserve"> – фактическим владельцем является президент клуба Владимир Горюнов.</w:t>
      </w:r>
    </w:p>
    <w:p w14:paraId="6054795E"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«Сатурн» (Раменское)</w:t>
      </w:r>
      <w:r>
        <w:rPr>
          <w:rFonts w:ascii="Times New Roman" w:hAnsi="Times New Roman"/>
          <w:sz w:val="28"/>
        </w:rPr>
        <w:t xml:space="preserve"> – «</w:t>
      </w:r>
      <w:r>
        <w:rPr>
          <w:rFonts w:ascii="Times New Roman" w:hAnsi="Times New Roman"/>
          <w:sz w:val="28"/>
          <w:lang w:val="en-US"/>
        </w:rPr>
        <w:t>Ehrmann</w:t>
      </w:r>
      <w:r>
        <w:rPr>
          <w:rFonts w:ascii="Times New Roman" w:hAnsi="Times New Roman"/>
          <w:sz w:val="28"/>
        </w:rPr>
        <w:t>», «Автогарант», «Ист-лайн».</w:t>
      </w:r>
    </w:p>
    <w:p w14:paraId="23C1043C"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«Зенит» (Санкт-Петербург)</w:t>
      </w:r>
      <w:r>
        <w:rPr>
          <w:rFonts w:ascii="Times New Roman" w:hAnsi="Times New Roman"/>
          <w:sz w:val="28"/>
        </w:rPr>
        <w:t xml:space="preserve"> – «Газпром», «Лентрансгаз», «Газоэнергофинанс, Петербургская телефонная сеть, банк МЕНАТЕП СПБ, компания Компьютер ленд, коммерческий банк «Петровский», акционерное общество «Акрон».</w:t>
      </w:r>
    </w:p>
    <w:p w14:paraId="3ECC39A7"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«Сокол» (Саратов)</w:t>
      </w:r>
      <w:r>
        <w:rPr>
          <w:rFonts w:ascii="Times New Roman" w:hAnsi="Times New Roman"/>
          <w:sz w:val="28"/>
        </w:rPr>
        <w:t xml:space="preserve"> – губернатор области Аяцков, ликероводочный завод «Лексар», акционерное общество «Зерно Поволжья».</w:t>
      </w:r>
    </w:p>
    <w:p w14:paraId="3BCC9CED"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«Крылья Советов»  (Самара)</w:t>
      </w:r>
      <w:r>
        <w:rPr>
          <w:rFonts w:ascii="Times New Roman" w:hAnsi="Times New Roman"/>
          <w:sz w:val="28"/>
        </w:rPr>
        <w:t xml:space="preserve"> – «Сибирский алюминий» (титульный спонсор).</w:t>
      </w:r>
    </w:p>
    <w:p w14:paraId="33AD0119"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«Факел» (Воронеж)</w:t>
      </w:r>
      <w:r>
        <w:rPr>
          <w:rFonts w:ascii="Times New Roman" w:hAnsi="Times New Roman"/>
          <w:sz w:val="28"/>
        </w:rPr>
        <w:t xml:space="preserve"> – строка в бюджете (200 млн. руб.).</w:t>
      </w:r>
    </w:p>
    <w:p w14:paraId="0F0FDD20"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«Ростсельмаш» (Ростов-на-Дону)</w:t>
      </w:r>
      <w:r>
        <w:rPr>
          <w:rFonts w:ascii="Times New Roman" w:hAnsi="Times New Roman"/>
          <w:sz w:val="28"/>
        </w:rPr>
        <w:t xml:space="preserve"> – строка в бюджете.</w:t>
      </w:r>
    </w:p>
    <w:p w14:paraId="6EA2BB36" w14:textId="77777777" w:rsidR="00116498" w:rsidRDefault="00116498">
      <w:pPr>
        <w:pStyle w:val="20"/>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sz w:val="28"/>
        </w:rPr>
      </w:pPr>
      <w:r>
        <w:rPr>
          <w:rFonts w:ascii="Times New Roman" w:hAnsi="Times New Roman"/>
          <w:b/>
          <w:sz w:val="28"/>
        </w:rPr>
        <w:t>«Алания»</w:t>
      </w:r>
      <w:r>
        <w:rPr>
          <w:rFonts w:ascii="Times New Roman" w:hAnsi="Times New Roman"/>
          <w:sz w:val="28"/>
        </w:rPr>
        <w:t xml:space="preserve"> – правительство Осетии.</w:t>
      </w:r>
    </w:p>
    <w:p w14:paraId="73F4F55C" w14:textId="77777777" w:rsidR="00116498" w:rsidRDefault="00116498">
      <w:pPr>
        <w:pStyle w:val="20"/>
        <w:pBdr>
          <w:top w:val="doubleWave" w:sz="6" w:space="1" w:color="auto"/>
          <w:left w:val="doubleWave" w:sz="6" w:space="4" w:color="auto"/>
          <w:bottom w:val="doubleWave" w:sz="6" w:space="1" w:color="auto"/>
          <w:right w:val="doubleWave" w:sz="6" w:space="4" w:color="auto"/>
        </w:pBdr>
        <w:rPr>
          <w:rFonts w:ascii="Times New Roman" w:hAnsi="Times New Roman"/>
          <w:sz w:val="28"/>
        </w:rPr>
      </w:pPr>
      <w:r>
        <w:rPr>
          <w:rFonts w:ascii="Times New Roman" w:hAnsi="Times New Roman"/>
          <w:b/>
          <w:sz w:val="28"/>
        </w:rPr>
        <w:t>«Анжи»</w:t>
      </w:r>
      <w:r>
        <w:rPr>
          <w:rFonts w:ascii="Times New Roman" w:hAnsi="Times New Roman"/>
          <w:sz w:val="28"/>
        </w:rPr>
        <w:t xml:space="preserve"> – правительство Дагестана.</w:t>
      </w:r>
    </w:p>
    <w:p w14:paraId="1775B63F" w14:textId="77777777" w:rsidR="00116498" w:rsidRDefault="00116498">
      <w:pPr>
        <w:pStyle w:val="20"/>
        <w:rPr>
          <w:rFonts w:ascii="Times New Roman" w:hAnsi="Times New Roman"/>
          <w:sz w:val="28"/>
        </w:rPr>
      </w:pPr>
      <w:r>
        <w:rPr>
          <w:rFonts w:ascii="Times New Roman" w:hAnsi="Times New Roman"/>
          <w:sz w:val="28"/>
        </w:rPr>
        <w:t>Высший дивизион отечественного чемпионата можно поделить на четыре группы. В первую входят провинциальные команды-середняки, борющиеся за выживание. Это (по состоянию на 2001год) – «Ротор», «Ростсельмаш», «Факел», «Сокол», «Крылья Советов» и столичное «Торпедо – ЗИЛ». Их патронируют мощные предприятия. Регион, заинтересованный в подъеме команды, договаривается с предприятием, которое и становится моноспонсором.</w:t>
      </w:r>
    </w:p>
    <w:p w14:paraId="19DD510D" w14:textId="77777777" w:rsidR="00116498" w:rsidRDefault="00116498">
      <w:pPr>
        <w:pStyle w:val="20"/>
        <w:rPr>
          <w:rFonts w:ascii="Times New Roman" w:hAnsi="Times New Roman"/>
          <w:sz w:val="28"/>
        </w:rPr>
      </w:pPr>
      <w:r>
        <w:rPr>
          <w:rFonts w:ascii="Times New Roman" w:hAnsi="Times New Roman"/>
          <w:sz w:val="28"/>
        </w:rPr>
        <w:t>Клубы, добившиеся прямой поддержки местной власти, формируют вторую группу. В чистом виде это дагестанская «Анжи» и осетинская «Алания». Но на самом деле к этой группе можно отнести и питерский «Зенит», и подмосковный «Сатурн».</w:t>
      </w:r>
    </w:p>
    <w:p w14:paraId="5A7B221C" w14:textId="77777777" w:rsidR="00116498" w:rsidRDefault="00116498">
      <w:pPr>
        <w:pStyle w:val="20"/>
        <w:rPr>
          <w:rFonts w:ascii="Times New Roman" w:hAnsi="Times New Roman"/>
          <w:sz w:val="28"/>
        </w:rPr>
      </w:pPr>
      <w:r>
        <w:rPr>
          <w:rFonts w:ascii="Times New Roman" w:hAnsi="Times New Roman"/>
          <w:sz w:val="28"/>
        </w:rPr>
        <w:t>Третья группа – ведомственные команды. Сейчас их представляет только московский «Локомотив» и новороссийский «Черноморец». Ведомственная любовь не так прибыльна, но у нее есть свои плюсы. Она прочна. Ведомство будет стоять как египетская пирамида. Его начальник и есть патрон команды. Он может обеспечить привлечение любых спонсорских потоков уже под федеральные гарантии. Он обращает свой политический капитал в реальные деньги для команды.</w:t>
      </w:r>
    </w:p>
    <w:p w14:paraId="40D86377" w14:textId="77777777" w:rsidR="00116498" w:rsidRPr="00C61772" w:rsidRDefault="00116498">
      <w:pPr>
        <w:pStyle w:val="20"/>
        <w:rPr>
          <w:rFonts w:ascii="Times New Roman" w:hAnsi="Times New Roman"/>
          <w:sz w:val="28"/>
        </w:rPr>
      </w:pPr>
      <w:r>
        <w:rPr>
          <w:rFonts w:ascii="Times New Roman" w:hAnsi="Times New Roman"/>
          <w:sz w:val="28"/>
        </w:rPr>
        <w:t>Московские клубы формируют четвертую группу. В белокаменной денег и покровителей хватает на пять или шесть клубов. «Спартак», ЦСКА, «Торпедо - Лужники», «Динамо». Когда-то за них тоже отвечали ведомства. Сейчас же каждый московский клуб, кроме «Локомотива», сформировал свою собственную хозяйственную систему. Принцип ее таков: найти основного титульного спонсора из олигархов и через него обрасти группой более мелких доноров. Таким образом москвичи добиваются бесперебойного стабильного финансирования, в отличие от провинциалов. Например, у «Спартака» есть «ЛУКОЙЛ». Но в запасе имеется «Уренгойгазпром», а недавно было заключено соглашение с «</w:t>
      </w:r>
      <w:r>
        <w:rPr>
          <w:rFonts w:ascii="Times New Roman" w:hAnsi="Times New Roman"/>
          <w:sz w:val="28"/>
          <w:lang w:val="en-US"/>
        </w:rPr>
        <w:t>P</w:t>
      </w:r>
      <w:r w:rsidRPr="00C61772">
        <w:rPr>
          <w:rFonts w:ascii="Times New Roman" w:hAnsi="Times New Roman"/>
          <w:sz w:val="28"/>
        </w:rPr>
        <w:t>&amp;</w:t>
      </w:r>
      <w:r>
        <w:rPr>
          <w:rFonts w:ascii="Times New Roman" w:hAnsi="Times New Roman"/>
          <w:sz w:val="28"/>
          <w:lang w:val="en-US"/>
        </w:rPr>
        <w:t>G</w:t>
      </w:r>
      <w:r>
        <w:rPr>
          <w:rFonts w:ascii="Times New Roman" w:hAnsi="Times New Roman"/>
          <w:sz w:val="28"/>
        </w:rPr>
        <w:t>» Из всех московских команд только «Спартак», пожалуй, не нуждается в политическом патроне. На команду работает ее имя.</w:t>
      </w:r>
    </w:p>
    <w:p w14:paraId="486C9729" w14:textId="77777777" w:rsidR="00116498" w:rsidRPr="00C61772" w:rsidRDefault="00116498">
      <w:pPr>
        <w:pStyle w:val="20"/>
        <w:rPr>
          <w:rFonts w:ascii="Times New Roman" w:hAnsi="Times New Roman"/>
          <w:sz w:val="28"/>
        </w:rPr>
      </w:pPr>
    </w:p>
    <w:p w14:paraId="08EFCBF3" w14:textId="77777777" w:rsidR="00116498" w:rsidRDefault="00116498">
      <w:pPr>
        <w:pStyle w:val="1"/>
        <w:rPr>
          <w:rFonts w:ascii="Times New Roman" w:hAnsi="Times New Roman"/>
          <w:spacing w:val="20"/>
          <w:sz w:val="36"/>
        </w:rPr>
      </w:pPr>
      <w:bookmarkStart w:id="11" w:name="заключение"/>
      <w:r>
        <w:rPr>
          <w:rFonts w:ascii="Times New Roman" w:hAnsi="Times New Roman"/>
          <w:spacing w:val="20"/>
          <w:sz w:val="36"/>
        </w:rPr>
        <w:t>Заключение</w:t>
      </w:r>
      <w:bookmarkEnd w:id="11"/>
    </w:p>
    <w:p w14:paraId="726FEAC3" w14:textId="77777777" w:rsidR="00116498" w:rsidRDefault="00116498">
      <w:pPr>
        <w:jc w:val="both"/>
        <w:rPr>
          <w:rFonts w:ascii="Times New Roman" w:hAnsi="Times New Roman"/>
        </w:rPr>
      </w:pPr>
    </w:p>
    <w:p w14:paraId="4A8E319A" w14:textId="77777777" w:rsidR="00116498" w:rsidRDefault="00116498">
      <w:pPr>
        <w:pStyle w:val="30"/>
      </w:pPr>
      <w:r>
        <w:t>Итак, чтобы хорошо зарабатывать, футболисты не только стараются радовать нас своей игрой и своими победами, но и находят различные способы получения дивидендов. Что опять-таки скажется и на уровне игры, например, за счет покупки игроков-профессионалов.</w:t>
      </w:r>
    </w:p>
    <w:p w14:paraId="4C11B70A" w14:textId="77777777" w:rsidR="00116498" w:rsidRDefault="00116498">
      <w:pPr>
        <w:spacing w:line="360" w:lineRule="auto"/>
        <w:ind w:firstLine="720"/>
        <w:jc w:val="both"/>
        <w:rPr>
          <w:rFonts w:ascii="Times New Roman" w:hAnsi="Times New Roman"/>
          <w:sz w:val="28"/>
        </w:rPr>
      </w:pPr>
      <w:r>
        <w:rPr>
          <w:rFonts w:ascii="Times New Roman" w:hAnsi="Times New Roman"/>
          <w:sz w:val="28"/>
        </w:rPr>
        <w:t xml:space="preserve">А </w:t>
      </w:r>
      <w:r>
        <w:rPr>
          <w:rFonts w:ascii="Times New Roman" w:hAnsi="Times New Roman"/>
          <w:sz w:val="28"/>
          <w:lang w:val="en-US"/>
        </w:rPr>
        <w:t>Manchester</w:t>
      </w:r>
      <w:r w:rsidRPr="00C61772">
        <w:rPr>
          <w:rFonts w:ascii="Times New Roman" w:hAnsi="Times New Roman"/>
          <w:sz w:val="28"/>
        </w:rPr>
        <w:t xml:space="preserve"> </w:t>
      </w:r>
      <w:r>
        <w:rPr>
          <w:rFonts w:ascii="Times New Roman" w:hAnsi="Times New Roman"/>
          <w:sz w:val="28"/>
          <w:lang w:val="en-US"/>
        </w:rPr>
        <w:t>United</w:t>
      </w:r>
      <w:r>
        <w:rPr>
          <w:rFonts w:ascii="Times New Roman" w:hAnsi="Times New Roman"/>
          <w:sz w:val="28"/>
        </w:rPr>
        <w:t xml:space="preserve"> оказался впереди всех, заключив сделку с американским бейсбольным клубом </w:t>
      </w:r>
      <w:r>
        <w:rPr>
          <w:rFonts w:ascii="Times New Roman" w:hAnsi="Times New Roman"/>
          <w:sz w:val="28"/>
          <w:lang w:val="en-US"/>
        </w:rPr>
        <w:t>New</w:t>
      </w:r>
      <w:r w:rsidRPr="00C61772">
        <w:rPr>
          <w:rFonts w:ascii="Times New Roman" w:hAnsi="Times New Roman"/>
          <w:sz w:val="28"/>
        </w:rPr>
        <w:t xml:space="preserve"> </w:t>
      </w:r>
      <w:r>
        <w:rPr>
          <w:rFonts w:ascii="Times New Roman" w:hAnsi="Times New Roman"/>
          <w:sz w:val="28"/>
          <w:lang w:val="en-US"/>
        </w:rPr>
        <w:t>York</w:t>
      </w:r>
      <w:r w:rsidRPr="00C61772">
        <w:rPr>
          <w:rFonts w:ascii="Times New Roman" w:hAnsi="Times New Roman"/>
          <w:sz w:val="28"/>
        </w:rPr>
        <w:t xml:space="preserve"> </w:t>
      </w:r>
      <w:r>
        <w:rPr>
          <w:rFonts w:ascii="Times New Roman" w:hAnsi="Times New Roman"/>
          <w:sz w:val="28"/>
          <w:lang w:val="en-US"/>
        </w:rPr>
        <w:t>Yankees</w:t>
      </w:r>
      <w:r>
        <w:rPr>
          <w:rFonts w:ascii="Times New Roman" w:hAnsi="Times New Roman"/>
          <w:sz w:val="28"/>
        </w:rPr>
        <w:t xml:space="preserve">. Этот контракт выглядит как логичный шаг на пути дальнейшего укрупнения компании. При этом первые  дивиденды от сделки британцы начали получать сразу после официального объявления о подписании договора. После длительного периода сползания биржевых котировок акций </w:t>
      </w:r>
      <w:r>
        <w:rPr>
          <w:rFonts w:ascii="Times New Roman" w:hAnsi="Times New Roman"/>
          <w:sz w:val="28"/>
          <w:lang w:val="en-US"/>
        </w:rPr>
        <w:t>Manchester</w:t>
      </w:r>
      <w:r w:rsidRPr="00C61772">
        <w:rPr>
          <w:rFonts w:ascii="Times New Roman" w:hAnsi="Times New Roman"/>
          <w:sz w:val="28"/>
        </w:rPr>
        <w:t xml:space="preserve"> </w:t>
      </w:r>
      <w:r>
        <w:rPr>
          <w:rFonts w:ascii="Times New Roman" w:hAnsi="Times New Roman"/>
          <w:sz w:val="28"/>
          <w:lang w:val="en-US"/>
        </w:rPr>
        <w:t>United</w:t>
      </w:r>
      <w:r>
        <w:rPr>
          <w:rFonts w:ascii="Times New Roman" w:hAnsi="Times New Roman"/>
          <w:sz w:val="28"/>
        </w:rPr>
        <w:t xml:space="preserve"> вниз известие о сделке с </w:t>
      </w:r>
      <w:r>
        <w:rPr>
          <w:rFonts w:ascii="Times New Roman" w:hAnsi="Times New Roman"/>
          <w:sz w:val="28"/>
          <w:lang w:val="en-US"/>
        </w:rPr>
        <w:t>New</w:t>
      </w:r>
      <w:r w:rsidRPr="00C61772">
        <w:rPr>
          <w:rFonts w:ascii="Times New Roman" w:hAnsi="Times New Roman"/>
          <w:sz w:val="28"/>
        </w:rPr>
        <w:t xml:space="preserve"> </w:t>
      </w:r>
      <w:r>
        <w:rPr>
          <w:rFonts w:ascii="Times New Roman" w:hAnsi="Times New Roman"/>
          <w:sz w:val="28"/>
          <w:lang w:val="en-US"/>
        </w:rPr>
        <w:t>York</w:t>
      </w:r>
      <w:r w:rsidRPr="00C61772">
        <w:rPr>
          <w:rFonts w:ascii="Times New Roman" w:hAnsi="Times New Roman"/>
          <w:sz w:val="28"/>
        </w:rPr>
        <w:t xml:space="preserve"> </w:t>
      </w:r>
      <w:r>
        <w:rPr>
          <w:rFonts w:ascii="Times New Roman" w:hAnsi="Times New Roman"/>
          <w:sz w:val="28"/>
          <w:lang w:val="en-US"/>
        </w:rPr>
        <w:t>Yankees</w:t>
      </w:r>
      <w:r w:rsidRPr="00C61772">
        <w:rPr>
          <w:rFonts w:ascii="Times New Roman" w:hAnsi="Times New Roman"/>
          <w:sz w:val="28"/>
        </w:rPr>
        <w:t xml:space="preserve"> в </w:t>
      </w:r>
      <w:r>
        <w:rPr>
          <w:rFonts w:ascii="Times New Roman" w:hAnsi="Times New Roman"/>
          <w:sz w:val="28"/>
        </w:rPr>
        <w:t xml:space="preserve">первый же день подняло стоимость акций на 11%. А ведь главные поступления от партнерского соглашения еще впереди. По условиям сделки </w:t>
      </w:r>
      <w:r>
        <w:rPr>
          <w:rFonts w:ascii="Times New Roman" w:hAnsi="Times New Roman"/>
          <w:sz w:val="28"/>
          <w:lang w:val="en-US"/>
        </w:rPr>
        <w:t>Manchester</w:t>
      </w:r>
      <w:r w:rsidRPr="00C61772">
        <w:rPr>
          <w:rFonts w:ascii="Times New Roman" w:hAnsi="Times New Roman"/>
          <w:sz w:val="28"/>
        </w:rPr>
        <w:t xml:space="preserve"> </w:t>
      </w:r>
      <w:r>
        <w:rPr>
          <w:rFonts w:ascii="Times New Roman" w:hAnsi="Times New Roman"/>
          <w:sz w:val="28"/>
          <w:lang w:val="en-US"/>
        </w:rPr>
        <w:t>United</w:t>
      </w:r>
      <w:r w:rsidRPr="00C61772">
        <w:rPr>
          <w:rFonts w:ascii="Times New Roman" w:hAnsi="Times New Roman"/>
          <w:sz w:val="28"/>
        </w:rPr>
        <w:t xml:space="preserve"> </w:t>
      </w:r>
      <w:r>
        <w:rPr>
          <w:rFonts w:ascii="Times New Roman" w:hAnsi="Times New Roman"/>
          <w:sz w:val="28"/>
        </w:rPr>
        <w:t xml:space="preserve"> и </w:t>
      </w:r>
      <w:r>
        <w:rPr>
          <w:rFonts w:ascii="Times New Roman" w:hAnsi="Times New Roman"/>
          <w:sz w:val="28"/>
          <w:lang w:val="en-US"/>
        </w:rPr>
        <w:t>New</w:t>
      </w:r>
      <w:r w:rsidRPr="00C61772">
        <w:rPr>
          <w:rFonts w:ascii="Times New Roman" w:hAnsi="Times New Roman"/>
          <w:sz w:val="28"/>
        </w:rPr>
        <w:t xml:space="preserve"> </w:t>
      </w:r>
      <w:r>
        <w:rPr>
          <w:rFonts w:ascii="Times New Roman" w:hAnsi="Times New Roman"/>
          <w:sz w:val="28"/>
          <w:lang w:val="en-US"/>
        </w:rPr>
        <w:t>York</w:t>
      </w:r>
      <w:r w:rsidRPr="00C61772">
        <w:rPr>
          <w:rFonts w:ascii="Times New Roman" w:hAnsi="Times New Roman"/>
          <w:sz w:val="28"/>
        </w:rPr>
        <w:t xml:space="preserve"> </w:t>
      </w:r>
      <w:r>
        <w:rPr>
          <w:rFonts w:ascii="Times New Roman" w:hAnsi="Times New Roman"/>
          <w:sz w:val="28"/>
          <w:lang w:val="en-US"/>
        </w:rPr>
        <w:t>Yankees</w:t>
      </w:r>
      <w:r w:rsidRPr="00C61772">
        <w:rPr>
          <w:rFonts w:ascii="Times New Roman" w:hAnsi="Times New Roman"/>
          <w:sz w:val="28"/>
        </w:rPr>
        <w:t xml:space="preserve"> </w:t>
      </w:r>
      <w:r>
        <w:rPr>
          <w:rFonts w:ascii="Times New Roman" w:hAnsi="Times New Roman"/>
          <w:sz w:val="28"/>
        </w:rPr>
        <w:t>только на перекрестной рекламе и торговле товарами с символикой друг друга смогут получить сотни миллионов долларов дополнительных доходов.</w:t>
      </w:r>
    </w:p>
    <w:p w14:paraId="5EA7C928" w14:textId="77777777" w:rsidR="00116498" w:rsidRDefault="00116498">
      <w:pPr>
        <w:spacing w:line="360" w:lineRule="auto"/>
        <w:ind w:firstLine="720"/>
        <w:jc w:val="both"/>
        <w:rPr>
          <w:rFonts w:ascii="Times New Roman" w:hAnsi="Times New Roman"/>
          <w:sz w:val="28"/>
        </w:rPr>
      </w:pPr>
      <w:r>
        <w:rPr>
          <w:rFonts w:ascii="Times New Roman" w:hAnsi="Times New Roman"/>
          <w:sz w:val="28"/>
        </w:rPr>
        <w:t>Итак, можно находить на первый взгляд неожиданные формы сотрудничества, а на самом деле новые возможности финансирования спортивной индустрии.</w:t>
      </w:r>
    </w:p>
    <w:p w14:paraId="65DCEB28" w14:textId="77777777" w:rsidR="00116498" w:rsidRDefault="00116498">
      <w:pPr>
        <w:spacing w:line="360" w:lineRule="auto"/>
        <w:ind w:firstLine="720"/>
        <w:jc w:val="center"/>
        <w:rPr>
          <w:rFonts w:ascii="Times New Roman" w:hAnsi="Times New Roman"/>
          <w:b/>
          <w:sz w:val="36"/>
        </w:rPr>
      </w:pPr>
      <w:r>
        <w:rPr>
          <w:rFonts w:ascii="Times New Roman" w:hAnsi="Times New Roman"/>
          <w:sz w:val="28"/>
        </w:rPr>
        <w:br w:type="page"/>
      </w:r>
      <w:bookmarkStart w:id="12" w:name="лит"/>
      <w:r>
        <w:rPr>
          <w:rFonts w:ascii="Times New Roman" w:hAnsi="Times New Roman"/>
          <w:b/>
          <w:sz w:val="36"/>
        </w:rPr>
        <w:t>Список литературы</w:t>
      </w:r>
    </w:p>
    <w:bookmarkEnd w:id="12"/>
    <w:p w14:paraId="67363F63" w14:textId="77777777" w:rsidR="00116498" w:rsidRDefault="00116498">
      <w:pPr>
        <w:spacing w:line="360" w:lineRule="auto"/>
        <w:ind w:firstLine="720"/>
        <w:jc w:val="center"/>
        <w:rPr>
          <w:rFonts w:ascii="Times New Roman" w:hAnsi="Times New Roman"/>
          <w:b/>
          <w:sz w:val="36"/>
        </w:rPr>
      </w:pPr>
    </w:p>
    <w:p w14:paraId="272A9B59"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Журнал «Эксперт»,  19 февраля 2001 г.</w:t>
      </w:r>
    </w:p>
    <w:p w14:paraId="28966BC4"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Газета «Ведомости», 16 марта 2001 г.</w:t>
      </w:r>
    </w:p>
    <w:p w14:paraId="2DB10E27"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Газета «Ведомости», 6 марта 2001 г.</w:t>
      </w:r>
    </w:p>
    <w:p w14:paraId="7C78C0BC"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Газета «Спорт-экспресс», 21 февраля 2001 г.</w:t>
      </w:r>
    </w:p>
    <w:p w14:paraId="3F86F2F2"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Газета «Московские новости», 20-26 марта 2001 г.</w:t>
      </w:r>
    </w:p>
    <w:p w14:paraId="3722F120"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Журнал «Спартак», февраль 2001 г.</w:t>
      </w:r>
    </w:p>
    <w:p w14:paraId="52892FD7" w14:textId="77777777" w:rsidR="00116498" w:rsidRDefault="00116498">
      <w:pPr>
        <w:numPr>
          <w:ilvl w:val="0"/>
          <w:numId w:val="1"/>
        </w:numPr>
        <w:tabs>
          <w:tab w:val="clear" w:pos="360"/>
          <w:tab w:val="num" w:pos="1080"/>
        </w:tabs>
        <w:spacing w:line="360" w:lineRule="auto"/>
        <w:ind w:left="1080"/>
        <w:jc w:val="both"/>
        <w:rPr>
          <w:rFonts w:ascii="Times New Roman" w:hAnsi="Times New Roman"/>
          <w:sz w:val="28"/>
        </w:rPr>
      </w:pPr>
      <w:r>
        <w:rPr>
          <w:rFonts w:ascii="Times New Roman" w:hAnsi="Times New Roman"/>
          <w:sz w:val="28"/>
          <w:lang w:val="en-US"/>
        </w:rPr>
        <w:t xml:space="preserve">Consulting &amp; Business, </w:t>
      </w:r>
      <w:r>
        <w:rPr>
          <w:rFonts w:ascii="Times New Roman" w:hAnsi="Times New Roman"/>
          <w:sz w:val="28"/>
        </w:rPr>
        <w:t>№2 – 1998 г.</w:t>
      </w:r>
    </w:p>
    <w:sectPr w:rsidR="00116498">
      <w:headerReference w:type="even" r:id="rId10"/>
      <w:headerReference w:type="default" r:id="rId11"/>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730" w14:textId="77777777" w:rsidR="00690E00" w:rsidRDefault="00690E00">
      <w:r>
        <w:separator/>
      </w:r>
    </w:p>
  </w:endnote>
  <w:endnote w:type="continuationSeparator" w:id="0">
    <w:p w14:paraId="2B3B57AD" w14:textId="77777777" w:rsidR="00690E00" w:rsidRDefault="0069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7DB4" w14:textId="77777777" w:rsidR="00690E00" w:rsidRDefault="00690E00">
      <w:r>
        <w:separator/>
      </w:r>
    </w:p>
  </w:footnote>
  <w:footnote w:type="continuationSeparator" w:id="0">
    <w:p w14:paraId="7E892F9D" w14:textId="77777777" w:rsidR="00690E00" w:rsidRDefault="0069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16CD" w14:textId="77777777" w:rsidR="00116498" w:rsidRDefault="001164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DA17389" w14:textId="77777777" w:rsidR="00116498" w:rsidRDefault="0011649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15D3" w14:textId="77777777" w:rsidR="00116498" w:rsidRDefault="001164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E2297">
      <w:rPr>
        <w:rStyle w:val="a6"/>
        <w:noProof/>
      </w:rPr>
      <w:t>2</w:t>
    </w:r>
    <w:r>
      <w:rPr>
        <w:rStyle w:val="a6"/>
      </w:rPr>
      <w:fldChar w:fldCharType="end"/>
    </w:r>
  </w:p>
  <w:p w14:paraId="7290FF0A" w14:textId="77777777" w:rsidR="00116498" w:rsidRDefault="0011649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3E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72"/>
    <w:rsid w:val="00116498"/>
    <w:rsid w:val="002E2297"/>
    <w:rsid w:val="00690E00"/>
    <w:rsid w:val="00C61772"/>
    <w:rsid w:val="00F6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F13D"/>
  <w15:chartTrackingRefBased/>
  <w15:docId w15:val="{5237CC20-4C01-40ED-82EA-6A8992B7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Serif" w:hAnsi="MS Serif"/>
      <w:sz w:val="30"/>
    </w:rPr>
  </w:style>
  <w:style w:type="paragraph" w:styleId="1">
    <w:name w:val="heading 1"/>
    <w:basedOn w:val="a"/>
    <w:next w:val="a"/>
    <w:qFormat/>
    <w:pPr>
      <w:keepNext/>
      <w:spacing w:line="360" w:lineRule="auto"/>
      <w:ind w:firstLine="567"/>
      <w:jc w:val="center"/>
      <w:outlineLvl w:val="0"/>
    </w:pPr>
    <w:rPr>
      <w:b/>
    </w:rPr>
  </w:style>
  <w:style w:type="paragraph" w:styleId="2">
    <w:name w:val="heading 2"/>
    <w:basedOn w:val="a"/>
    <w:next w:val="a"/>
    <w:qFormat/>
    <w:pPr>
      <w:keepNext/>
      <w:jc w:val="center"/>
      <w:outlineLvl w:val="1"/>
    </w:pPr>
  </w:style>
  <w:style w:type="paragraph" w:styleId="3">
    <w:name w:val="heading 3"/>
    <w:basedOn w:val="a"/>
    <w:next w:val="a"/>
    <w:qFormat/>
    <w:pPr>
      <w:keepNext/>
      <w:jc w:val="center"/>
      <w:outlineLvl w:val="2"/>
    </w:pPr>
    <w:rPr>
      <w:rFonts w:ascii="Times New Roman" w:hAnsi="Times New Roman"/>
      <w:b/>
      <w:sz w:val="40"/>
    </w:rPr>
  </w:style>
  <w:style w:type="paragraph" w:styleId="4">
    <w:name w:val="heading 4"/>
    <w:basedOn w:val="a"/>
    <w:next w:val="a"/>
    <w:qFormat/>
    <w:pPr>
      <w:keepNext/>
      <w:ind w:left="5103"/>
      <w:jc w:val="both"/>
      <w:outlineLvl w:val="3"/>
    </w:pPr>
    <w:rPr>
      <w:rFonts w:ascii="Times New Roman" w:hAnsi="Times New Roman"/>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rPr>
  </w:style>
  <w:style w:type="paragraph" w:styleId="a4">
    <w:name w:val="Body Text Indent"/>
    <w:basedOn w:val="a"/>
    <w:pPr>
      <w:spacing w:line="360" w:lineRule="auto"/>
      <w:ind w:firstLine="720"/>
    </w:pPr>
  </w:style>
  <w:style w:type="paragraph" w:styleId="a5">
    <w:name w:val="header"/>
    <w:basedOn w:val="a"/>
    <w:pPr>
      <w:tabs>
        <w:tab w:val="center" w:pos="4153"/>
        <w:tab w:val="right" w:pos="8306"/>
      </w:tabs>
    </w:pPr>
  </w:style>
  <w:style w:type="character" w:styleId="a6">
    <w:name w:val="page number"/>
    <w:basedOn w:val="a0"/>
  </w:style>
  <w:style w:type="paragraph" w:styleId="20">
    <w:name w:val="Body Text Indent 2"/>
    <w:basedOn w:val="a"/>
    <w:pPr>
      <w:spacing w:line="360" w:lineRule="auto"/>
      <w:ind w:firstLine="567"/>
      <w:jc w:val="both"/>
    </w:pPr>
  </w:style>
  <w:style w:type="paragraph" w:styleId="a7">
    <w:name w:val="footer"/>
    <w:basedOn w:val="a"/>
    <w:pPr>
      <w:tabs>
        <w:tab w:val="center" w:pos="4153"/>
        <w:tab w:val="right" w:pos="8306"/>
      </w:tabs>
    </w:pPr>
  </w:style>
  <w:style w:type="paragraph" w:styleId="a8">
    <w:name w:val="Document Map"/>
    <w:basedOn w:val="a"/>
    <w:semiHidden/>
    <w:pPr>
      <w:shd w:val="clear" w:color="auto" w:fill="000080"/>
    </w:pPr>
    <w:rPr>
      <w:rFonts w:ascii="Tahoma" w:hAnsi="Tahoma"/>
    </w:rPr>
  </w:style>
  <w:style w:type="paragraph" w:customStyle="1" w:styleId="a9">
    <w:name w:val="Содержание"/>
    <w:basedOn w:val="1"/>
    <w:rPr>
      <w:rFonts w:ascii="Times New Roman" w:hAnsi="Times New Roman"/>
    </w:rPr>
  </w:style>
  <w:style w:type="character" w:styleId="aa">
    <w:name w:val="Hyperlink"/>
    <w:basedOn w:val="a0"/>
    <w:rPr>
      <w:color w:val="0000FF"/>
      <w:u w:val="single"/>
    </w:rPr>
  </w:style>
  <w:style w:type="character" w:styleId="ab">
    <w:name w:val="FollowedHyperlink"/>
    <w:basedOn w:val="a0"/>
    <w:rPr>
      <w:color w:val="800080"/>
      <w:u w:val="single"/>
    </w:rPr>
  </w:style>
  <w:style w:type="paragraph" w:styleId="30">
    <w:name w:val="Body Text Indent 3"/>
    <w:basedOn w:val="a"/>
    <w:pPr>
      <w:spacing w:line="360" w:lineRule="auto"/>
      <w:ind w:firstLine="720"/>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12" b="1" i="0" u="none" strike="noStrike" baseline="0">
                <a:solidFill>
                  <a:srgbClr val="000000"/>
                </a:solidFill>
                <a:latin typeface="Arial Cyr"/>
                <a:ea typeface="Arial Cyr"/>
                <a:cs typeface="Arial Cyr"/>
              </a:defRPr>
            </a:pPr>
            <a:r>
              <a:rPr lang="ru-RU"/>
              <a:t>Самый лучший клуб в Европе (результаты опроса)</a:t>
            </a:r>
          </a:p>
        </c:rich>
      </c:tx>
      <c:layout>
        <c:manualLayout>
          <c:xMode val="edge"/>
          <c:yMode val="edge"/>
          <c:x val="0.15727699530516431"/>
          <c:y val="2.1341463414634148E-2"/>
        </c:manualLayout>
      </c:layout>
      <c:overlay val="0"/>
      <c:spPr>
        <a:noFill/>
        <a:ln w="25625">
          <a:noFill/>
        </a:ln>
      </c:spPr>
    </c:title>
    <c:autoTitleDeleted val="0"/>
    <c:plotArea>
      <c:layout>
        <c:manualLayout>
          <c:layoutTarget val="inner"/>
          <c:xMode val="edge"/>
          <c:yMode val="edge"/>
          <c:x val="4.4600938967136149E-2"/>
          <c:y val="0.25"/>
          <c:w val="0.9061032863849765"/>
          <c:h val="0.43902439024390244"/>
        </c:manualLayout>
      </c:layout>
      <c:barChart>
        <c:barDir val="bar"/>
        <c:grouping val="clustered"/>
        <c:varyColors val="0"/>
        <c:ser>
          <c:idx val="0"/>
          <c:order val="0"/>
          <c:spPr>
            <a:solidFill>
              <a:srgbClr val="9999FF"/>
            </a:solidFill>
            <a:ln w="12813">
              <a:solidFill>
                <a:srgbClr val="000000"/>
              </a:solidFill>
              <a:prstDash val="solid"/>
            </a:ln>
          </c:spPr>
          <c:invertIfNegative val="0"/>
          <c:dLbls>
            <c:spPr>
              <a:noFill/>
              <a:ln w="25625">
                <a:noFill/>
              </a:ln>
            </c:spPr>
            <c:txPr>
              <a:bodyPr wrap="square" lIns="38100" tIns="19050" rIns="38100" bIns="19050" anchor="ctr">
                <a:spAutoFit/>
              </a:bodyPr>
              <a:lstStyle/>
              <a:p>
                <a:pPr>
                  <a:defRPr sz="1110" b="0" i="0" u="none" strike="noStrike" baseline="0">
                    <a:solidFill>
                      <a:srgbClr val="FF0000"/>
                    </a:solidFill>
                    <a:latin typeface="Times New Roman"/>
                    <a:ea typeface="Times New Roman"/>
                    <a:cs typeface="Times New Roman"/>
                  </a:defRPr>
                </a:pPr>
                <a:endParaRPr lang="ru-RU"/>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Лист1!$A$18:$A$22</c:f>
              <c:strCache>
                <c:ptCount val="5"/>
                <c:pt idx="0">
                  <c:v>Lazio</c:v>
                </c:pt>
                <c:pt idx="1">
                  <c:v>Bayern Munich</c:v>
                </c:pt>
                <c:pt idx="2">
                  <c:v>Juventus</c:v>
                </c:pt>
                <c:pt idx="3">
                  <c:v>Barcelona</c:v>
                </c:pt>
                <c:pt idx="4">
                  <c:v>Manchester United</c:v>
                </c:pt>
              </c:strCache>
            </c:strRef>
          </c:cat>
          <c:val>
            <c:numRef>
              <c:f>Лист1!$B$18:$B$22</c:f>
              <c:numCache>
                <c:formatCode>\О\с\н\о\в\н\о\й</c:formatCode>
                <c:ptCount val="5"/>
                <c:pt idx="0">
                  <c:v>10</c:v>
                </c:pt>
                <c:pt idx="1">
                  <c:v>13</c:v>
                </c:pt>
                <c:pt idx="2">
                  <c:v>15</c:v>
                </c:pt>
                <c:pt idx="3">
                  <c:v>18</c:v>
                </c:pt>
                <c:pt idx="4">
                  <c:v>43</c:v>
                </c:pt>
              </c:numCache>
            </c:numRef>
          </c:val>
          <c:extLst>
            <c:ext xmlns:c16="http://schemas.microsoft.com/office/drawing/2014/chart" uri="{C3380CC4-5D6E-409C-BE32-E72D297353CC}">
              <c16:uniqueId val="{00000000-6B0E-415E-8A8F-389A9CA7F6BC}"/>
            </c:ext>
          </c:extLst>
        </c:ser>
        <c:dLbls>
          <c:showLegendKey val="0"/>
          <c:showVal val="0"/>
          <c:showCatName val="1"/>
          <c:showSerName val="0"/>
          <c:showPercent val="0"/>
          <c:showBubbleSize val="0"/>
        </c:dLbls>
        <c:gapWidth val="150"/>
        <c:axId val="1125985375"/>
        <c:axId val="1"/>
      </c:barChart>
      <c:catAx>
        <c:axId val="1125985375"/>
        <c:scaling>
          <c:orientation val="minMax"/>
        </c:scaling>
        <c:delete val="1"/>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majorGridlines>
          <c:spPr>
            <a:ln w="3203">
              <a:solidFill>
                <a:srgbClr val="003300"/>
              </a:solidFill>
              <a:prstDash val="sysDash"/>
            </a:ln>
          </c:spPr>
        </c:majorGridlines>
        <c:title>
          <c:tx>
            <c:rich>
              <a:bodyPr/>
              <a:lstStyle/>
              <a:p>
                <a:pPr>
                  <a:defRPr sz="807" b="0" i="0" u="none" strike="noStrike" baseline="0">
                    <a:solidFill>
                      <a:srgbClr val="000000"/>
                    </a:solidFill>
                    <a:latin typeface="Arial Cyr"/>
                    <a:ea typeface="Arial Cyr"/>
                    <a:cs typeface="Arial Cyr"/>
                  </a:defRPr>
                </a:pPr>
                <a:r>
                  <a:rPr lang="ru-RU"/>
                  <a:t>&gt;&gt;&gt; % от числа опрошенных. Опрос проводился в шести странах Европы среди 7303 человек</a:t>
                </a:r>
              </a:p>
            </c:rich>
          </c:tx>
          <c:layout>
            <c:manualLayout>
              <c:xMode val="edge"/>
              <c:yMode val="edge"/>
              <c:x val="7.0422535211267607E-3"/>
              <c:y val="0.79268292682926833"/>
            </c:manualLayout>
          </c:layout>
          <c:overlay val="0"/>
          <c:spPr>
            <a:noFill/>
            <a:ln w="25625">
              <a:noFill/>
            </a:ln>
          </c:spPr>
        </c:title>
        <c:numFmt formatCode="\О\с\н\о\в\н\о\й" sourceLinked="1"/>
        <c:majorTickMark val="out"/>
        <c:minorTickMark val="none"/>
        <c:tickLblPos val="nextTo"/>
        <c:spPr>
          <a:ln w="3203">
            <a:solidFill>
              <a:srgbClr val="000000"/>
            </a:solidFill>
            <a:prstDash val="solid"/>
          </a:ln>
        </c:spPr>
        <c:txPr>
          <a:bodyPr rot="0" vert="horz"/>
          <a:lstStyle/>
          <a:p>
            <a:pPr>
              <a:defRPr sz="1160" b="0" i="0" u="none" strike="noStrike" baseline="0">
                <a:solidFill>
                  <a:srgbClr val="000000"/>
                </a:solidFill>
                <a:latin typeface="Arial Cyr"/>
                <a:ea typeface="Arial Cyr"/>
                <a:cs typeface="Arial Cyr"/>
              </a:defRPr>
            </a:pPr>
            <a:endParaRPr lang="ru-RU"/>
          </a:p>
        </c:txPr>
        <c:crossAx val="1125985375"/>
        <c:crosses val="autoZero"/>
        <c:crossBetween val="between"/>
      </c:valAx>
      <c:spPr>
        <a:solidFill>
          <a:srgbClr val="FFFFFF"/>
        </a:solidFill>
        <a:ln w="12813">
          <a:solidFill>
            <a:srgbClr val="808080"/>
          </a:solidFill>
          <a:prstDash val="solid"/>
        </a:ln>
      </c:spPr>
    </c:plotArea>
    <c:plotVisOnly val="1"/>
    <c:dispBlanksAs val="gap"/>
    <c:showDLblsOverMax val="0"/>
  </c:chart>
  <c:spPr>
    <a:solidFill>
      <a:srgbClr val="FFFFFF"/>
    </a:solidFill>
    <a:ln w="3203">
      <a:solidFill>
        <a:srgbClr val="000000"/>
      </a:solidFill>
      <a:prstDash val="solid"/>
    </a:ln>
  </c:spPr>
  <c:txPr>
    <a:bodyPr/>
    <a:lstStyle/>
    <a:p>
      <a:pPr>
        <a:defRPr sz="116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9" b="1" i="0" u="none" strike="noStrike" baseline="0">
                <a:solidFill>
                  <a:srgbClr val="000000"/>
                </a:solidFill>
                <a:latin typeface="Arial Cyr"/>
                <a:ea typeface="Arial Cyr"/>
                <a:cs typeface="Arial Cyr"/>
              </a:defRPr>
            </a:pPr>
            <a:r>
              <a:rPr lang="ru-RU"/>
              <a:t>Финансовый оборот клубов анлийской премьер-лиги</a:t>
            </a:r>
          </a:p>
        </c:rich>
      </c:tx>
      <c:layout>
        <c:manualLayout>
          <c:xMode val="edge"/>
          <c:yMode val="edge"/>
          <c:x val="0.10893246187363835"/>
          <c:y val="1.9867549668874173E-2"/>
        </c:manualLayout>
      </c:layout>
      <c:overlay val="0"/>
      <c:spPr>
        <a:noFill/>
        <a:ln w="29949">
          <a:noFill/>
        </a:ln>
      </c:spPr>
    </c:title>
    <c:autoTitleDeleted val="0"/>
    <c:plotArea>
      <c:layout>
        <c:manualLayout>
          <c:layoutTarget val="inner"/>
          <c:xMode val="edge"/>
          <c:yMode val="edge"/>
          <c:x val="5.8823529411764705E-2"/>
          <c:y val="0.11479028697571744"/>
          <c:w val="0.88671023965141615"/>
          <c:h val="0.73730684326710816"/>
        </c:manualLayout>
      </c:layout>
      <c:barChart>
        <c:barDir val="bar"/>
        <c:grouping val="clustered"/>
        <c:varyColors val="0"/>
        <c:ser>
          <c:idx val="0"/>
          <c:order val="0"/>
          <c:spPr>
            <a:solidFill>
              <a:srgbClr val="000080"/>
            </a:solidFill>
            <a:ln w="14975">
              <a:solidFill>
                <a:srgbClr val="000000"/>
              </a:solidFill>
              <a:prstDash val="solid"/>
            </a:ln>
          </c:spPr>
          <c:invertIfNegative val="0"/>
          <c:dLbls>
            <c:dLbl>
              <c:idx val="14"/>
              <c:layout>
                <c:manualLayout>
                  <c:xMode val="edge"/>
                  <c:yMode val="edge"/>
                  <c:x val="0.19825708061002179"/>
                  <c:y val="0.23620309050772628"/>
                </c:manualLayout>
              </c:layout>
              <c:spPr>
                <a:noFill/>
                <a:ln w="29949">
                  <a:noFill/>
                </a:ln>
              </c:spPr>
              <c:txPr>
                <a:bodyPr/>
                <a:lstStyle/>
                <a:p>
                  <a:pPr>
                    <a:defRPr sz="943"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FC-4D4D-B4F2-671C87D89179}"/>
                </c:ext>
              </c:extLst>
            </c:dLbl>
            <c:dLbl>
              <c:idx val="17"/>
              <c:layout>
                <c:manualLayout>
                  <c:xMode val="edge"/>
                  <c:yMode val="edge"/>
                  <c:x val="0.16775599128540306"/>
                  <c:y val="0.10816777041942605"/>
                </c:manualLayout>
              </c:layout>
              <c:spPr>
                <a:noFill/>
                <a:ln w="29949">
                  <a:noFill/>
                </a:ln>
              </c:spPr>
              <c:txPr>
                <a:bodyPr/>
                <a:lstStyle/>
                <a:p>
                  <a:pPr>
                    <a:defRPr sz="943"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FC-4D4D-B4F2-671C87D89179}"/>
                </c:ext>
              </c:extLst>
            </c:dLbl>
            <c:spPr>
              <a:noFill/>
              <a:ln w="29949">
                <a:noFill/>
              </a:ln>
            </c:spPr>
            <c:txPr>
              <a:bodyPr wrap="square" lIns="38100" tIns="19050" rIns="38100" bIns="19050" anchor="ctr">
                <a:spAutoFit/>
              </a:bodyPr>
              <a:lstStyle/>
              <a:p>
                <a:pPr>
                  <a:defRPr sz="943"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Лист1!$A$1:$A$18</c:f>
              <c:strCache>
                <c:ptCount val="18"/>
                <c:pt idx="0">
                  <c:v>Manchester United</c:v>
                </c:pt>
                <c:pt idx="1">
                  <c:v>Chelsea</c:v>
                </c:pt>
                <c:pt idx="2">
                  <c:v>Arsenal</c:v>
                </c:pt>
                <c:pt idx="3">
                  <c:v>Liverpool</c:v>
                </c:pt>
                <c:pt idx="4">
                  <c:v>Newcastle United</c:v>
                </c:pt>
                <c:pt idx="5">
                  <c:v>Tottenham Hotsupur</c:v>
                </c:pt>
                <c:pt idx="6">
                  <c:v>Leeds United</c:v>
                </c:pt>
                <c:pt idx="7">
                  <c:v>Aston Villa</c:v>
                </c:pt>
                <c:pt idx="8">
                  <c:v>Middlesbrough</c:v>
                </c:pt>
                <c:pt idx="9">
                  <c:v>West Ham United</c:v>
                </c:pt>
                <c:pt idx="10">
                  <c:v>Everton</c:v>
                </c:pt>
                <c:pt idx="11">
                  <c:v>Leicester City</c:v>
                </c:pt>
                <c:pt idx="12">
                  <c:v>Derby County</c:v>
                </c:pt>
                <c:pt idx="13">
                  <c:v>Sheffield Wednesday</c:v>
                </c:pt>
                <c:pt idx="14">
                  <c:v>Coventry City</c:v>
                </c:pt>
                <c:pt idx="15">
                  <c:v>Charlton Athletic</c:v>
                </c:pt>
                <c:pt idx="16">
                  <c:v>Wimbledon</c:v>
                </c:pt>
                <c:pt idx="17">
                  <c:v>Southampton</c:v>
                </c:pt>
              </c:strCache>
            </c:strRef>
          </c:cat>
          <c:val>
            <c:numRef>
              <c:f>Лист1!$B$1:$B$18</c:f>
              <c:numCache>
                <c:formatCode>\О\с\н\о\в\н\о\й</c:formatCode>
                <c:ptCount val="18"/>
                <c:pt idx="0">
                  <c:v>170</c:v>
                </c:pt>
                <c:pt idx="1">
                  <c:v>90</c:v>
                </c:pt>
                <c:pt idx="2">
                  <c:v>75</c:v>
                </c:pt>
                <c:pt idx="3">
                  <c:v>70</c:v>
                </c:pt>
                <c:pt idx="4">
                  <c:v>67</c:v>
                </c:pt>
                <c:pt idx="5">
                  <c:v>63</c:v>
                </c:pt>
                <c:pt idx="6">
                  <c:v>58</c:v>
                </c:pt>
                <c:pt idx="7">
                  <c:v>55</c:v>
                </c:pt>
                <c:pt idx="8">
                  <c:v>44</c:v>
                </c:pt>
                <c:pt idx="9">
                  <c:v>41</c:v>
                </c:pt>
                <c:pt idx="10">
                  <c:v>39</c:v>
                </c:pt>
                <c:pt idx="11">
                  <c:v>37</c:v>
                </c:pt>
                <c:pt idx="12">
                  <c:v>33</c:v>
                </c:pt>
                <c:pt idx="13">
                  <c:v>31</c:v>
                </c:pt>
                <c:pt idx="14">
                  <c:v>30</c:v>
                </c:pt>
                <c:pt idx="15">
                  <c:v>26</c:v>
                </c:pt>
                <c:pt idx="16">
                  <c:v>24.7</c:v>
                </c:pt>
                <c:pt idx="17">
                  <c:v>20</c:v>
                </c:pt>
              </c:numCache>
            </c:numRef>
          </c:val>
          <c:extLst>
            <c:ext xmlns:c16="http://schemas.microsoft.com/office/drawing/2014/chart" uri="{C3380CC4-5D6E-409C-BE32-E72D297353CC}">
              <c16:uniqueId val="{00000002-FFFC-4D4D-B4F2-671C87D89179}"/>
            </c:ext>
          </c:extLst>
        </c:ser>
        <c:dLbls>
          <c:showLegendKey val="0"/>
          <c:showVal val="0"/>
          <c:showCatName val="1"/>
          <c:showSerName val="0"/>
          <c:showPercent val="0"/>
          <c:showBubbleSize val="0"/>
        </c:dLbls>
        <c:gapWidth val="200"/>
        <c:axId val="1125982463"/>
        <c:axId val="1"/>
      </c:barChart>
      <c:catAx>
        <c:axId val="1125982463"/>
        <c:scaling>
          <c:orientation val="minMax"/>
        </c:scaling>
        <c:delete val="1"/>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majorGridlines>
          <c:spPr>
            <a:ln w="3744">
              <a:solidFill>
                <a:srgbClr val="000000"/>
              </a:solidFill>
              <a:prstDash val="solid"/>
            </a:ln>
          </c:spPr>
        </c:majorGridlines>
        <c:title>
          <c:tx>
            <c:rich>
              <a:bodyPr/>
              <a:lstStyle/>
              <a:p>
                <a:pPr>
                  <a:defRPr sz="943" b="0" i="0" u="none" strike="noStrike" baseline="0">
                    <a:solidFill>
                      <a:srgbClr val="000000"/>
                    </a:solidFill>
                    <a:latin typeface="Times New Roman"/>
                    <a:ea typeface="Times New Roman"/>
                    <a:cs typeface="Times New Roman"/>
                  </a:defRPr>
                </a:pPr>
                <a:r>
                  <a:rPr lang="ru-RU"/>
                  <a:t>сезон 1998/99, млн $</a:t>
                </a:r>
              </a:p>
            </c:rich>
          </c:tx>
          <c:layout>
            <c:manualLayout>
              <c:xMode val="edge"/>
              <c:yMode val="edge"/>
              <c:x val="0.38562091503267976"/>
              <c:y val="0.92935982339955847"/>
            </c:manualLayout>
          </c:layout>
          <c:overlay val="0"/>
          <c:spPr>
            <a:noFill/>
            <a:ln w="29949">
              <a:noFill/>
            </a:ln>
          </c:spPr>
        </c:title>
        <c:numFmt formatCode="\О\с\н\о\в\н\о\й" sourceLinked="1"/>
        <c:majorTickMark val="out"/>
        <c:minorTickMark val="none"/>
        <c:tickLblPos val="nextTo"/>
        <c:spPr>
          <a:ln w="3744">
            <a:solidFill>
              <a:srgbClr val="000000"/>
            </a:solidFill>
            <a:prstDash val="solid"/>
          </a:ln>
        </c:spPr>
        <c:txPr>
          <a:bodyPr rot="0" vert="horz"/>
          <a:lstStyle/>
          <a:p>
            <a:pPr>
              <a:defRPr sz="1415" b="0" i="0" u="none" strike="noStrike" baseline="0">
                <a:solidFill>
                  <a:srgbClr val="000000"/>
                </a:solidFill>
                <a:latin typeface="Arial Cyr"/>
                <a:ea typeface="Arial Cyr"/>
                <a:cs typeface="Arial Cyr"/>
              </a:defRPr>
            </a:pPr>
            <a:endParaRPr lang="ru-RU"/>
          </a:p>
        </c:txPr>
        <c:crossAx val="1125982463"/>
        <c:crosses val="autoZero"/>
        <c:crossBetween val="between"/>
      </c:valAx>
      <c:spPr>
        <a:gradFill rotWithShape="0">
          <a:gsLst>
            <a:gs pos="0">
              <a:srgbClr val="5E9EFF"/>
            </a:gs>
            <a:gs pos="39999">
              <a:srgbClr val="85C2FF"/>
            </a:gs>
            <a:gs pos="70000">
              <a:srgbClr val="C4D6EB"/>
            </a:gs>
            <a:gs pos="100000">
              <a:srgbClr val="FFEBFA"/>
            </a:gs>
          </a:gsLst>
          <a:path path="rect">
            <a:fillToRect l="100000" b="100000"/>
          </a:path>
        </a:gradFill>
        <a:ln w="14975">
          <a:solidFill>
            <a:srgbClr val="C0C0C0"/>
          </a:solidFill>
          <a:prstDash val="solid"/>
        </a:ln>
      </c:spPr>
    </c:plotArea>
    <c:plotVisOnly val="1"/>
    <c:dispBlanksAs val="gap"/>
    <c:showDLblsOverMax val="0"/>
  </c:chart>
  <c:spPr>
    <a:solidFill>
      <a:srgbClr val="FFFFFF"/>
    </a:solidFill>
    <a:ln w="3744">
      <a:solidFill>
        <a:srgbClr val="000000"/>
      </a:solidFill>
      <a:prstDash val="solid"/>
    </a:ln>
  </c:spPr>
  <c:txPr>
    <a:bodyPr/>
    <a:lstStyle/>
    <a:p>
      <a:pPr>
        <a:defRPr sz="141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3" b="1" i="0" u="none" strike="noStrike" baseline="0">
                <a:solidFill>
                  <a:srgbClr val="000000"/>
                </a:solidFill>
                <a:latin typeface="Times New Roman"/>
                <a:ea typeface="Times New Roman"/>
                <a:cs typeface="Times New Roman"/>
              </a:defRPr>
            </a:pPr>
            <a:r>
              <a:rPr lang="ru-RU"/>
              <a:t>Профицит бюджета клубов анлийской премьер-лиги</a:t>
            </a:r>
          </a:p>
        </c:rich>
      </c:tx>
      <c:layout>
        <c:manualLayout>
          <c:xMode val="edge"/>
          <c:yMode val="edge"/>
          <c:x val="0.17211328976034859"/>
          <c:y val="1.9867549668874173E-2"/>
        </c:manualLayout>
      </c:layout>
      <c:overlay val="0"/>
      <c:spPr>
        <a:noFill/>
        <a:ln w="30557">
          <a:noFill/>
        </a:ln>
      </c:spPr>
    </c:title>
    <c:autoTitleDeleted val="0"/>
    <c:plotArea>
      <c:layout>
        <c:manualLayout>
          <c:layoutTarget val="inner"/>
          <c:xMode val="edge"/>
          <c:yMode val="edge"/>
          <c:x val="5.2287581699346407E-2"/>
          <c:y val="7.9470198675496692E-2"/>
          <c:w val="0.91938997821350765"/>
          <c:h val="0.78587196467991172"/>
        </c:manualLayout>
      </c:layout>
      <c:barChart>
        <c:barDir val="bar"/>
        <c:grouping val="clustered"/>
        <c:varyColors val="0"/>
        <c:ser>
          <c:idx val="0"/>
          <c:order val="0"/>
          <c:spPr>
            <a:solidFill>
              <a:srgbClr val="FFFF00"/>
            </a:solidFill>
            <a:ln w="15279">
              <a:solidFill>
                <a:srgbClr val="000000"/>
              </a:solidFill>
              <a:prstDash val="solid"/>
            </a:ln>
          </c:spPr>
          <c:invertIfNegative val="0"/>
          <c:dLbls>
            <c:dLbl>
              <c:idx val="14"/>
              <c:layout>
                <c:manualLayout>
                  <c:xMode val="edge"/>
                  <c:yMode val="edge"/>
                  <c:x val="0.44880174291938996"/>
                  <c:y val="0.19205298013245034"/>
                </c:manualLayout>
              </c:layout>
              <c:spPr>
                <a:noFill/>
                <a:ln w="30557">
                  <a:noFill/>
                </a:ln>
              </c:spPr>
              <c:txPr>
                <a:bodyPr/>
                <a:lstStyle/>
                <a:p>
                  <a:pPr>
                    <a:defRPr sz="962"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8E-4056-B4BE-39D4350E7046}"/>
                </c:ext>
              </c:extLst>
            </c:dLbl>
            <c:dLbl>
              <c:idx val="17"/>
              <c:layout>
                <c:manualLayout>
                  <c:xMode val="edge"/>
                  <c:yMode val="edge"/>
                  <c:x val="0.85403050108932466"/>
                  <c:y val="5.7395143487858721E-2"/>
                </c:manualLayout>
              </c:layout>
              <c:spPr>
                <a:noFill/>
                <a:ln w="30557">
                  <a:noFill/>
                </a:ln>
              </c:spPr>
              <c:txPr>
                <a:bodyPr/>
                <a:lstStyle/>
                <a:p>
                  <a:pPr>
                    <a:defRPr sz="962"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8E-4056-B4BE-39D4350E7046}"/>
                </c:ext>
              </c:extLst>
            </c:dLbl>
            <c:spPr>
              <a:noFill/>
              <a:ln w="30557">
                <a:noFill/>
              </a:ln>
            </c:spPr>
            <c:txPr>
              <a:bodyPr wrap="square" lIns="38100" tIns="19050" rIns="38100" bIns="19050" anchor="ctr">
                <a:spAutoFit/>
              </a:bodyPr>
              <a:lstStyle/>
              <a:p>
                <a:pPr>
                  <a:defRPr sz="962"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Лист1!$A$1:$A$18</c:f>
              <c:strCache>
                <c:ptCount val="18"/>
                <c:pt idx="0">
                  <c:v>Everton</c:v>
                </c:pt>
                <c:pt idx="1">
                  <c:v>Liverpool</c:v>
                </c:pt>
                <c:pt idx="2">
                  <c:v>Southampton</c:v>
                </c:pt>
                <c:pt idx="3">
                  <c:v>Leicester City</c:v>
                </c:pt>
                <c:pt idx="4">
                  <c:v>Wimbledon</c:v>
                </c:pt>
                <c:pt idx="5">
                  <c:v>Sheffield Wednesday</c:v>
                </c:pt>
                <c:pt idx="6">
                  <c:v>Coventry City</c:v>
                </c:pt>
                <c:pt idx="7">
                  <c:v>Derby County</c:v>
                </c:pt>
                <c:pt idx="8">
                  <c:v>West Ham United</c:v>
                </c:pt>
                <c:pt idx="9">
                  <c:v>Middlesbrough</c:v>
                </c:pt>
                <c:pt idx="10">
                  <c:v>Charlton Athletic</c:v>
                </c:pt>
                <c:pt idx="11">
                  <c:v>Newcastle United</c:v>
                </c:pt>
                <c:pt idx="12">
                  <c:v>Leeds United</c:v>
                </c:pt>
                <c:pt idx="13">
                  <c:v>Arsenal</c:v>
                </c:pt>
                <c:pt idx="14">
                  <c:v>Tottenham Hotsupur</c:v>
                </c:pt>
                <c:pt idx="15">
                  <c:v>Aston Villa</c:v>
                </c:pt>
                <c:pt idx="16">
                  <c:v>Chelsea</c:v>
                </c:pt>
                <c:pt idx="17">
                  <c:v>Manchester United</c:v>
                </c:pt>
              </c:strCache>
            </c:strRef>
          </c:cat>
          <c:val>
            <c:numRef>
              <c:f>Лист1!$B$1:$B$18</c:f>
              <c:numCache>
                <c:formatCode>\О\с\н\о\в\н\о\й</c:formatCode>
                <c:ptCount val="18"/>
                <c:pt idx="0">
                  <c:v>-7</c:v>
                </c:pt>
                <c:pt idx="1">
                  <c:v>-5</c:v>
                </c:pt>
                <c:pt idx="2">
                  <c:v>-3</c:v>
                </c:pt>
                <c:pt idx="3">
                  <c:v>-2</c:v>
                </c:pt>
                <c:pt idx="4">
                  <c:v>0.25</c:v>
                </c:pt>
                <c:pt idx="5">
                  <c:v>2</c:v>
                </c:pt>
                <c:pt idx="6">
                  <c:v>3</c:v>
                </c:pt>
                <c:pt idx="7">
                  <c:v>3</c:v>
                </c:pt>
                <c:pt idx="8">
                  <c:v>3</c:v>
                </c:pt>
                <c:pt idx="9">
                  <c:v>4</c:v>
                </c:pt>
                <c:pt idx="10">
                  <c:v>5</c:v>
                </c:pt>
                <c:pt idx="11">
                  <c:v>6</c:v>
                </c:pt>
                <c:pt idx="12">
                  <c:v>10</c:v>
                </c:pt>
                <c:pt idx="13">
                  <c:v>12</c:v>
                </c:pt>
                <c:pt idx="14">
                  <c:v>14</c:v>
                </c:pt>
                <c:pt idx="15">
                  <c:v>15</c:v>
                </c:pt>
                <c:pt idx="16">
                  <c:v>15</c:v>
                </c:pt>
                <c:pt idx="17">
                  <c:v>48</c:v>
                </c:pt>
              </c:numCache>
            </c:numRef>
          </c:val>
          <c:extLst>
            <c:ext xmlns:c16="http://schemas.microsoft.com/office/drawing/2014/chart" uri="{C3380CC4-5D6E-409C-BE32-E72D297353CC}">
              <c16:uniqueId val="{00000002-D18E-4056-B4BE-39D4350E7046}"/>
            </c:ext>
          </c:extLst>
        </c:ser>
        <c:dLbls>
          <c:showLegendKey val="0"/>
          <c:showVal val="0"/>
          <c:showCatName val="1"/>
          <c:showSerName val="0"/>
          <c:showPercent val="0"/>
          <c:showBubbleSize val="0"/>
        </c:dLbls>
        <c:gapWidth val="200"/>
        <c:axId val="1125982047"/>
        <c:axId val="1"/>
      </c:barChart>
      <c:catAx>
        <c:axId val="1125982047"/>
        <c:scaling>
          <c:orientation val="minMax"/>
        </c:scaling>
        <c:delete val="1"/>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majorGridlines>
          <c:spPr>
            <a:ln w="3820">
              <a:solidFill>
                <a:srgbClr val="000000"/>
              </a:solidFill>
              <a:prstDash val="sysDash"/>
            </a:ln>
          </c:spPr>
        </c:majorGridlines>
        <c:title>
          <c:tx>
            <c:rich>
              <a:bodyPr/>
              <a:lstStyle/>
              <a:p>
                <a:pPr>
                  <a:defRPr sz="752" b="1" i="0" u="none" strike="noStrike" baseline="0">
                    <a:solidFill>
                      <a:srgbClr val="000000"/>
                    </a:solidFill>
                    <a:latin typeface="Arial Cyr"/>
                    <a:ea typeface="Arial Cyr"/>
                    <a:cs typeface="Arial Cyr"/>
                  </a:defRPr>
                </a:pPr>
                <a:r>
                  <a:rPr lang="ru-RU"/>
                  <a:t>сезон 1998/99, млн $</a:t>
                </a:r>
              </a:p>
            </c:rich>
          </c:tx>
          <c:layout>
            <c:manualLayout>
              <c:xMode val="edge"/>
              <c:yMode val="edge"/>
              <c:x val="0.42483660130718953"/>
              <c:y val="0.94260485651214132"/>
            </c:manualLayout>
          </c:layout>
          <c:overlay val="0"/>
          <c:spPr>
            <a:noFill/>
            <a:ln w="30557">
              <a:noFill/>
            </a:ln>
          </c:spPr>
        </c:title>
        <c:numFmt formatCode="\О\с\н\о\в\н\о\й" sourceLinked="1"/>
        <c:majorTickMark val="out"/>
        <c:minorTickMark val="none"/>
        <c:tickLblPos val="nextTo"/>
        <c:spPr>
          <a:ln w="3820">
            <a:solidFill>
              <a:srgbClr val="000000"/>
            </a:solidFill>
            <a:prstDash val="solid"/>
          </a:ln>
        </c:spPr>
        <c:txPr>
          <a:bodyPr rot="0" vert="horz"/>
          <a:lstStyle/>
          <a:p>
            <a:pPr>
              <a:defRPr sz="1444" b="0" i="0" u="none" strike="noStrike" baseline="0">
                <a:solidFill>
                  <a:srgbClr val="000000"/>
                </a:solidFill>
                <a:latin typeface="Arial Cyr"/>
                <a:ea typeface="Arial Cyr"/>
                <a:cs typeface="Arial Cyr"/>
              </a:defRPr>
            </a:pPr>
            <a:endParaRPr lang="ru-RU"/>
          </a:p>
        </c:txPr>
        <c:crossAx val="1125982047"/>
        <c:crosses val="autoZero"/>
        <c:crossBetween val="between"/>
      </c:valAx>
      <c:spPr>
        <a:gradFill rotWithShape="0">
          <a:gsLst>
            <a:gs pos="0">
              <a:srgbClr val="CCCCFF"/>
            </a:gs>
            <a:gs pos="17999">
              <a:srgbClr val="99CCFF"/>
            </a:gs>
            <a:gs pos="36000">
              <a:srgbClr val="9966FF"/>
            </a:gs>
            <a:gs pos="61000">
              <a:srgbClr val="CC99FF"/>
            </a:gs>
            <a:gs pos="82001">
              <a:srgbClr val="99CCFF"/>
            </a:gs>
            <a:gs pos="100000">
              <a:srgbClr val="CCCCFF"/>
            </a:gs>
          </a:gsLst>
          <a:path path="rect">
            <a:fillToRect l="100000" b="100000"/>
          </a:path>
        </a:gradFill>
        <a:ln w="15279">
          <a:solidFill>
            <a:srgbClr val="C0C0C0"/>
          </a:solidFill>
          <a:prstDash val="solid"/>
        </a:ln>
      </c:spPr>
    </c:plotArea>
    <c:plotVisOnly val="1"/>
    <c:dispBlanksAs val="gap"/>
    <c:showDLblsOverMax val="0"/>
  </c:chart>
  <c:spPr>
    <a:solidFill>
      <a:srgbClr val="FFFFFF"/>
    </a:solidFill>
    <a:ln w="3820">
      <a:solidFill>
        <a:srgbClr val="000000"/>
      </a:solidFill>
      <a:prstDash val="solid"/>
    </a:ln>
  </c:spPr>
  <c:txPr>
    <a:bodyPr/>
    <a:lstStyle/>
    <a:p>
      <a:pPr>
        <a:defRPr sz="1444"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Футбол</vt:lpstr>
    </vt:vector>
  </TitlesOfParts>
  <Company>Дом родной</Company>
  <LinksUpToDate>false</LinksUpToDate>
  <CharactersWithSpaces>21167</CharactersWithSpaces>
  <SharedDoc>false</SharedDoc>
  <HLinks>
    <vt:vector size="60" baseType="variant">
      <vt:variant>
        <vt:i4>70779963</vt:i4>
      </vt:variant>
      <vt:variant>
        <vt:i4>27</vt:i4>
      </vt:variant>
      <vt:variant>
        <vt:i4>0</vt:i4>
      </vt:variant>
      <vt:variant>
        <vt:i4>5</vt:i4>
      </vt:variant>
      <vt:variant>
        <vt:lpwstr/>
      </vt:variant>
      <vt:variant>
        <vt:lpwstr>лит</vt:lpwstr>
      </vt:variant>
      <vt:variant>
        <vt:i4>71566414</vt:i4>
      </vt:variant>
      <vt:variant>
        <vt:i4>24</vt:i4>
      </vt:variant>
      <vt:variant>
        <vt:i4>0</vt:i4>
      </vt:variant>
      <vt:variant>
        <vt:i4>5</vt:i4>
      </vt:variant>
      <vt:variant>
        <vt:lpwstr/>
      </vt:variant>
      <vt:variant>
        <vt:lpwstr>заключение</vt:lpwstr>
      </vt:variant>
      <vt:variant>
        <vt:i4>70255673</vt:i4>
      </vt:variant>
      <vt:variant>
        <vt:i4>21</vt:i4>
      </vt:variant>
      <vt:variant>
        <vt:i4>0</vt:i4>
      </vt:variant>
      <vt:variant>
        <vt:i4>5</vt:i4>
      </vt:variant>
      <vt:variant>
        <vt:lpwstr/>
      </vt:variant>
      <vt:variant>
        <vt:lpwstr>россия</vt:lpwstr>
      </vt:variant>
      <vt:variant>
        <vt:i4>72287292</vt:i4>
      </vt:variant>
      <vt:variant>
        <vt:i4>18</vt:i4>
      </vt:variant>
      <vt:variant>
        <vt:i4>0</vt:i4>
      </vt:variant>
      <vt:variant>
        <vt:i4>5</vt:i4>
      </vt:variant>
      <vt:variant>
        <vt:lpwstr/>
      </vt:variant>
      <vt:variant>
        <vt:lpwstr>спонсорство</vt:lpwstr>
      </vt:variant>
      <vt:variant>
        <vt:i4>72287300</vt:i4>
      </vt:variant>
      <vt:variant>
        <vt:i4>15</vt:i4>
      </vt:variant>
      <vt:variant>
        <vt:i4>0</vt:i4>
      </vt:variant>
      <vt:variant>
        <vt:i4>5</vt:i4>
      </vt:variant>
      <vt:variant>
        <vt:lpwstr/>
      </vt:variant>
      <vt:variant>
        <vt:lpwstr>трансляция</vt:lpwstr>
      </vt:variant>
      <vt:variant>
        <vt:i4>7667838</vt:i4>
      </vt:variant>
      <vt:variant>
        <vt:i4>12</vt:i4>
      </vt:variant>
      <vt:variant>
        <vt:i4>0</vt:i4>
      </vt:variant>
      <vt:variant>
        <vt:i4>5</vt:i4>
      </vt:variant>
      <vt:variant>
        <vt:lpwstr/>
      </vt:variant>
      <vt:variant>
        <vt:lpwstr>еврокубки</vt:lpwstr>
      </vt:variant>
      <vt:variant>
        <vt:i4>327691</vt:i4>
      </vt:variant>
      <vt:variant>
        <vt:i4>9</vt:i4>
      </vt:variant>
      <vt:variant>
        <vt:i4>0</vt:i4>
      </vt:variant>
      <vt:variant>
        <vt:i4>5</vt:i4>
      </vt:variant>
      <vt:variant>
        <vt:lpwstr/>
      </vt:variant>
      <vt:variant>
        <vt:lpwstr>букмекеры</vt:lpwstr>
      </vt:variant>
      <vt:variant>
        <vt:i4>131190</vt:i4>
      </vt:variant>
      <vt:variant>
        <vt:i4>6</vt:i4>
      </vt:variant>
      <vt:variant>
        <vt:i4>0</vt:i4>
      </vt:variant>
      <vt:variant>
        <vt:i4>5</vt:i4>
      </vt:variant>
      <vt:variant>
        <vt:lpwstr/>
      </vt:variant>
      <vt:variant>
        <vt:lpwstr>акции</vt:lpwstr>
      </vt:variant>
      <vt:variant>
        <vt:i4>71894072</vt:i4>
      </vt:variant>
      <vt:variant>
        <vt:i4>3</vt:i4>
      </vt:variant>
      <vt:variant>
        <vt:i4>0</vt:i4>
      </vt:variant>
      <vt:variant>
        <vt:i4>5</vt:i4>
      </vt:variant>
      <vt:variant>
        <vt:lpwstr/>
      </vt:variant>
      <vt:variant>
        <vt:lpwstr>футбол</vt:lpwstr>
      </vt:variant>
      <vt:variant>
        <vt:i4>917514</vt:i4>
      </vt:variant>
      <vt:variant>
        <vt:i4>0</vt:i4>
      </vt:variant>
      <vt:variant>
        <vt:i4>0</vt:i4>
      </vt:variant>
      <vt:variant>
        <vt:i4>5</vt:i4>
      </vt:variant>
      <vt:variant>
        <vt:lpwstr/>
      </vt:variant>
      <vt:variant>
        <vt:lpwstr>введение</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Футбол</dc:title>
  <dc:subject/>
  <dc:creator>Титова Юлия Сергеевна</dc:creator>
  <cp:keywords/>
  <cp:lastModifiedBy>Igor</cp:lastModifiedBy>
  <cp:revision>3</cp:revision>
  <dcterms:created xsi:type="dcterms:W3CDTF">2024-11-24T11:33:00Z</dcterms:created>
  <dcterms:modified xsi:type="dcterms:W3CDTF">2024-11-24T11:34:00Z</dcterms:modified>
</cp:coreProperties>
</file>