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3491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Содержание</w:t>
      </w:r>
    </w:p>
    <w:p w14:paraId="139CA074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</w:pPr>
    </w:p>
    <w:p w14:paraId="7AC44CB1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Введение</w:t>
      </w:r>
    </w:p>
    <w:p w14:paraId="57BF183D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. Патофизиология хронического хеликобактерного гастрита и естественное течение инфекции H. Pylori</w:t>
      </w:r>
    </w:p>
    <w:p w14:paraId="5911B267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. Диагностика хронического гастрита</w:t>
      </w:r>
    </w:p>
    <w:p w14:paraId="16F5F5E2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. Лечение хронического хеликобактерного гастрита</w:t>
      </w:r>
    </w:p>
    <w:p w14:paraId="74E6981E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Литература</w:t>
      </w:r>
    </w:p>
    <w:p w14:paraId="4D66BFDE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</w:p>
    <w:p w14:paraId="79DB82FC" w14:textId="77777777" w:rsidR="00000000" w:rsidRDefault="00710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br w:type="page"/>
      </w:r>
    </w:p>
    <w:p w14:paraId="753CE77E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Введение</w:t>
      </w:r>
    </w:p>
    <w:p w14:paraId="3C89C6FB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</w:p>
    <w:p w14:paraId="0CA36EEB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На современном этапе развит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ия гастроэнтерологии термин "хронический гастрит"; объединяет целую группу заболеваний, характеризующихся воспалением слизистой оболочки желудка.</w:t>
      </w:r>
    </w:p>
    <w:p w14:paraId="74E2D7C7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Основной причиной хронического гастрита является инфекция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. Только менее 10% случаев приходятся на ау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тоиммунный гастрит, редкие формы гастритов (лимфоцитарный, эозинофильный, гранулематозный), другие инфекционные агенты и химические вещества. Распространенность хронического гастрита в мировой популяции очень велика и составляет от 50 до 80%. В России этот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показатель находится на таком же уровне.</w:t>
      </w:r>
    </w:p>
    <w:p w14:paraId="3D7CE627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Классификация хронического гастрита: Модифицированная Сиднейская классификация предполагает подразделение хронического гастрита по этиологии и топографии морфологических изменений. Выделяют три типа гастрита [2]:</w:t>
      </w:r>
    </w:p>
    <w:p w14:paraId="7B963F8E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неатрофический (поверхностный) гастрит;</w:t>
      </w:r>
    </w:p>
    <w:p w14:paraId="4E111F2C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• атрофический гастрит;</w:t>
      </w:r>
    </w:p>
    <w:p w14:paraId="01E5CD1B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• особые формы хронического гастрита (лимфоцитарный, эозинофильный, гранулематозный, химический, лучевой).</w:t>
      </w:r>
    </w:p>
    <w:p w14:paraId="67FA2A6C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С инфекцией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ассоциированы неатрофический антральный гастрит и мультифокаль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ный атрофический гастрит с вовлечением тела и антрального отдела желудка. Атрофический гастрит тела желудка имеет аутоиммунную природу.</w:t>
      </w:r>
    </w:p>
    <w:p w14:paraId="033A521F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Ниже рассмотрены основные принципы диагностики и рациональной фармакотерапии хронического гастрита, ассоциированного с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.</w:t>
      </w:r>
    </w:p>
    <w:p w14:paraId="6F6D346B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хронический гастрит хеликобактерный инфекция</w:t>
      </w:r>
    </w:p>
    <w:p w14:paraId="4B80DFD0" w14:textId="77777777" w:rsidR="00000000" w:rsidRDefault="00710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br w:type="page"/>
      </w:r>
    </w:p>
    <w:p w14:paraId="2A17118B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1. Патофизиология хронического хеликобактерного гастрита и естественное течение инфекции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</w:p>
    <w:p w14:paraId="5208D950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</w:p>
    <w:p w14:paraId="3885A768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Для инфекции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свойственна длительная персистенция на слизистой оболочке желудка с развитие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м инфильтрации ее собственной пластинки клетками воспаления. Инфицирование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всегда ведет к развитию иммунного ответа, практически никогда не заканчивающегося, однако, полной элиминацией возбудителя. В первую очередь это связано с тем, что, в отлич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ие от других внеклеточных возбудителей,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вызывает иммунный ответ преимущественного первого типа, сопровождающийся активацией клеточного звена им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softHyphen/>
        <w:t>мунитета [2,3].</w:t>
      </w:r>
    </w:p>
    <w:p w14:paraId="7A741659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Развитие нейтрофильной инфильтрации собственной пластинки слизистой оболочки связано с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двумя различными механизмами. Прямой механизм реализуется через выделение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активирующего нейтрофилы белка, а опосредованный через стимуляцию экспрессии эпителиоцитами ИЛ-8 с последующим запуском сложного воспалительного каскада [3].</w:t>
      </w:r>
    </w:p>
    <w:p w14:paraId="528A3ECE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Мигрирующие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в слизистую оболочку желудка гранулоциты посредством выделения активных форм кислорода повреждают эпителиальные клетки и интенсивно продуцируют провоспалительные цитокины. В таких условиях на фоне прогрессирования воспаления в одних случаях имеет место пов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реждение и гибель эпителиоцитов с формированием эрозивных и язвенных дефектов, а в других постепенно формируются атрофия, метаплазия и неоплазия слизистой оболочки желудка.</w:t>
      </w:r>
    </w:p>
    <w:p w14:paraId="1C984306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Другой значимой особенностью патогенеза инфекции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является несостоятельнос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ть гуморального иммунитета и отсутствие эрадикации под воздействием антихеликобактерных антител. Данный факт обычно объясняется "недоступностью" бактерии для антител в слое желудочной слизи,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lastRenderedPageBreak/>
        <w:t xml:space="preserve">невозможностью выделения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в просвет желудка при относительном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дефиците секреторных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, а также "антигенной мимикрией" бактерии [3].</w:t>
      </w:r>
    </w:p>
    <w:p w14:paraId="184FFD05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Несмотря на то, что хронический гастрит развивается у всех людей, инфицированных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, какие-либо клинические проявления имеются далеко не в каждом случае. В целом для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-по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зитивных пациентов риск развития язвенной болезни и рака желудка в течение жизни составляет соответственно 10-20 и 1-2% [2].</w:t>
      </w:r>
    </w:p>
    <w:p w14:paraId="4FAA795D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Язвенная болезнь двенадцатиперстной кишки (ДПК) и рак желудка обычно ассоциируются с разными типами хронического гастрита. При антр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альном гастрите с отсутствием или минимальной выраженностью атрофии, нормальной или повышенной секрецией соляной кислоты нередко развиваются язвы ДПК. При пангастрите с тяжелой атрофией слизистой оболочки, гипо- или ахлоргидрией значительно чаще регистриру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ется рак желудка [2,3].</w:t>
      </w:r>
    </w:p>
    <w:p w14:paraId="59FEC8BD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Данный факт получил объяснение после открытия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, когда стало понятно, что в большинстве случаев антральный гастрит и пангастрит представляют собой различные направления естественного течения этой инфекции.</w:t>
      </w:r>
    </w:p>
    <w:p w14:paraId="1E67E057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После заражения, к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оторое обычно происходит в детском или подростковом возрасте,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вызывает острый гастрит с неспецифическими транзиторными симптомами диспепсии (боли и тяжесть в эпигастрии, тошнота, рвота) и гипохлоргидрией [1,2].</w:t>
      </w:r>
    </w:p>
    <w:p w14:paraId="12162FBE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В дальнейшем острый хеликобактерный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гастрит переходит в хронический. Постепенно формируется либо поверхностный антральный гастрит, либо атрофический мультифокальный пангастрит. Ключевым фактором, детерминирующим топографию гастрита, а значит, и вероятность развития язвенной болезни ДПК или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рака желудка, является уровень секреции соляной кислоты [1,2].</w:t>
      </w:r>
    </w:p>
    <w:p w14:paraId="78324018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У лиц с нормальной или высокой секреторной активностью париетальных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lastRenderedPageBreak/>
        <w:t xml:space="preserve">клеток соляная кислота подавляет рост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в теле желудка, и бактерия интенсивно колонизирует только антральный отдел, в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ызывая, соответственно, ограниченный антральный гастрит. Хро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softHyphen/>
        <w:t xml:space="preserve">ническое воспаление в антральном отделе ведет к гипергастринемии и гиперхлоргидрии, закислению полости ДПК и язвообразованию. У пациентов с пониженным уровнем секреции соляной кислоты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б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еспрепятственно колонизирует слизистую оболочку тела желудка, вызывая пангастрит. Хроническое активное воспаление через эффекты ряда цитокинов еще больше ингибирует функцию париетальных клеток, а в дальнейшем вызывает развитие атрофии и метаплазии главных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желез. В итоге у данной категории больных значительно повышается риск развития рака желудка [1,2,3].</w:t>
      </w:r>
    </w:p>
    <w:p w14:paraId="3AD1E223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Определяющая роль в детерминации этих процессов по современным представлениям принадлежит генетическим факторам организма человека. С ними напрямую связаны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особенности иммунного ответа, в частности, уровень продукции провоспалительного цитокина ИЛ-1</w:t>
      </w:r>
      <w:r>
        <w:rPr>
          <w:rFonts w:ascii="Times New Roman" w:hAnsi="Times New Roman" w:cs="Times New Roman"/>
          <w:color w:val="363636"/>
          <w:sz w:val="28"/>
          <w:szCs w:val="28"/>
          <w:lang w:val="en-US"/>
        </w:rPr>
        <w:t>β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, обладающего выраженными антисекреторными свойствами. Генетически обусловленная избыточная экспрессия этой субстанции вызывает стойкое подавление секреции солян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ой кислоты уже на стадии острого хеликобактерного гастрита. В такой ситуации создаются благоприятные условия для заселения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в тело желудка [1,2].</w:t>
      </w:r>
    </w:p>
    <w:p w14:paraId="20DD37A7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Тесная взаимосвязь между раком желудка 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была подтверждена и крупными эпидемиологическими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исследованиями. Наличие инфекции увеличивает риск развития данной злокачественной опухоли в 4-6 раз. У пациентов с хроническим атрофическим пангастритом, ассоциированным с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, вероятность возникновения неоплазии возрастает еще больше. Международное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Агентство по изучению рака классифицировало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, как канцероген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класса у человека в отношении некардиального рака желудка [6].</w:t>
      </w:r>
    </w:p>
    <w:p w14:paraId="61ACBA76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Таким образом, хронический хеликобактерный гастрит является тем фоном, на котором в большинстве случаев развивается рак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желудка. Важным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lastRenderedPageBreak/>
        <w:t>условием для его возникновения является наличие нарушений клеточного обновления в слизистой оболочке желудка в виде ее атрофии и кишечной метаплазии.</w:t>
      </w:r>
    </w:p>
    <w:p w14:paraId="3A7A34EF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</w:p>
    <w:p w14:paraId="7D4D7629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. Диагностика хронического гастрита</w:t>
      </w:r>
    </w:p>
    <w:p w14:paraId="1FBAEBB9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</w:p>
    <w:p w14:paraId="60F1D02D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Достоверный диагноз хронического гастрита может быть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установлен только после морфологического исследования биоптатов слизистой оболочки желудка врачом-морфологом. Для адекватной оценки гистологических изменений и определения топографии хронического гастрита в соответствии с требованиями Сиднейской системы н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еобходим забор минимум пяти биоптатов (2 из антрального отдела, 2 из тела и 1 из угла желудка). Заключение должно содержать сведения об активности и выраженности воспаления, степени атрофии и метаплазии, о наличии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.</w:t>
      </w:r>
    </w:p>
    <w:p w14:paraId="37CC427D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Неинвазивная диагностика атрофи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ческого гастрита может быть проведена с использованием ряда сывороточных маркеров. Для выраженной атрофии слизистой оболочки тела желудка характерно снижение уровня пепсиногена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, а атрофия антрального отдела проявляется низкими уровнями базального и постп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рандиального гастрина-17.</w:t>
      </w:r>
    </w:p>
    <w:p w14:paraId="321F7DB8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Исключить аутоиммунный хронический гастрит помогает определение антител к париетальным клеткам желудка и выявление признаков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12-дефицитной анемии.</w:t>
      </w:r>
    </w:p>
    <w:p w14:paraId="7D26BA2E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Принципиальным моментом в диагностике хронического гастрита является выявление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. На практике выбор конкретного метода в большинстве случаев определяется клиническими особенностями пациента и доступностью тех или иных тестов.</w:t>
      </w:r>
    </w:p>
    <w:p w14:paraId="51C17BB5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Все методы диагностики Н.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в зависимости от необходимости проведения эндоскопического исследования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и забора биопсийного материала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lastRenderedPageBreak/>
        <w:t>подразделяются на инвазивные и неинвазивные. Стартовая антихеликобактерная терапия может быть назначена при получении положительного результата любого из них.</w:t>
      </w:r>
    </w:p>
    <w:p w14:paraId="06B3B87B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Хронический гастрит всегда требует морфологического подтверждения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В этом случае предпочтение следует отдать инвазивным методам диагностики хеликобактериоза, к которым относятся быстрый уреазный тест, гистологическое исследование биоптатов слизистой желудка на предмет наличия Н.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, полимеразная цепная реакция в био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птате [4].</w:t>
      </w:r>
    </w:p>
    <w:p w14:paraId="37B90579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Первичная диагностика хеликобактериоза с помощью указанных тестов может давать ложноотрицательные результаты при низкой плотности обсеменения слизистой оболочки бактерией, что часто имеет место на фоне приема ингибиторов протонной помпы (ИПП), а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нтибиотиков и препаратов висмута, а также при выраженном атрофическом гастрите. В таких случаях рекомендуется обязательная комбинация инвазивных методов с определением антител к Н.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в сыворотке крови [3,4].</w:t>
      </w:r>
    </w:p>
    <w:p w14:paraId="5013D50A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Контроль эрадикации, независимо от использу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емых тестов, должен проводиться не ранее 4-6 недель после окончания курса эрадикационной терапии. Предпоч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softHyphen/>
        <w:t xml:space="preserve">тение следует отдавать уреазному дыхательному тесту и определению антигена Н.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в кале методом иммуноферментного анализа (ИФА). При недоступности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этих неинвазивных методов следует повторить гистологическое исследование и быстрый уреазный тест [3].</w:t>
      </w:r>
    </w:p>
    <w:p w14:paraId="23E0B18F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</w:p>
    <w:p w14:paraId="7E087504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. Лечение хронического хеликобактерного гастрита</w:t>
      </w:r>
    </w:p>
    <w:p w14:paraId="257E11E4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</w:p>
    <w:p w14:paraId="70811FFB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Лечение хронического хеликобактерного гастрита предполагает проведение эрадикационной терапии, целью к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оторой является полное уничтожение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в желудке и ДПК. Необходимость лечения хеликобактериоза у таких пациентов связана с профилактикой некардиального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lastRenderedPageBreak/>
        <w:t>рака желудка и язвенной болезни, так как большинство больных гастритом не предъявляют каких-либо ж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алоб. Только эрадикация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позволяет добиться регресса явлений воспаления, а также предотвратить развитие или прогрессирование предраковых изменений слизистой оболочки [2,3].</w:t>
      </w:r>
    </w:p>
    <w:p w14:paraId="24B4DD51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Следует отметить, что длительная монотерапия хронического хеликобактерного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гастрита ИПП недопустима. Стойкое подавление кислотной продукции способствует перемещению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из антрального отдела в тело желудка и развитию там выраженного воспаления. Создаются предпосылки для изменения топографии гастрита. Преимущественно антрал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ьный гастрит переходит в пангастрит. У таких пациентов увеличивается вероятность развития атрофии слизистой оболочки тела желудка, по сути, ятрогенного атрофического гастрита [6].</w:t>
      </w:r>
    </w:p>
    <w:p w14:paraId="499B2D17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В рекомендациях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Маастрихтского консенсуса в ряду абсолютных показаний д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ля назначения антихеликобактерной терапии фигурирует только атрофический гастрит. В то же время составители авторитетных международных руководств подчеркивают, что оптимальным все же является проведение терапии до развития атрофии и кишечной метаплазии сли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зистой оболочки, еще на стадии неатрофического (поверхностного) гастрита. Настоятельно рекомендуется эрадикация у близких кровных родственников больных раком желудка [2,6].</w:t>
      </w:r>
    </w:p>
    <w:p w14:paraId="611D9BD4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Современная антихеликобактерная терапия базируется на стандартных схемах на основе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ИПП и висмута трикалия дицитрата (Де-Нол). Рекомендации Третьего Маастрихтского консенсуса по лечению инфекции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выделяют схемы терапии первой и второй линии. Активно обсуждаются варианты схем третьей линии (терапия "спасения"), которые могут прим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еняться после двух неудачных попыток эрадикации [3].</w:t>
      </w:r>
    </w:p>
    <w:p w14:paraId="47EFF100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Лечение начинают с тройной схемы первой линии: ИПП в стандартной дозе 2 раза в сутки, кларитромицин 500 мг 2 раза в сутки и амоксициллин 1000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lastRenderedPageBreak/>
        <w:t>мг 2 раза в сутки. Длительность терапии рекомендовано пролонг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ировать с 7 до 14 дней, что достоверно повышает эффективность эрадикации. Применение тройных схем с включением метронидазола абсолютно неоп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softHyphen/>
        <w:t xml:space="preserve">равдано, так как критический порог резистентности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к этому антибиотику (40%) в России уже давно преодолен.</w:t>
      </w:r>
    </w:p>
    <w:p w14:paraId="5AFD76CC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Значительно ограничивает перспективы тройной терапии первой линии быстрый рост устойчивости пилорического хеликобактера к кларитромицину.</w:t>
      </w:r>
    </w:p>
    <w:p w14:paraId="48C35C3B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Основными причинами роста числа антибиотикорезистентных штаммов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являются увеличение числа пациентов, получаю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щих неадекватную антихеликобактерную терапию, низкие дозы антибиотиков в схемах эрадикации, короткие курсы лечения, неправильная комбинация препаратов и бесконтрольное самостоятельное использование больными антибактериальных средств по другим показаниям [6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].</w:t>
      </w:r>
    </w:p>
    <w:p w14:paraId="09B62166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Многоцентровые исследования по определению резистентности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к кларитромицину, проведенные в странах Европейского региона, выявили ее наличие в 21-28% случаев у взрослых и в 24% случаев у детей [23,32]. В России постепенно складывается та же небл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агоприятная ситуация. В 2006 году в Москве у взрослого населения и в Санкт-Петербурге у детей резистентные штаммы выявлялись у 19,3 и 28% обследованных [9,10]. К 2009 г. в Санкт-Петербурге у взрослых пациентов их доля возросла до 40-66% [2,4].</w:t>
      </w:r>
    </w:p>
    <w:p w14:paraId="2B2BF0FD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Рост резисте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нтности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к кларитромицину ведет к неуклонному снижению эффективности стандартной тройной терапии первой линии на основе кларитромицина. По данным как российских, так и зарубежных клинических исследований, этот показатель уже составляет 55-61% [3].</w:t>
      </w:r>
    </w:p>
    <w:p w14:paraId="4FC8F6D2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Как эффективную альтернативу тройной терапии Третий Маастрихтский консенсус в качестве первой линии эрадикации рекомендует стандартную четырехкомпонентную схему на основе висмута: висмута трикалия дицитрат (Де-Нол) по 120 мг 4 раза в сутки, ИПП в стандарт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ной дозе 2 раза в сутки,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lastRenderedPageBreak/>
        <w:t>тетрациклин 500 мг четыре раза в сутки и метронидазол 500 мг 3 раза в сутки в течение 10 дней. Следует подчеркнуть, что применение препарата висмута позволяет преодолеть резистентность пилорического хеликобактера к метронидазолу [6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].</w:t>
      </w:r>
    </w:p>
    <w:p w14:paraId="6BB1B91E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Такой вариант эрадикации является предпочтительным при высоком уровне резистентности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к кларитромицину в регионе (выше 20%), наличии в анамнезе у пациента аллергических реакций на кларитромицин, амоксициллин или другие антибиотики из их групп,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а также при предшествующем приеме макролидов по другим показаниям.</w:t>
      </w:r>
    </w:p>
    <w:p w14:paraId="1C17A425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В нашей стране в качестве терапии первой линии используется трехкомпонентная схема с включением висмута трикалия дицитрата в дозе 120 мг 4 раза в сутки, амоксициллина в дозе 1000 мг 2 раза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в сутки и кларитромицина в дозе 500 мг 2 раза в сутки. Данная комбинация особенно подходит пациентам с хроническим атрофическим гастритом при отсутствии ка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softHyphen/>
        <w:t xml:space="preserve">кой-либо клинической симптоматики. У таких больных нет необходимости в быстром подавлении продукции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соляной кислоты, и эти схемы могут оказаться оптимальными по соотношению стоимость/эффективность [2,6].</w:t>
      </w:r>
    </w:p>
    <w:p w14:paraId="5200D6D0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Если после проведения тройной антихеликобактерной терапии первой ступени лечение оказалось неэффективным (отсутствие эрадикации Н.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через 6 недель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после полной отмены антибиотиков и антисекреторных препаратов), в соответствии с Маастрихт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softHyphen/>
        <w:t>скими рекомендациями в качестве схемы второй линии назначается квадротерапия на основе висмута трикалия дицитрата сроком на 10 дней. Замена в данной схеме метронида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зола на фуразолидон не снижает эффективности лечения [3].</w:t>
      </w:r>
    </w:p>
    <w:p w14:paraId="053DCC52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В том случае, если квадротерапия применялась на первом этапе, могут использоваться альтернативные тройные схемы второй линии, включающие ИПП в стандартной дозе и амоксициллин 1000 мг 2 раза в сутки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в комбинации с тетрациклином (500 мг четыре раза в сутки) или фуразолидоном (200 мг 2 раза в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lastRenderedPageBreak/>
        <w:t>сутки) [3,6].</w:t>
      </w:r>
    </w:p>
    <w:p w14:paraId="2ED428B4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В целом с ростом устойчивости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к основным антибактериальным препаратам ведущую роль в схемах первой и второй линии эрадикации начинает играт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ь висмута трикалия дицитрат (Де-Нол), что связано с наличием у него целого ряда уникальных свойств.</w:t>
      </w:r>
    </w:p>
    <w:p w14:paraId="1C2A3CBD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Висмута трикалия дицитрат обладает наиболее выраженными антибактериальными свойствами в отношении инфекции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среди всех препаратов висмута. Де-Нол х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орошо растворяется в водной среде желудочного сока и способен сохранять высокую активность при любом уровне желудочной секреции. Он легко проникает в желудочные ямки и захватывается эпителиоцитами, что позволяет уничтожать бактерии, находящиеся внутри клет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ок. Важным моментом является полное отсутствие штаммов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, резистентных к солям висмута [1,2,6].</w:t>
      </w:r>
    </w:p>
    <w:p w14:paraId="1B68CCBE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Антихеликобактерный эффект Де-Нола имеет комплексный характер и обусловлен целым рядом механизмов [6]:</w:t>
      </w:r>
    </w:p>
    <w:p w14:paraId="1E8363B3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• преципитация на мембране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с последующ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им нарушением ее проницаемости и гибелью микроорганизма;</w:t>
      </w:r>
    </w:p>
    <w:p w14:paraId="3194993A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• подавление адгезии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к эпителиоцитам;</w:t>
      </w:r>
    </w:p>
    <w:p w14:paraId="2CC71FB0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• подавление подвижности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;</w:t>
      </w:r>
    </w:p>
    <w:p w14:paraId="6E175FB4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• действие на вегетативные и кокковые формы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;</w:t>
      </w:r>
    </w:p>
    <w:p w14:paraId="11BF6225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• синергизм в отношении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с другими антибиотиками (м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етронидазол, кларитромицин, тетрациклин, фуразолидон).</w:t>
      </w:r>
    </w:p>
    <w:p w14:paraId="7624F2B1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Последние данные по применению висмута трикалия дицитрата в качестве средства антихеликобактерной терапии были получены в ходе недавнего исследования, целью которого стала оценка эффективности модифици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рованной 7- и 14-дневной тройной схемы первой линии. К стандартной комбинации, включавшей омепразол, кларитромицин и амоксициллин, был добавлен висмута трикалия дицитрат в дозе 240 мг 2 раза в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lastRenderedPageBreak/>
        <w:t xml:space="preserve">сутки. Перед началом лечения определялась чувствительность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к антибиотикам.</w:t>
      </w:r>
    </w:p>
    <w:p w14:paraId="027F548F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Итоги исследования показали чрезвычайно многообещающие результаты. 14-дневный режим терапии продемонстрировал достоверно большую эффективность, чем 7-дневный. В первом случае эрадикация была достигнута у 93,7% пациентов, тогда как во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втором лишь у 80% больных. При наличии резистентных к кларитромицину штаммов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лечение оказалось успешным у 84,6% лиц, прошедших двухнедельный курс лечения, и только в 36,3% случаев при применении 7-дневного режима, что свидетельствует о возможност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и преодоления устойчивости бактерии к кларитромицину на фоне использования препарата висмута [3,6].</w:t>
      </w:r>
    </w:p>
    <w:p w14:paraId="69DBA6EC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Указанная четырехкомпонентная схема в составе висмута трикалия дицитрата, ИПП, амоксициллина и кларитромицина уже рекомендована ведущими российскими эксперт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ами в качестве одного из вариантов терапии первой линии при лечении хеликобактериоза [6].</w:t>
      </w:r>
    </w:p>
    <w:p w14:paraId="2A9F95B0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Таким образом, широкое применение висмута трикалия дицитрата дает в будущем реальный шанс компенсировать отсутствие новых высокоактивных в отношении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антибак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териальных средств. Модифици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softHyphen/>
        <w:t>рованная 14-дневная схема с включением данного препарата, по-видимому, может успешно назначаться в качестве терапии первой линии даже в регионах с высокой распространенностью кларитромицин-резистентных штаммов бактерии. Такая с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тратегия позволит значительно снизить уровень устойчивости пилорического хеликобактера к используемым в настоящее время антибиотикам и сохранить высокие показатели эффективности эрадикационной терапии [4,6].</w:t>
      </w:r>
    </w:p>
    <w:p w14:paraId="473E4546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Кроме антибактериального эффекта, висмута трикал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ия дицитрат оказывает выраженное цитопротективное действие. Препарат создает на поверхности слизистой оболочки желудка и ДПК пленку, защищающую эпителиоциты от воздействия кислотно-пептического фактора и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lastRenderedPageBreak/>
        <w:t>потенцирующую процессы репарации в области эрозивно-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язвенных дефектов. Причем ионы висмута обладают способностью непосредственно стимулировать пролиферацию клеток эпителия [2,6].</w:t>
      </w:r>
    </w:p>
    <w:p w14:paraId="3AF45B15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Де-Нол почти не влияет на базальную и стимулированную секрецию соляной кислоты и серьезно не нарушает физиологию желудка. Это осо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бенно важно для пациентов с атрофией слизистой оболочки на фоне выраженного воспаления. Дополнительная супрессия кислотной продукции при приеме ИПП в такой ситуации может запустить кишечную дифференцировку эпителия и развитие кишечной метаплазии.</w:t>
      </w:r>
    </w:p>
    <w:p w14:paraId="4B570780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Висмута т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рикалия дицитрат стимулирует синтез простагландина Е2 и повышает качество гидрофобного слоя желудочной слизи, вырабатываемой поверхностным эпителием. Увеличение продукции простагландина Е2 потенцирует секрецию бикарбонатов, улучшает микроциркуляцию, стимул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ирует ангиогенез, поддерживает реконструкцию внеклеточного матрикса, оказывает противовоспалительное действие. Препарат препятствует деградации слизистого слоя, предохраняет от разрушения и фиксирует в области повреждений эпидермальный фактор роста, необхо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димый для полноценной физиологической и репаративной регенерации эпителиоцитов [2,5,6].</w:t>
      </w:r>
    </w:p>
    <w:p w14:paraId="64C78F4A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Доказан выраженный антиоксидантный эффект солей висмута, подавляющих перекисное окисление липидов и защищающих ДНК от воздействия активных форм кислорода. На этом фоне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снижается риск возникновения мутаций в клетках эпителия, служащих основой для начала опухолевого роста [4].</w:t>
      </w:r>
    </w:p>
    <w:p w14:paraId="56D10943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Положительной стороной применения Де-Нола является низкая биодоступность. При курсовом приеме данного препарата в течение 1 месяца его концентрация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в крови составляет 50 мкг/л, а в желудочном соке - 100 мг/л, что практически исключает проявление системных эффектов висмута.</w:t>
      </w:r>
    </w:p>
    <w:p w14:paraId="2C5D2117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lastRenderedPageBreak/>
        <w:t>В случае неудачи второй линии терапии возможны два варианта действий [6]:</w:t>
      </w:r>
    </w:p>
    <w:p w14:paraId="0BCB295A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• Проведение эмпирической терапии "спасения" (третья ли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ния);</w:t>
      </w:r>
    </w:p>
    <w:p w14:paraId="0BFE2BCE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• Подбор препаратов в зависимости от результатов определения чувствительности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ко всем антибиотикам, использующимся в схемах эрадикации.</w:t>
      </w:r>
    </w:p>
    <w:p w14:paraId="30E3239A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В настоящее время в России наиболее оправдано применение двух потенциальных вариантов десятидневной тера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пии "спасения". К ИПП (стандартная дозировка 2 раза в сутки) и амоксициллину (1000 мг 2 раза в сутки) добавляется левофлоксацин (250 мг 2 раза в сутки) либо фуразолидон (200 мг 2 раза в сутки) [2,6].</w:t>
      </w:r>
    </w:p>
    <w:p w14:paraId="14D99367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Эффективность индивидуального подбора антибиотиков в зав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исимости от чувствительности к ним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иллюстрируется результатами применения семидневной схемы третьей линии в составе висмута трикалия дицитрата, эзомепразола, доксициклина и амоксициллина. Даже в случае выявления штаммов с резистентностью к нескол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ьким антибактериальным препаратам эрадикация была достигнута в 91% случаев [6]. Общий алгоритм антихеликобактерной терапии представлен на рисунке 1.</w:t>
      </w:r>
    </w:p>
    <w:p w14:paraId="79F8A2B1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Несмотря на то, что элиминация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приводит к постепенной редукции явлений воспаления и нормализации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процессов обновления эпителиоцитов, у значительной части пациентов сохраняется эксхеликобактерный гастрит, морфологической основой которого служит мононуклеарная инфильтрация собственной пластинки слизистой оболочки. Его длительная персистенция создает усл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овия для прогрессирования структурных изменений в постэрадикационном периоде даже при отсутствии инфекционного фактора [2,6].</w:t>
      </w:r>
    </w:p>
    <w:p w14:paraId="52865D0E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В такой ситуации патогенетически обоснованной является пролонгация курса лечения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с назначением монотерапии препаратом Де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-Нол по 240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lastRenderedPageBreak/>
        <w:t>мг 2 раза в сутки в течение 6 недель. Благодаря своим цитопротективным и антиоксидантным свойствам висмута трикалия дицитрат предотвращает повреждение эпителиоцитов, а стимуляция клеточного обновления потенциально способствует обратному развити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ю атрофии.</w:t>
      </w:r>
    </w:p>
    <w:p w14:paraId="07ACCC90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В целом у пациентов с хроническим гастритом успешная эрадикация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позволяет добиться регресса воспалительной инфильтрации и восстановления нормальной морфологической структуры слизистой оболочки желудка. При наличии атрофии и метаплазии 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устранение инфекционного агента дает возможность остановить дальнейшее прогрессирование данных предраковых изменений, а в ряде случаев достичь и обратного развития атрофии. Учитывая, что хеликобактерный гастрит, особенно при наличии атрофических изменений,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значительно повышает риск развития рака желудка, лечение инфекции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с последующим курсовым применением висмута трикалия дицитрата служит важнейшей мерой профилактики этого широко распространенного онкологического заболевания.</w:t>
      </w:r>
    </w:p>
    <w:p w14:paraId="0B306810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</w:pPr>
    </w:p>
    <w:p w14:paraId="5B14E6AF" w14:textId="0385AFA7" w:rsidR="00000000" w:rsidRDefault="000858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F09F13" wp14:editId="0C8FCBAF">
            <wp:extent cx="3152775" cy="3495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29C3E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</w:pPr>
    </w:p>
    <w:p w14:paraId="4F90DA1A" w14:textId="77777777" w:rsidR="00000000" w:rsidRDefault="00710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br w:type="page"/>
      </w:r>
    </w:p>
    <w:p w14:paraId="030C00A6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Литература</w:t>
      </w:r>
    </w:p>
    <w:p w14:paraId="7E8194AD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63636"/>
          <w:sz w:val="28"/>
          <w:szCs w:val="28"/>
        </w:rPr>
      </w:pPr>
    </w:p>
    <w:p w14:paraId="4C31AFC7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1. Барышникова Н.В., Денисова Е.В., Корниенко Е.А., с соавт. Эпидемиологическое исследование резистентности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к кларитромицину у жителей Санкт-Петербурга с язвенной болезнью // Экспериментальная и клиническа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я гастроэнтерология. - 2009. - № 5 - С. 73-76.</w:t>
      </w:r>
    </w:p>
    <w:p w14:paraId="29314AAC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Барышникова Н.В., Успенский Ю.П., Ткаченко Е.И. Оптимизация лечения больных с заболеваниями, ассоциированными с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: обоснование необходимости использования препаратов висмута // Эксперимента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льная и клиническая гастроэнтерология. - 2010. - № 6. -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. 116-121.</w:t>
      </w:r>
    </w:p>
    <w:p w14:paraId="630A791B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Ивашкин В.Т., Шептулин А.А., Лапина Т.Л. Хронический гастрит, вызванный инфекцией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: диагностика, клиническое значение, прогноз. Пособие для врачей. - Москва. - 2011. -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24 с.</w:t>
      </w:r>
    </w:p>
    <w:p w14:paraId="23D4EBBC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Ливзан М.А., Кононов А.В., Мозговой С.И. Постэрадикационный период хронического гастрита, ассоциированного с инфекцией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//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Consilium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medicum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. - 2010. - №. 8. - С. 15-20.</w:t>
      </w:r>
    </w:p>
    <w:p w14:paraId="3A64467E" w14:textId="77777777" w:rsidR="00000000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>. Маев И.В., Кучерявый Ю.А., Оганесян Т.С. Аллельный поли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морфизм интерлейкина-1 при геликобактериозе // Росс. журн. гастроэнтерол., гепатол., колопроктол. - 2008. - №5. - С. 4-11.</w:t>
      </w:r>
    </w:p>
    <w:p w14:paraId="33F11648" w14:textId="77777777" w:rsidR="0071013A" w:rsidRDefault="007101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363636"/>
          <w:sz w:val="28"/>
          <w:szCs w:val="28"/>
        </w:rPr>
      </w:pP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. Стандарты диагностики и лечения кислотозависимых и ассоциированных с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Helicobacter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pylori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 заболеваний (Четвертое московское соглашен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 xml:space="preserve">ие) // Экспериментальная и клиническая гастроэнтерология. - 2011. - № 5. - </w:t>
      </w:r>
      <w:r>
        <w:rPr>
          <w:rFonts w:ascii="Times New Roman CYR" w:hAnsi="Times New Roman CYR" w:cs="Times New Roman CYR"/>
          <w:color w:val="363636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363636"/>
          <w:sz w:val="28"/>
          <w:szCs w:val="28"/>
        </w:rPr>
        <w:t>. 113-118.</w:t>
      </w:r>
    </w:p>
    <w:sectPr w:rsidR="007101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4E"/>
    <w:rsid w:val="0008584E"/>
    <w:rsid w:val="0071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3DF5B"/>
  <w14:defaultImageDpi w14:val="0"/>
  <w15:docId w15:val="{44D20BDB-F103-4360-BB08-1A84C946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3713</Words>
  <Characters>21165</Characters>
  <Application>Microsoft Office Word</Application>
  <DocSecurity>0</DocSecurity>
  <Lines>176</Lines>
  <Paragraphs>49</Paragraphs>
  <ScaleCrop>false</ScaleCrop>
  <Company/>
  <LinksUpToDate>false</LinksUpToDate>
  <CharactersWithSpaces>24829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2024-11-30T15:27:00Z</dcterms:created>
  <dcterms:modified xsi:type="dcterms:W3CDTF">2024-11-30T15:27:00Z</dcterms:modified>
</cp:coreProperties>
</file>