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3F2D" w14:textId="77777777" w:rsidR="00527CF1" w:rsidRDefault="00527CF1" w:rsidP="00527CF1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ХРОНИЧЕСКИЙ ГЕПАТИТ</w:t>
      </w:r>
    </w:p>
    <w:p w14:paraId="148E8707" w14:textId="77777777" w:rsidR="00527CF1" w:rsidRDefault="00527CF1" w:rsidP="00527CF1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14:paraId="3ADEDDAD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частым заболеванием - 50% всех заболеваний. Он был выделен из циррозов печени, когда появился новый 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тод исследования - лапароскопия и метод прижизненной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цельной биопсии. Это воспалительно-дистрофическое заболев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ние. Течение более 6 мес., прогрессирование до различной ст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пени. Критерием диагноза является ненарушенная </w:t>
      </w:r>
      <w:proofErr w:type="spellStart"/>
      <w:r>
        <w:rPr>
          <w:rFonts w:ascii="Times New Roman" w:hAnsi="Times New Roman"/>
          <w:sz w:val="24"/>
        </w:rPr>
        <w:t>дольковая</w:t>
      </w:r>
      <w:proofErr w:type="spellEnd"/>
      <w:r>
        <w:rPr>
          <w:rFonts w:ascii="Times New Roman" w:hAnsi="Times New Roman"/>
          <w:sz w:val="24"/>
        </w:rPr>
        <w:t xml:space="preserve"> структура печени.</w:t>
      </w:r>
    </w:p>
    <w:p w14:paraId="12EB104A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</w:p>
    <w:p w14:paraId="5EDCA393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В 50% - острый вирусный гепатит. Переходу в хронический способствуют:</w:t>
      </w:r>
    </w:p>
    <w:p w14:paraId="517C1D30" w14:textId="77777777" w:rsidR="00527CF1" w:rsidRDefault="00527CF1" w:rsidP="004260F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несвоевременная диагностика</w:t>
      </w:r>
    </w:p>
    <w:p w14:paraId="21788BA9" w14:textId="77777777" w:rsidR="00527CF1" w:rsidRDefault="00527CF1" w:rsidP="004260F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недостаточное лечение</w:t>
      </w:r>
    </w:p>
    <w:p w14:paraId="2892A857" w14:textId="77777777" w:rsidR="00527CF1" w:rsidRDefault="00527CF1" w:rsidP="004260F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питания, диеты</w:t>
      </w:r>
    </w:p>
    <w:p w14:paraId="1D50D232" w14:textId="77777777" w:rsidR="00527CF1" w:rsidRDefault="00527CF1" w:rsidP="004260F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алкоголя</w:t>
      </w:r>
    </w:p>
    <w:p w14:paraId="409C91AB" w14:textId="77777777" w:rsidR="00527CF1" w:rsidRDefault="00527CF1" w:rsidP="004260F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ранняя выписка</w:t>
      </w:r>
    </w:p>
    <w:p w14:paraId="518D2E3A" w14:textId="77777777" w:rsidR="00527CF1" w:rsidRDefault="00527CF1" w:rsidP="004260F7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раннее начало физической деятельности после перенесенн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заболевания</w:t>
      </w:r>
    </w:p>
    <w:p w14:paraId="3033507F" w14:textId="77777777" w:rsidR="00527CF1" w:rsidRDefault="00527CF1" w:rsidP="004260F7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фоне заболеваний ЖКТ.</w:t>
      </w:r>
    </w:p>
    <w:p w14:paraId="3BA3E16B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даже при исключении всех вышеперечисленных факторов вирусный гепатит в 5% случаев переходит в хронический.</w:t>
      </w:r>
    </w:p>
    <w:p w14:paraId="190B9213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Токсическое влияние на печень:</w:t>
      </w:r>
    </w:p>
    <w:p w14:paraId="6BEFB253" w14:textId="77777777" w:rsidR="00527CF1" w:rsidRDefault="00527CF1" w:rsidP="004260F7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алкоголь (50-80% больных - алкоголики)</w:t>
      </w:r>
    </w:p>
    <w:p w14:paraId="659908AB" w14:textId="77777777" w:rsidR="00527CF1" w:rsidRDefault="00527CF1" w:rsidP="004260F7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бензол, четырех хлористый углерод, ДДТ</w:t>
      </w:r>
    </w:p>
    <w:p w14:paraId="3AEE8554" w14:textId="77777777" w:rsidR="00527CF1" w:rsidRDefault="00527CF1" w:rsidP="004260F7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лекарственные гепатиты (при приеме противотуберкуле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ных, седативных, гипотензивных (</w:t>
      </w:r>
      <w:proofErr w:type="spellStart"/>
      <w:r>
        <w:rPr>
          <w:rFonts w:ascii="Times New Roman" w:hAnsi="Times New Roman"/>
          <w:sz w:val="24"/>
        </w:rPr>
        <w:t>допегит</w:t>
      </w:r>
      <w:proofErr w:type="spellEnd"/>
      <w:r>
        <w:rPr>
          <w:rFonts w:ascii="Times New Roman" w:hAnsi="Times New Roman"/>
          <w:sz w:val="24"/>
        </w:rPr>
        <w:t>), цитостатич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ских, наркотических средств, антибиотиков тетрациклинов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ряда)</w:t>
      </w:r>
    </w:p>
    <w:p w14:paraId="6B7DAEFF" w14:textId="77777777" w:rsidR="00527CF1" w:rsidRDefault="00527CF1" w:rsidP="004260F7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анилиновые красители</w:t>
      </w:r>
    </w:p>
    <w:p w14:paraId="4FAF516A" w14:textId="77777777" w:rsidR="00527CF1" w:rsidRDefault="00527CF1" w:rsidP="004260F7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соли тяжелых металлов</w:t>
      </w:r>
    </w:p>
    <w:p w14:paraId="13D33530" w14:textId="77777777" w:rsidR="00527CF1" w:rsidRDefault="00527CF1" w:rsidP="004260F7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обменные гепатиты, связанные с нарушениями обмена 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ществ, с длительным неполноценным питанием.</w:t>
      </w:r>
    </w:p>
    <w:p w14:paraId="28AC3892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Патогенез</w:t>
      </w:r>
    </w:p>
    <w:p w14:paraId="7203137A" w14:textId="77777777" w:rsidR="00527CF1" w:rsidRDefault="00527CF1" w:rsidP="004260F7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Длительное </w:t>
      </w:r>
      <w:proofErr w:type="spellStart"/>
      <w:r>
        <w:rPr>
          <w:rFonts w:ascii="Times New Roman" w:hAnsi="Times New Roman"/>
          <w:sz w:val="24"/>
        </w:rPr>
        <w:t>персистирование</w:t>
      </w:r>
      <w:proofErr w:type="spellEnd"/>
      <w:r>
        <w:rPr>
          <w:rFonts w:ascii="Times New Roman" w:hAnsi="Times New Roman"/>
          <w:sz w:val="24"/>
        </w:rPr>
        <w:t xml:space="preserve"> вируса в организме. Кровь с австралийским антигеном заразна. Возможно внутриутро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ное заражение плода через плаценту. Вирус гепатита отн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сится к группе медленных вирусов.</w:t>
      </w:r>
    </w:p>
    <w:p w14:paraId="7B0F125F" w14:textId="77777777" w:rsidR="00527CF1" w:rsidRDefault="00527CF1" w:rsidP="004260F7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процесс иммунологических реакций. Особенно большое значение имеют реакции по типу ГЗТ. Нарушается целостность мембраны </w:t>
      </w:r>
      <w:proofErr w:type="spellStart"/>
      <w:r>
        <w:rPr>
          <w:rFonts w:ascii="Times New Roman" w:hAnsi="Times New Roman"/>
          <w:sz w:val="24"/>
        </w:rPr>
        <w:t>гепатоцита</w:t>
      </w:r>
      <w:proofErr w:type="spellEnd"/>
      <w:r>
        <w:rPr>
          <w:rFonts w:ascii="Times New Roman" w:hAnsi="Times New Roman"/>
          <w:sz w:val="24"/>
        </w:rPr>
        <w:t xml:space="preserve">, выходит мембранный </w:t>
      </w:r>
      <w:proofErr w:type="spellStart"/>
      <w:r>
        <w:rPr>
          <w:rFonts w:ascii="Times New Roman" w:hAnsi="Times New Roman"/>
          <w:sz w:val="24"/>
        </w:rPr>
        <w:t>липопротеин</w:t>
      </w:r>
      <w:proofErr w:type="spellEnd"/>
      <w:r>
        <w:rPr>
          <w:rFonts w:ascii="Times New Roman" w:hAnsi="Times New Roman"/>
          <w:sz w:val="24"/>
        </w:rPr>
        <w:t>, который стимулирует Т-лимфоциты. Антиг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ны могут через ряд </w:t>
      </w:r>
      <w:r>
        <w:rPr>
          <w:rFonts w:ascii="Times New Roman" w:hAnsi="Times New Roman"/>
          <w:sz w:val="24"/>
        </w:rPr>
        <w:lastRenderedPageBreak/>
        <w:t>трабекул попадать в кровь - начинается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работка антител. Появляется </w:t>
      </w:r>
      <w:proofErr w:type="spellStart"/>
      <w:r>
        <w:rPr>
          <w:rFonts w:ascii="Times New Roman" w:hAnsi="Times New Roman"/>
          <w:sz w:val="24"/>
        </w:rPr>
        <w:t>гистио-лимфоцитарная</w:t>
      </w:r>
      <w:proofErr w:type="spellEnd"/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фильтрация.</w:t>
      </w:r>
    </w:p>
    <w:p w14:paraId="0C40CBD0" w14:textId="77777777" w:rsidR="00527CF1" w:rsidRDefault="00527CF1" w:rsidP="004260F7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Возможна активация </w:t>
      </w:r>
      <w:proofErr w:type="spellStart"/>
      <w:r>
        <w:rPr>
          <w:rFonts w:ascii="Times New Roman" w:hAnsi="Times New Roman"/>
          <w:sz w:val="24"/>
        </w:rPr>
        <w:t>мезенхимальной</w:t>
      </w:r>
      <w:proofErr w:type="spellEnd"/>
      <w:r>
        <w:rPr>
          <w:rFonts w:ascii="Times New Roman" w:hAnsi="Times New Roman"/>
          <w:sz w:val="24"/>
        </w:rPr>
        <w:t xml:space="preserve"> ткани в процессе 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рого гепатита. Пролиферация идет настолько быстро, что мезенхима начинает обкрадывать </w:t>
      </w:r>
      <w:proofErr w:type="spellStart"/>
      <w:r>
        <w:rPr>
          <w:rFonts w:ascii="Times New Roman" w:hAnsi="Times New Roman"/>
          <w:sz w:val="24"/>
        </w:rPr>
        <w:t>гепатоциты</w:t>
      </w:r>
      <w:proofErr w:type="spellEnd"/>
      <w:r>
        <w:rPr>
          <w:rFonts w:ascii="Times New Roman" w:hAnsi="Times New Roman"/>
          <w:sz w:val="24"/>
        </w:rPr>
        <w:t>, отнимать у них питательные вещества - так называемый "феномен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крадывания". Гепатоциты начинают отмирать целыми 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ровками, возникает их недостаточность.</w:t>
      </w:r>
    </w:p>
    <w:p w14:paraId="2CD7A36F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Морфология</w:t>
      </w:r>
    </w:p>
    <w:p w14:paraId="67A5ADFE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Печень увеличивается в размерах. В начале - это большая белая печень, затем превращается в большую пеструю печень. По ходу портальных полей - воспалительная инфильтрация.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гут быть поля некробиоза. Могут поражаться </w:t>
      </w:r>
      <w:proofErr w:type="spellStart"/>
      <w:r>
        <w:rPr>
          <w:rFonts w:ascii="Times New Roman" w:hAnsi="Times New Roman"/>
          <w:sz w:val="24"/>
        </w:rPr>
        <w:t>внутрипоче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ные</w:t>
      </w:r>
      <w:proofErr w:type="spellEnd"/>
      <w:r>
        <w:rPr>
          <w:rFonts w:ascii="Times New Roman" w:hAnsi="Times New Roman"/>
          <w:sz w:val="24"/>
        </w:rPr>
        <w:t xml:space="preserve"> ходы, явления </w:t>
      </w:r>
      <w:proofErr w:type="spellStart"/>
      <w:r>
        <w:rPr>
          <w:rFonts w:ascii="Times New Roman" w:hAnsi="Times New Roman"/>
          <w:sz w:val="24"/>
        </w:rPr>
        <w:t>холеостаза</w:t>
      </w:r>
      <w:proofErr w:type="spellEnd"/>
      <w:r>
        <w:rPr>
          <w:rFonts w:ascii="Times New Roman" w:hAnsi="Times New Roman"/>
          <w:sz w:val="24"/>
        </w:rPr>
        <w:t>. Морфологическое определение: хр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нический гепатит - это воспалительно-дистрофическое пораж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печени с </w:t>
      </w:r>
      <w:proofErr w:type="spellStart"/>
      <w:r>
        <w:rPr>
          <w:rFonts w:ascii="Times New Roman" w:hAnsi="Times New Roman"/>
          <w:sz w:val="24"/>
        </w:rPr>
        <w:t>гистиолимфоцитарной</w:t>
      </w:r>
      <w:proofErr w:type="spellEnd"/>
      <w:r>
        <w:rPr>
          <w:rFonts w:ascii="Times New Roman" w:hAnsi="Times New Roman"/>
          <w:sz w:val="24"/>
        </w:rPr>
        <w:t xml:space="preserve"> инфильтрацией по ходу портального тракта с гипертрофией купферовских клеток, атр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фическими изменениями в паренхиме и сохранением </w:t>
      </w:r>
      <w:proofErr w:type="spellStart"/>
      <w:r>
        <w:rPr>
          <w:rFonts w:ascii="Times New Roman" w:hAnsi="Times New Roman"/>
          <w:sz w:val="24"/>
        </w:rPr>
        <w:t>дол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ковой</w:t>
      </w:r>
      <w:proofErr w:type="spellEnd"/>
      <w:r>
        <w:rPr>
          <w:rFonts w:ascii="Times New Roman" w:hAnsi="Times New Roman"/>
          <w:sz w:val="24"/>
        </w:rPr>
        <w:t xml:space="preserve"> структуры.</w:t>
      </w:r>
    </w:p>
    <w:p w14:paraId="5A10CCDA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Классификация</w:t>
      </w:r>
    </w:p>
    <w:p w14:paraId="518FB065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 этиологии:</w:t>
      </w:r>
    </w:p>
    <w:p w14:paraId="106EED6F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вирусные</w:t>
      </w:r>
    </w:p>
    <w:p w14:paraId="0A976D88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токсические</w:t>
      </w:r>
    </w:p>
    <w:p w14:paraId="6E51A257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токсико-аллергические (при коллагенозах)</w:t>
      </w:r>
    </w:p>
    <w:p w14:paraId="4CCDDCB0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алкогольные.</w:t>
      </w:r>
    </w:p>
    <w:p w14:paraId="10983A29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 морфологии:</w:t>
      </w:r>
    </w:p>
    <w:p w14:paraId="3AFBF1CA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proofErr w:type="spellStart"/>
      <w:r>
        <w:rPr>
          <w:rFonts w:ascii="Times New Roman" w:hAnsi="Times New Roman"/>
          <w:sz w:val="24"/>
        </w:rPr>
        <w:t>персистирующий</w:t>
      </w:r>
      <w:proofErr w:type="spellEnd"/>
      <w:r>
        <w:rPr>
          <w:rFonts w:ascii="Times New Roman" w:hAnsi="Times New Roman"/>
          <w:sz w:val="24"/>
        </w:rPr>
        <w:t xml:space="preserve"> - гистологические изменения мин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мальны: умеренный фиброз, иногда </w:t>
      </w:r>
      <w:proofErr w:type="spellStart"/>
      <w:r>
        <w:rPr>
          <w:rFonts w:ascii="Times New Roman" w:hAnsi="Times New Roman"/>
          <w:sz w:val="24"/>
        </w:rPr>
        <w:t>гистиолимфоцитарная</w:t>
      </w:r>
      <w:proofErr w:type="spellEnd"/>
      <w:r>
        <w:rPr>
          <w:rFonts w:ascii="Times New Roman" w:hAnsi="Times New Roman"/>
          <w:sz w:val="24"/>
        </w:rPr>
        <w:t xml:space="preserve"> инфильтрация, нет погибших клеток. Медленное доброкачес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венное течение, нет погибших клеток. При устранении этиологического фактора заканчивается фиброзом, но не </w:t>
      </w:r>
      <w:proofErr w:type="spellStart"/>
      <w:r>
        <w:rPr>
          <w:rFonts w:ascii="Times New Roman" w:hAnsi="Times New Roman"/>
          <w:sz w:val="24"/>
        </w:rPr>
        <w:t>ци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розированием</w:t>
      </w:r>
      <w:proofErr w:type="spellEnd"/>
      <w:r>
        <w:rPr>
          <w:rFonts w:ascii="Times New Roman" w:hAnsi="Times New Roman"/>
          <w:sz w:val="24"/>
        </w:rPr>
        <w:t>.</w:t>
      </w:r>
    </w:p>
    <w:p w14:paraId="6E77A361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активный (агрессивный) гепатит - злокачественная форма с резко выраженной интоксикацией. Идет </w:t>
      </w:r>
      <w:proofErr w:type="spellStart"/>
      <w:r>
        <w:rPr>
          <w:rFonts w:ascii="Times New Roman" w:hAnsi="Times New Roman"/>
          <w:sz w:val="24"/>
        </w:rPr>
        <w:t>ауто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рессия</w:t>
      </w:r>
      <w:proofErr w:type="spellEnd"/>
      <w:r>
        <w:rPr>
          <w:rFonts w:ascii="Times New Roman" w:hAnsi="Times New Roman"/>
          <w:sz w:val="24"/>
        </w:rPr>
        <w:t>, деструкция и некроз. Резкие изменения со стороны мезенхимы. Быстро прогрессирует, через 4-6 лет в 30-60% переходит в цирроз. Один из вариантов - липоидный геп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тит совсем недавно считали самостоятельной нозол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гической формой, но это крайне тяжелый случай хронич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ского агрессивного гепатита. Бывает чаще у молодых женщин.</w:t>
      </w:r>
    </w:p>
    <w:p w14:paraId="7EC3A7A3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proofErr w:type="spellStart"/>
      <w:r>
        <w:rPr>
          <w:rFonts w:ascii="Times New Roman" w:hAnsi="Times New Roman"/>
          <w:sz w:val="24"/>
        </w:rPr>
        <w:t>холестатический</w:t>
      </w:r>
      <w:proofErr w:type="spellEnd"/>
      <w:r>
        <w:rPr>
          <w:rFonts w:ascii="Times New Roman" w:hAnsi="Times New Roman"/>
          <w:sz w:val="24"/>
        </w:rPr>
        <w:t xml:space="preserve"> - как правило, наблюдается </w:t>
      </w:r>
      <w:proofErr w:type="spellStart"/>
      <w:r>
        <w:rPr>
          <w:rFonts w:ascii="Times New Roman" w:hAnsi="Times New Roman"/>
          <w:sz w:val="24"/>
        </w:rPr>
        <w:t>внутреп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ченочный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холестаз</w:t>
      </w:r>
      <w:proofErr w:type="spellEnd"/>
      <w:r>
        <w:rPr>
          <w:rFonts w:ascii="Times New Roman" w:hAnsi="Times New Roman"/>
          <w:sz w:val="24"/>
        </w:rPr>
        <w:t xml:space="preserve">, доминируют симптомы холемии. Это один из очень злокачественных гепатитов. Чаще дает первичный </w:t>
      </w:r>
      <w:proofErr w:type="spellStart"/>
      <w:r>
        <w:rPr>
          <w:rFonts w:ascii="Times New Roman" w:hAnsi="Times New Roman"/>
          <w:sz w:val="24"/>
        </w:rPr>
        <w:t>билиарный</w:t>
      </w:r>
      <w:proofErr w:type="spellEnd"/>
      <w:r>
        <w:rPr>
          <w:rFonts w:ascii="Times New Roman" w:hAnsi="Times New Roman"/>
          <w:sz w:val="24"/>
        </w:rPr>
        <w:t xml:space="preserve"> цирроз.</w:t>
      </w:r>
    </w:p>
    <w:p w14:paraId="33030B88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</w:p>
    <w:p w14:paraId="16DE28DD" w14:textId="77777777" w:rsidR="00527CF1" w:rsidRDefault="00527CF1" w:rsidP="004260F7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Астеновегетативный синдром: связан с нарушением </w:t>
      </w:r>
      <w:proofErr w:type="spellStart"/>
      <w:r>
        <w:rPr>
          <w:rFonts w:ascii="Times New Roman" w:hAnsi="Times New Roman"/>
          <w:sz w:val="24"/>
        </w:rPr>
        <w:t>дези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токсикационной</w:t>
      </w:r>
      <w:proofErr w:type="spellEnd"/>
      <w:r>
        <w:rPr>
          <w:rFonts w:ascii="Times New Roman" w:hAnsi="Times New Roman"/>
          <w:sz w:val="24"/>
        </w:rPr>
        <w:t xml:space="preserve"> функции печени. Проявляется в общей сл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бости, повышенной раздражимости, снижением памяти,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тереса к окружающему.</w:t>
      </w:r>
    </w:p>
    <w:p w14:paraId="63D2728F" w14:textId="77777777" w:rsidR="00527CF1" w:rsidRDefault="00527CF1" w:rsidP="004260F7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Диспепсический синдром: особенно при </w:t>
      </w:r>
      <w:proofErr w:type="spellStart"/>
      <w:r>
        <w:rPr>
          <w:rFonts w:ascii="Times New Roman" w:hAnsi="Times New Roman"/>
          <w:sz w:val="24"/>
        </w:rPr>
        <w:t>холестатическом</w:t>
      </w:r>
      <w:proofErr w:type="spellEnd"/>
      <w:r>
        <w:rPr>
          <w:rFonts w:ascii="Times New Roman" w:hAnsi="Times New Roman"/>
          <w:sz w:val="24"/>
        </w:rPr>
        <w:t xml:space="preserve"> гепатите. Понижение аппетита, изменение вкуса, при хрон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ческом алкоголизме - снижение толерантности к алкоголю: чувство горечи во рту, особенно характерен метеоризм, 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пая ноющая боль в правом </w:t>
      </w:r>
      <w:proofErr w:type="spellStart"/>
      <w:r>
        <w:rPr>
          <w:rFonts w:ascii="Times New Roman" w:hAnsi="Times New Roman"/>
          <w:sz w:val="24"/>
        </w:rPr>
        <w:t>предреберье</w:t>
      </w:r>
      <w:proofErr w:type="spellEnd"/>
      <w:r>
        <w:rPr>
          <w:rFonts w:ascii="Times New Roman" w:hAnsi="Times New Roman"/>
          <w:sz w:val="24"/>
        </w:rPr>
        <w:t>, чувство тяжести: отрыжка горечью, воздухом, рвота, стул чаще жидкий.</w:t>
      </w:r>
    </w:p>
    <w:p w14:paraId="1B81D4B5" w14:textId="77777777" w:rsidR="00527CF1" w:rsidRDefault="00527CF1" w:rsidP="004260F7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Холестатический</w:t>
      </w:r>
      <w:proofErr w:type="spellEnd"/>
      <w:r>
        <w:rPr>
          <w:rFonts w:ascii="Times New Roman" w:hAnsi="Times New Roman"/>
          <w:sz w:val="24"/>
        </w:rPr>
        <w:t xml:space="preserve"> синдром: темный цвет мочи, светлый кал, кожный зуд, желтуха.</w:t>
      </w:r>
    </w:p>
    <w:p w14:paraId="5EC9E7CA" w14:textId="77777777" w:rsidR="00527CF1" w:rsidRDefault="00527CF1" w:rsidP="004260F7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Синдром малой печеночной недостаточности: в 80% страд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 транзитная функция печени, развивается печеночная же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туха, кроме того, нарушается синтез белков печенью и </w:t>
      </w:r>
      <w:proofErr w:type="spellStart"/>
      <w:r>
        <w:rPr>
          <w:rFonts w:ascii="Times New Roman" w:hAnsi="Times New Roman"/>
          <w:sz w:val="24"/>
        </w:rPr>
        <w:t>ина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тивация</w:t>
      </w:r>
      <w:proofErr w:type="spellEnd"/>
      <w:r>
        <w:rPr>
          <w:rFonts w:ascii="Times New Roman" w:hAnsi="Times New Roman"/>
          <w:sz w:val="24"/>
        </w:rPr>
        <w:t xml:space="preserve"> альдостерона - это приводит к отекам, может быть геморрагический синдром из-за нарушения синтеза белков крови.</w:t>
      </w:r>
    </w:p>
    <w:p w14:paraId="02CE0787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Объективно</w:t>
      </w:r>
    </w:p>
    <w:p w14:paraId="35038309" w14:textId="77777777" w:rsidR="00527CF1" w:rsidRDefault="00527CF1" w:rsidP="004260F7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Гепатомегалия</w:t>
      </w:r>
      <w:proofErr w:type="spellEnd"/>
      <w:r>
        <w:rPr>
          <w:rFonts w:ascii="Times New Roman" w:hAnsi="Times New Roman"/>
          <w:sz w:val="24"/>
        </w:rPr>
        <w:t>.</w:t>
      </w:r>
    </w:p>
    <w:p w14:paraId="62C6C490" w14:textId="77777777" w:rsidR="00527CF1" w:rsidRDefault="00527CF1" w:rsidP="004260F7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 со стороны кожи: желтушность в 50%, иногда с грязноватым оттенком из-за избыточного отложения мел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нина и железа, вторичный </w:t>
      </w:r>
      <w:proofErr w:type="spellStart"/>
      <w:r>
        <w:rPr>
          <w:rFonts w:ascii="Times New Roman" w:hAnsi="Times New Roman"/>
          <w:sz w:val="24"/>
        </w:rPr>
        <w:t>гематохроматоз</w:t>
      </w:r>
      <w:proofErr w:type="spellEnd"/>
      <w:r>
        <w:rPr>
          <w:rFonts w:ascii="Times New Roman" w:hAnsi="Times New Roman"/>
          <w:sz w:val="24"/>
        </w:rPr>
        <w:t xml:space="preserve"> (чаще у алкогол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ков), кожный зуд - расчесы, угри, иногда крапивница, иногда скопления жира - </w:t>
      </w:r>
      <w:proofErr w:type="spellStart"/>
      <w:r>
        <w:rPr>
          <w:rFonts w:ascii="Times New Roman" w:hAnsi="Times New Roman"/>
          <w:sz w:val="24"/>
        </w:rPr>
        <w:t>ксантоматоз</w:t>
      </w:r>
      <w:proofErr w:type="spellEnd"/>
      <w:r>
        <w:rPr>
          <w:rFonts w:ascii="Times New Roman" w:hAnsi="Times New Roman"/>
          <w:sz w:val="24"/>
        </w:rPr>
        <w:t xml:space="preserve"> склер; сосудистые звездочки - проявление </w:t>
      </w:r>
      <w:proofErr w:type="spellStart"/>
      <w:r>
        <w:rPr>
          <w:rFonts w:ascii="Times New Roman" w:hAnsi="Times New Roman"/>
          <w:sz w:val="24"/>
        </w:rPr>
        <w:t>гиперастрогенизма</w:t>
      </w:r>
      <w:proofErr w:type="spellEnd"/>
      <w:r>
        <w:rPr>
          <w:rFonts w:ascii="Times New Roman" w:hAnsi="Times New Roman"/>
          <w:sz w:val="24"/>
        </w:rPr>
        <w:t>: могут быть явления геморр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гического диатеза, печеночные ладони - ярко-красные (б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вают и у здоровых).</w:t>
      </w:r>
    </w:p>
    <w:p w14:paraId="7E6FC66A" w14:textId="77777777" w:rsidR="00527CF1" w:rsidRDefault="00527CF1" w:rsidP="004260F7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Спленомегалия</w:t>
      </w:r>
      <w:proofErr w:type="spellEnd"/>
      <w:r>
        <w:rPr>
          <w:rFonts w:ascii="Times New Roman" w:hAnsi="Times New Roman"/>
          <w:sz w:val="24"/>
        </w:rPr>
        <w:t xml:space="preserve"> - чаще при активной форме гепатита.</w:t>
      </w:r>
    </w:p>
    <w:p w14:paraId="211BC540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бывает лихорадка, аллергическая сыпь, 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рикардит, нефрит (чаще при </w:t>
      </w:r>
      <w:proofErr w:type="spellStart"/>
      <w:r>
        <w:rPr>
          <w:rFonts w:ascii="Times New Roman" w:hAnsi="Times New Roman"/>
          <w:sz w:val="24"/>
        </w:rPr>
        <w:t>люпоидном</w:t>
      </w:r>
      <w:proofErr w:type="spellEnd"/>
      <w:r>
        <w:rPr>
          <w:rFonts w:ascii="Times New Roman" w:hAnsi="Times New Roman"/>
          <w:sz w:val="24"/>
        </w:rPr>
        <w:t xml:space="preserve"> гепатите).</w:t>
      </w:r>
    </w:p>
    <w:p w14:paraId="416ADBBA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Диагностика</w:t>
      </w:r>
    </w:p>
    <w:p w14:paraId="3B7C403E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уровня билирубина в крови, особенно высоко при </w:t>
      </w:r>
      <w:proofErr w:type="spellStart"/>
      <w:r>
        <w:rPr>
          <w:rFonts w:ascii="Times New Roman" w:hAnsi="Times New Roman"/>
          <w:sz w:val="24"/>
        </w:rPr>
        <w:t>холестатическом</w:t>
      </w:r>
      <w:proofErr w:type="spellEnd"/>
      <w:r>
        <w:rPr>
          <w:rFonts w:ascii="Times New Roman" w:hAnsi="Times New Roman"/>
          <w:sz w:val="24"/>
        </w:rPr>
        <w:t xml:space="preserve"> варианте, при резком обострении хр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нического процесса.</w:t>
      </w:r>
    </w:p>
    <w:p w14:paraId="28B963EA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Ферменты:</w:t>
      </w:r>
    </w:p>
    <w:p w14:paraId="6B3AD63B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АЛТ (ГПТ) - это индикаторные ферменты, повышение акти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ности которых сопровождается  разрушением гепатоцитов и отражает степень некробиотических процессов в печени. Но нужно помнить, что некоторое повышение этих ферментов происходит и при инфаркте миокарда</w:t>
      </w:r>
    </w:p>
    <w:p w14:paraId="4B39878D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молочная фосфатаза - активность возрастает при нарушении оттока желчи (холестаза): в норме 5-7 ЕД</w:t>
      </w:r>
    </w:p>
    <w:p w14:paraId="7911F846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proofErr w:type="spellStart"/>
      <w:r>
        <w:rPr>
          <w:rFonts w:ascii="Times New Roman" w:hAnsi="Times New Roman"/>
          <w:sz w:val="24"/>
        </w:rPr>
        <w:t>альдолаза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лактатдегидрогеназа</w:t>
      </w:r>
      <w:proofErr w:type="spellEnd"/>
      <w:r>
        <w:rPr>
          <w:rFonts w:ascii="Times New Roman" w:hAnsi="Times New Roman"/>
          <w:sz w:val="24"/>
        </w:rPr>
        <w:t>.</w:t>
      </w:r>
    </w:p>
    <w:p w14:paraId="416E7D48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Холестерин - повышается до 1000-1200 </w:t>
      </w:r>
      <w:proofErr w:type="spellStart"/>
      <w:r>
        <w:rPr>
          <w:rFonts w:ascii="Times New Roman" w:hAnsi="Times New Roman"/>
          <w:sz w:val="24"/>
        </w:rPr>
        <w:t>мг%</w:t>
      </w:r>
      <w:proofErr w:type="spellEnd"/>
      <w:r>
        <w:rPr>
          <w:rFonts w:ascii="Times New Roman" w:hAnsi="Times New Roman"/>
          <w:sz w:val="24"/>
        </w:rPr>
        <w:t>.</w:t>
      </w:r>
    </w:p>
    <w:p w14:paraId="46C903B4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Белковые фракции крови:</w:t>
      </w:r>
    </w:p>
    <w:p w14:paraId="289FF459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а) </w:t>
      </w:r>
      <w:proofErr w:type="spellStart"/>
      <w:r>
        <w:rPr>
          <w:rFonts w:ascii="Times New Roman" w:hAnsi="Times New Roman"/>
          <w:sz w:val="24"/>
        </w:rPr>
        <w:t>гипоальбуминемия</w:t>
      </w:r>
      <w:proofErr w:type="spellEnd"/>
      <w:r>
        <w:rPr>
          <w:rFonts w:ascii="Times New Roman" w:hAnsi="Times New Roman"/>
          <w:sz w:val="24"/>
        </w:rPr>
        <w:t>, особенно при активной форме (N 56,6-66,8%)</w:t>
      </w:r>
    </w:p>
    <w:p w14:paraId="1B6DB9A6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proofErr w:type="spellStart"/>
      <w:r>
        <w:rPr>
          <w:rFonts w:ascii="Times New Roman" w:hAnsi="Times New Roman"/>
          <w:sz w:val="24"/>
        </w:rPr>
        <w:t>гипогаммаглобулинемия</w:t>
      </w:r>
      <w:proofErr w:type="spellEnd"/>
      <w:r>
        <w:rPr>
          <w:rFonts w:ascii="Times New Roman" w:hAnsi="Times New Roman"/>
          <w:sz w:val="24"/>
        </w:rPr>
        <w:t xml:space="preserve"> - отражает активность иммунолог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ческих процессов в течении воспаления (норма 21%)</w:t>
      </w:r>
    </w:p>
    <w:p w14:paraId="5B77DB70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proofErr w:type="spellStart"/>
      <w:r>
        <w:rPr>
          <w:rFonts w:ascii="Times New Roman" w:hAnsi="Times New Roman"/>
          <w:sz w:val="24"/>
        </w:rPr>
        <w:t>гипофибриногенемия</w:t>
      </w:r>
      <w:proofErr w:type="spellEnd"/>
      <w:r>
        <w:rPr>
          <w:rFonts w:ascii="Times New Roman" w:hAnsi="Times New Roman"/>
          <w:sz w:val="24"/>
        </w:rPr>
        <w:t xml:space="preserve"> (2-4 г/л)</w:t>
      </w:r>
    </w:p>
    <w:p w14:paraId="202A3221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уменьшение протромбина (нарушается всасывание витамина К).</w:t>
      </w:r>
    </w:p>
    <w:p w14:paraId="0DD1D8AF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Гипергликемия.</w:t>
      </w:r>
    </w:p>
    <w:p w14:paraId="467269FF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Пробы для оценки антитоксических функций печени: проба </w:t>
      </w:r>
      <w:proofErr w:type="spellStart"/>
      <w:r>
        <w:rPr>
          <w:rFonts w:ascii="Times New Roman" w:hAnsi="Times New Roman"/>
          <w:sz w:val="24"/>
        </w:rPr>
        <w:t>Квика</w:t>
      </w:r>
      <w:proofErr w:type="spellEnd"/>
      <w:r>
        <w:rPr>
          <w:rFonts w:ascii="Times New Roman" w:hAnsi="Times New Roman"/>
          <w:sz w:val="24"/>
        </w:rPr>
        <w:t xml:space="preserve"> - определение </w:t>
      </w:r>
      <w:proofErr w:type="spellStart"/>
      <w:r>
        <w:rPr>
          <w:rFonts w:ascii="Times New Roman" w:hAnsi="Times New Roman"/>
          <w:sz w:val="24"/>
        </w:rPr>
        <w:t>гипуровой</w:t>
      </w:r>
      <w:proofErr w:type="spellEnd"/>
      <w:r>
        <w:rPr>
          <w:rFonts w:ascii="Times New Roman" w:hAnsi="Times New Roman"/>
          <w:sz w:val="24"/>
        </w:rPr>
        <w:t xml:space="preserve"> кислоты в моче после введ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ния в организм </w:t>
      </w:r>
      <w:proofErr w:type="spellStart"/>
      <w:r>
        <w:rPr>
          <w:rFonts w:ascii="Times New Roman" w:hAnsi="Times New Roman"/>
          <w:sz w:val="24"/>
        </w:rPr>
        <w:t>бензойнокислого</w:t>
      </w:r>
      <w:proofErr w:type="spellEnd"/>
      <w:r>
        <w:rPr>
          <w:rFonts w:ascii="Times New Roman" w:hAnsi="Times New Roman"/>
          <w:sz w:val="24"/>
        </w:rPr>
        <w:t xml:space="preserve"> натрия. О нарушении гов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рят, если выводится меньше 30% принятого внутрь </w:t>
      </w:r>
      <w:proofErr w:type="spellStart"/>
      <w:r>
        <w:rPr>
          <w:rFonts w:ascii="Times New Roman" w:hAnsi="Times New Roman"/>
          <w:sz w:val="24"/>
        </w:rPr>
        <w:t>бензо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нокислого</w:t>
      </w:r>
      <w:proofErr w:type="spellEnd"/>
      <w:r>
        <w:rPr>
          <w:rFonts w:ascii="Times New Roman" w:hAnsi="Times New Roman"/>
          <w:sz w:val="24"/>
        </w:rPr>
        <w:t xml:space="preserve"> натрия.</w:t>
      </w:r>
    </w:p>
    <w:p w14:paraId="2E592CDC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Пробы для оценки нарушения белкового спектра: </w:t>
      </w:r>
      <w:proofErr w:type="spellStart"/>
      <w:r>
        <w:rPr>
          <w:rFonts w:ascii="Times New Roman" w:hAnsi="Times New Roman"/>
          <w:sz w:val="24"/>
        </w:rPr>
        <w:t>коагуляц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онная</w:t>
      </w:r>
      <w:proofErr w:type="spellEnd"/>
      <w:r>
        <w:rPr>
          <w:rFonts w:ascii="Times New Roman" w:hAnsi="Times New Roman"/>
          <w:sz w:val="24"/>
        </w:rPr>
        <w:t xml:space="preserve"> лента </w:t>
      </w:r>
      <w:proofErr w:type="spellStart"/>
      <w:r>
        <w:rPr>
          <w:rFonts w:ascii="Times New Roman" w:hAnsi="Times New Roman"/>
          <w:sz w:val="24"/>
        </w:rPr>
        <w:t>Вейхтмана</w:t>
      </w:r>
      <w:proofErr w:type="spellEnd"/>
      <w:r>
        <w:rPr>
          <w:rFonts w:ascii="Times New Roman" w:hAnsi="Times New Roman"/>
          <w:sz w:val="24"/>
        </w:rPr>
        <w:t xml:space="preserve">, реакция </w:t>
      </w:r>
      <w:proofErr w:type="spellStart"/>
      <w:r>
        <w:rPr>
          <w:rFonts w:ascii="Times New Roman" w:hAnsi="Times New Roman"/>
          <w:sz w:val="24"/>
        </w:rPr>
        <w:t>Токата-ара</w:t>
      </w:r>
      <w:proofErr w:type="spellEnd"/>
      <w:r>
        <w:rPr>
          <w:rFonts w:ascii="Times New Roman" w:hAnsi="Times New Roman"/>
          <w:sz w:val="24"/>
        </w:rPr>
        <w:t>, (N-), сулем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вые пробы, </w:t>
      </w:r>
      <w:proofErr w:type="spellStart"/>
      <w:r>
        <w:rPr>
          <w:rFonts w:ascii="Times New Roman" w:hAnsi="Times New Roman"/>
          <w:sz w:val="24"/>
        </w:rPr>
        <w:t>веронал-тимоловая</w:t>
      </w:r>
      <w:proofErr w:type="spellEnd"/>
      <w:r>
        <w:rPr>
          <w:rFonts w:ascii="Times New Roman" w:hAnsi="Times New Roman"/>
          <w:sz w:val="24"/>
        </w:rPr>
        <w:t xml:space="preserve"> проба (в N - 5 ЕД).</w:t>
      </w:r>
    </w:p>
    <w:p w14:paraId="2E1AC9DE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Иммунологические реакции: определение иммуноглобул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нов и </w:t>
      </w:r>
      <w:proofErr w:type="spellStart"/>
      <w:r>
        <w:rPr>
          <w:rFonts w:ascii="Times New Roman" w:hAnsi="Times New Roman"/>
          <w:sz w:val="24"/>
        </w:rPr>
        <w:t>печ</w:t>
      </w:r>
      <w:proofErr w:type="spellEnd"/>
      <w:r>
        <w:rPr>
          <w:rFonts w:ascii="Times New Roman" w:hAnsi="Times New Roman"/>
          <w:sz w:val="24"/>
        </w:rPr>
        <w:t>. антител.</w:t>
      </w:r>
    </w:p>
    <w:p w14:paraId="54BF0A3C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Пробы для оценки экскреторной функции печени: проба с </w:t>
      </w:r>
      <w:proofErr w:type="spellStart"/>
      <w:r>
        <w:rPr>
          <w:rFonts w:ascii="Times New Roman" w:hAnsi="Times New Roman"/>
          <w:sz w:val="24"/>
        </w:rPr>
        <w:t>бромсульфалеином</w:t>
      </w:r>
      <w:proofErr w:type="spellEnd"/>
      <w:r>
        <w:rPr>
          <w:rFonts w:ascii="Times New Roman" w:hAnsi="Times New Roman"/>
          <w:sz w:val="24"/>
        </w:rPr>
        <w:t xml:space="preserve"> - через час должно выводиться 60-80% вещества.</w:t>
      </w:r>
    </w:p>
    <w:p w14:paraId="3FF88FAA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Радиоизотопное исследование с *** золотом, бенгальской розой.</w:t>
      </w:r>
    </w:p>
    <w:p w14:paraId="3DAC4DDE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Пункциональная</w:t>
      </w:r>
      <w:proofErr w:type="spellEnd"/>
      <w:r>
        <w:rPr>
          <w:rFonts w:ascii="Times New Roman" w:hAnsi="Times New Roman"/>
          <w:sz w:val="24"/>
        </w:rPr>
        <w:t xml:space="preserve"> биопсия печени.</w:t>
      </w:r>
    </w:p>
    <w:p w14:paraId="163400B6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Лапароскопия.</w:t>
      </w:r>
    </w:p>
    <w:p w14:paraId="640C0F65" w14:textId="77777777" w:rsidR="00527CF1" w:rsidRDefault="00527CF1" w:rsidP="004260F7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Холангиография</w:t>
      </w:r>
      <w:proofErr w:type="spellEnd"/>
      <w:r>
        <w:rPr>
          <w:rFonts w:ascii="Times New Roman" w:hAnsi="Times New Roman"/>
          <w:sz w:val="24"/>
        </w:rPr>
        <w:t>.</w:t>
      </w:r>
    </w:p>
    <w:p w14:paraId="3DB78842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клиники</w:t>
      </w:r>
    </w:p>
    <w:p w14:paraId="44F31B67" w14:textId="77777777" w:rsidR="00527CF1" w:rsidRDefault="00527CF1" w:rsidP="004260F7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Персистирующий</w:t>
      </w:r>
      <w:proofErr w:type="spellEnd"/>
      <w:r>
        <w:rPr>
          <w:rFonts w:ascii="Times New Roman" w:hAnsi="Times New Roman"/>
          <w:sz w:val="24"/>
        </w:rPr>
        <w:t xml:space="preserve"> гепатит: часто обнаруживается австрали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ский антиген. Вне обострения клинических проявлений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и не быть, за исключением увеличенной печению. Это доброкачественная форма, но больные являются вирусон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сителями. Печеночные пробы изменены незначительно, крайне поздно изменяются белковые фракции крови.</w:t>
      </w:r>
    </w:p>
    <w:p w14:paraId="3D6F0693" w14:textId="77777777" w:rsidR="00527CF1" w:rsidRDefault="00527CF1" w:rsidP="004260F7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Активный гепатит. Антиген независимый, яркая клиника:</w:t>
      </w:r>
    </w:p>
    <w:p w14:paraId="675C0C2B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лихорадка, желтушность</w:t>
      </w:r>
    </w:p>
    <w:p w14:paraId="514BB47F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proofErr w:type="spellStart"/>
      <w:r>
        <w:rPr>
          <w:rFonts w:ascii="Times New Roman" w:hAnsi="Times New Roman"/>
          <w:sz w:val="24"/>
        </w:rPr>
        <w:t>спленомегалия</w:t>
      </w:r>
      <w:proofErr w:type="spellEnd"/>
      <w:r>
        <w:rPr>
          <w:rFonts w:ascii="Times New Roman" w:hAnsi="Times New Roman"/>
          <w:sz w:val="24"/>
        </w:rPr>
        <w:t xml:space="preserve">, иногда с проявлениями </w:t>
      </w:r>
      <w:proofErr w:type="spellStart"/>
      <w:r>
        <w:rPr>
          <w:rFonts w:ascii="Times New Roman" w:hAnsi="Times New Roman"/>
          <w:sz w:val="24"/>
        </w:rPr>
        <w:t>гиперспленизма</w:t>
      </w:r>
      <w:proofErr w:type="spellEnd"/>
    </w:p>
    <w:p w14:paraId="60585509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тромбоцитопения</w:t>
      </w:r>
    </w:p>
    <w:p w14:paraId="37C31F80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proofErr w:type="spellStart"/>
      <w:r>
        <w:rPr>
          <w:rFonts w:ascii="Times New Roman" w:hAnsi="Times New Roman"/>
          <w:sz w:val="24"/>
        </w:rPr>
        <w:t>гипергаммоглобулинемия</w:t>
      </w:r>
      <w:proofErr w:type="spellEnd"/>
    </w:p>
    <w:p w14:paraId="539C342F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превышение активности ферментов</w:t>
      </w:r>
    </w:p>
    <w:p w14:paraId="2A8AE23E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повышение титра иммуноглобулинов</w:t>
      </w:r>
    </w:p>
    <w:p w14:paraId="2D161EF8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иногда обнаруживаются </w:t>
      </w:r>
      <w:proofErr w:type="spellStart"/>
      <w:r>
        <w:rPr>
          <w:rFonts w:ascii="Times New Roman" w:hAnsi="Times New Roman"/>
          <w:sz w:val="24"/>
        </w:rPr>
        <w:t>антинуклеарные</w:t>
      </w:r>
      <w:proofErr w:type="spellEnd"/>
      <w:r>
        <w:rPr>
          <w:rFonts w:ascii="Times New Roman" w:hAnsi="Times New Roman"/>
          <w:sz w:val="24"/>
        </w:rPr>
        <w:t xml:space="preserve"> антитела, иногда есть </w:t>
      </w:r>
      <w:proofErr w:type="spellStart"/>
      <w:r>
        <w:rPr>
          <w:rFonts w:ascii="Times New Roman" w:hAnsi="Times New Roman"/>
          <w:sz w:val="24"/>
        </w:rPr>
        <w:t>бластотрансформации</w:t>
      </w:r>
      <w:proofErr w:type="spellEnd"/>
      <w:r>
        <w:rPr>
          <w:rFonts w:ascii="Times New Roman" w:hAnsi="Times New Roman"/>
          <w:sz w:val="24"/>
        </w:rPr>
        <w:t xml:space="preserve"> лимфоцитов.</w:t>
      </w:r>
    </w:p>
    <w:p w14:paraId="44AEDDA5" w14:textId="77777777" w:rsidR="00527CF1" w:rsidRDefault="00527CF1" w:rsidP="004260F7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Люпоидный</w:t>
      </w:r>
      <w:proofErr w:type="spellEnd"/>
      <w:r>
        <w:rPr>
          <w:rFonts w:ascii="Times New Roman" w:hAnsi="Times New Roman"/>
          <w:sz w:val="24"/>
        </w:rPr>
        <w:t xml:space="preserve"> вариант: длительность течения около 1 года </w:t>
      </w:r>
    </w:p>
    <w:p w14:paraId="0379DCB6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чаще болеют молодые женщины</w:t>
      </w:r>
    </w:p>
    <w:p w14:paraId="7514D674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часто есть </w:t>
      </w:r>
      <w:proofErr w:type="spellStart"/>
      <w:r>
        <w:rPr>
          <w:rFonts w:ascii="Times New Roman" w:hAnsi="Times New Roman"/>
          <w:sz w:val="24"/>
        </w:rPr>
        <w:t>атралгии</w:t>
      </w:r>
      <w:proofErr w:type="spellEnd"/>
    </w:p>
    <w:p w14:paraId="3B742404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в) аллергические проявления, крапивница</w:t>
      </w:r>
    </w:p>
    <w:p w14:paraId="71967B4D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proofErr w:type="spellStart"/>
      <w:r>
        <w:rPr>
          <w:rFonts w:ascii="Times New Roman" w:hAnsi="Times New Roman"/>
          <w:sz w:val="24"/>
        </w:rPr>
        <w:t>лимфоаденопатия</w:t>
      </w:r>
      <w:proofErr w:type="spellEnd"/>
      <w:r>
        <w:rPr>
          <w:rFonts w:ascii="Times New Roman" w:hAnsi="Times New Roman"/>
          <w:sz w:val="24"/>
        </w:rPr>
        <w:t xml:space="preserve"> (в реакциях участвуют В-лимфоциты)</w:t>
      </w:r>
    </w:p>
    <w:p w14:paraId="35052E9C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) иногда </w:t>
      </w:r>
      <w:proofErr w:type="spellStart"/>
      <w:r>
        <w:rPr>
          <w:rFonts w:ascii="Times New Roman" w:hAnsi="Times New Roman"/>
          <w:sz w:val="24"/>
        </w:rPr>
        <w:t>тиреоидит</w:t>
      </w:r>
      <w:proofErr w:type="spellEnd"/>
    </w:p>
    <w:p w14:paraId="22D9F768" w14:textId="77777777" w:rsidR="00527CF1" w:rsidRDefault="00527CF1" w:rsidP="004260F7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изменения со стороны сердца.</w:t>
      </w:r>
    </w:p>
    <w:p w14:paraId="1EF5175E" w14:textId="77777777" w:rsidR="00527CF1" w:rsidRDefault="00527CF1" w:rsidP="004260F7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Холестатический</w:t>
      </w:r>
      <w:proofErr w:type="spellEnd"/>
      <w:r>
        <w:rPr>
          <w:rFonts w:ascii="Times New Roman" w:hAnsi="Times New Roman"/>
          <w:sz w:val="24"/>
        </w:rPr>
        <w:t xml:space="preserve"> вариант чаще у немолодых женщин, ближе к менопаузе; постепенно нарастает выраженный кожный зуд, выраженная желтуха с </w:t>
      </w:r>
      <w:proofErr w:type="spellStart"/>
      <w:r>
        <w:rPr>
          <w:rFonts w:ascii="Times New Roman" w:hAnsi="Times New Roman"/>
          <w:sz w:val="24"/>
        </w:rPr>
        <w:t>гипербилирубинемией</w:t>
      </w:r>
      <w:proofErr w:type="spellEnd"/>
      <w:r>
        <w:rPr>
          <w:rFonts w:ascii="Times New Roman" w:hAnsi="Times New Roman"/>
          <w:sz w:val="24"/>
        </w:rPr>
        <w:t>, увеличение активности щелочной фосфатазы, нарушения всасывания 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тамина D </w:t>
      </w:r>
      <w:r>
        <w:rPr>
          <w:rFonts w:ascii="Times New Roman" w:hAnsi="Times New Roman"/>
          <w:sz w:val="24"/>
        </w:rPr>
        <w:sym w:font="Symbol" w:char="F0AE"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остеопороз</w:t>
      </w:r>
      <w:proofErr w:type="spellEnd"/>
      <w:r>
        <w:rPr>
          <w:rFonts w:ascii="Times New Roman" w:hAnsi="Times New Roman"/>
          <w:sz w:val="24"/>
        </w:rPr>
        <w:t>, патологическая ломкость костей.</w:t>
      </w:r>
    </w:p>
    <w:p w14:paraId="3B8E28AC" w14:textId="77777777" w:rsidR="00527CF1" w:rsidRDefault="00527CF1" w:rsidP="004260F7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Хронический алкогольный гепатит длительный анамнез, чаще болеют мужчины; раньше было 10 : 1, сейчас 4 : 1. Вначале могут протекать как другие формы, но затем бывает тремор, потеря интереса к окружающему, чувство униженн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сти, импотенция, гинекомастия, выпадение волос, втори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ный </w:t>
      </w:r>
      <w:proofErr w:type="spellStart"/>
      <w:r>
        <w:rPr>
          <w:rFonts w:ascii="Times New Roman" w:hAnsi="Times New Roman"/>
          <w:sz w:val="24"/>
        </w:rPr>
        <w:t>гемахроматоз</w:t>
      </w:r>
      <w:proofErr w:type="spellEnd"/>
      <w:r>
        <w:rPr>
          <w:rFonts w:ascii="Times New Roman" w:hAnsi="Times New Roman"/>
          <w:sz w:val="24"/>
        </w:rPr>
        <w:t xml:space="preserve">, резко выраженная анемия, обычно </w:t>
      </w:r>
      <w:proofErr w:type="spellStart"/>
      <w:r>
        <w:rPr>
          <w:rFonts w:ascii="Times New Roman" w:hAnsi="Times New Roman"/>
          <w:sz w:val="24"/>
        </w:rPr>
        <w:t>гипе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хромная</w:t>
      </w:r>
      <w:proofErr w:type="spellEnd"/>
      <w:r>
        <w:rPr>
          <w:rFonts w:ascii="Times New Roman" w:hAnsi="Times New Roman"/>
          <w:sz w:val="24"/>
        </w:rPr>
        <w:t xml:space="preserve"> - влияние этанола на костный мозг, </w:t>
      </w:r>
      <w:proofErr w:type="spellStart"/>
      <w:r>
        <w:rPr>
          <w:rFonts w:ascii="Times New Roman" w:hAnsi="Times New Roman"/>
          <w:sz w:val="24"/>
        </w:rPr>
        <w:t>гиперлейкоц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тоз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гипоальбуминемия</w:t>
      </w:r>
      <w:proofErr w:type="spellEnd"/>
      <w:r>
        <w:rPr>
          <w:rFonts w:ascii="Times New Roman" w:hAnsi="Times New Roman"/>
          <w:sz w:val="24"/>
        </w:rPr>
        <w:t>.</w:t>
      </w:r>
    </w:p>
    <w:p w14:paraId="57BB18D0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14:paraId="3FB3C498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гепатит иногда протекает как </w:t>
      </w:r>
      <w:r>
        <w:rPr>
          <w:rFonts w:ascii="Times New Roman" w:hAnsi="Times New Roman"/>
          <w:i/>
          <w:sz w:val="24"/>
        </w:rPr>
        <w:t>острый</w:t>
      </w:r>
      <w:r>
        <w:rPr>
          <w:rFonts w:ascii="Times New Roman" w:hAnsi="Times New Roman"/>
          <w:sz w:val="24"/>
        </w:rPr>
        <w:t>.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познавать помогает анамнез. Кроме того, при остром гепатите активность ферментов достигает очень высоких цифр, при хр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ническом гепатите активность ферментов повышается умере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но. При остром гепатите по данным </w:t>
      </w:r>
      <w:proofErr w:type="spellStart"/>
      <w:r>
        <w:rPr>
          <w:rFonts w:ascii="Times New Roman" w:hAnsi="Times New Roman"/>
          <w:sz w:val="24"/>
        </w:rPr>
        <w:t>протеинограммы</w:t>
      </w:r>
      <w:proofErr w:type="spellEnd"/>
      <w:r>
        <w:rPr>
          <w:rFonts w:ascii="Times New Roman" w:hAnsi="Times New Roman"/>
          <w:sz w:val="24"/>
        </w:rPr>
        <w:t xml:space="preserve"> нет наруш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 белковых фракций крови.</w:t>
      </w:r>
    </w:p>
    <w:p w14:paraId="6E89DDAC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хроническом гепатите, в отличие от </w:t>
      </w:r>
      <w:r>
        <w:rPr>
          <w:rFonts w:ascii="Times New Roman" w:hAnsi="Times New Roman"/>
          <w:i/>
          <w:sz w:val="24"/>
        </w:rPr>
        <w:t>цирроза печени</w:t>
      </w:r>
      <w:r>
        <w:rPr>
          <w:rFonts w:ascii="Times New Roman" w:hAnsi="Times New Roman"/>
          <w:sz w:val="24"/>
        </w:rPr>
        <w:t xml:space="preserve">, нет признаков портальной гипертензии. Помогает также метод биопсии: при хроническом гепатите сохранена </w:t>
      </w:r>
      <w:proofErr w:type="spellStart"/>
      <w:r>
        <w:rPr>
          <w:rFonts w:ascii="Times New Roman" w:hAnsi="Times New Roman"/>
          <w:sz w:val="24"/>
        </w:rPr>
        <w:t>дольковая</w:t>
      </w:r>
      <w:proofErr w:type="spellEnd"/>
      <w:r>
        <w:rPr>
          <w:rFonts w:ascii="Times New Roman" w:hAnsi="Times New Roman"/>
          <w:sz w:val="24"/>
        </w:rPr>
        <w:t xml:space="preserve"> стру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тура.</w:t>
      </w:r>
    </w:p>
    <w:p w14:paraId="3A0A0340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Синдром </w:t>
      </w:r>
      <w:proofErr w:type="spellStart"/>
      <w:r>
        <w:rPr>
          <w:rFonts w:ascii="Times New Roman" w:hAnsi="Times New Roman"/>
          <w:sz w:val="24"/>
        </w:rPr>
        <w:t>Дубина-Джонса</w:t>
      </w:r>
      <w:proofErr w:type="spellEnd"/>
      <w:r>
        <w:rPr>
          <w:rFonts w:ascii="Times New Roman" w:hAnsi="Times New Roman"/>
          <w:sz w:val="24"/>
        </w:rPr>
        <w:t xml:space="preserve">: доброкачественная </w:t>
      </w:r>
      <w:proofErr w:type="spellStart"/>
      <w:r>
        <w:rPr>
          <w:rFonts w:ascii="Times New Roman" w:hAnsi="Times New Roman"/>
          <w:sz w:val="24"/>
        </w:rPr>
        <w:t>гипербил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рубинемия</w:t>
      </w:r>
      <w:proofErr w:type="spellEnd"/>
      <w:r>
        <w:rPr>
          <w:rFonts w:ascii="Times New Roman" w:hAnsi="Times New Roman"/>
          <w:sz w:val="24"/>
        </w:rPr>
        <w:t>. Другое название - юношеская перемежающаяся же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туха. При этом есть дефект фермента, осуществляющего тран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порт билирубина. В отличие от хронического гепатита нет ув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личения печени, энзимопатия наследуется по аутосомно-доминантному типу. Заболевание  появляется впервые после </w:t>
      </w:r>
      <w:proofErr w:type="spellStart"/>
      <w:r>
        <w:rPr>
          <w:rFonts w:ascii="Times New Roman" w:hAnsi="Times New Roman"/>
          <w:sz w:val="24"/>
        </w:rPr>
        <w:t>пубертантного</w:t>
      </w:r>
      <w:proofErr w:type="spellEnd"/>
      <w:r>
        <w:rPr>
          <w:rFonts w:ascii="Times New Roman" w:hAnsi="Times New Roman"/>
          <w:sz w:val="24"/>
        </w:rPr>
        <w:t xml:space="preserve"> периода. Жалобы на тяжесть и тупые боли в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ласти печени, </w:t>
      </w:r>
      <w:proofErr w:type="spellStart"/>
      <w:r>
        <w:rPr>
          <w:rFonts w:ascii="Times New Roman" w:hAnsi="Times New Roman"/>
          <w:sz w:val="24"/>
        </w:rPr>
        <w:t>эпигастрии</w:t>
      </w:r>
      <w:proofErr w:type="spellEnd"/>
      <w:r>
        <w:rPr>
          <w:rFonts w:ascii="Times New Roman" w:hAnsi="Times New Roman"/>
          <w:sz w:val="24"/>
        </w:rPr>
        <w:t>, непонятные диспепсические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стройства. </w:t>
      </w:r>
      <w:proofErr w:type="spellStart"/>
      <w:r>
        <w:rPr>
          <w:rFonts w:ascii="Times New Roman" w:hAnsi="Times New Roman"/>
          <w:sz w:val="24"/>
        </w:rPr>
        <w:t>Спленомегалия</w:t>
      </w:r>
      <w:proofErr w:type="spellEnd"/>
      <w:r>
        <w:rPr>
          <w:rFonts w:ascii="Times New Roman" w:hAnsi="Times New Roman"/>
          <w:sz w:val="24"/>
        </w:rPr>
        <w:t xml:space="preserve"> отсутствует, желтуха умеренная,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щий билирубин обычно 2-6 </w:t>
      </w:r>
      <w:proofErr w:type="spellStart"/>
      <w:r>
        <w:rPr>
          <w:rFonts w:ascii="Times New Roman" w:hAnsi="Times New Roman"/>
          <w:sz w:val="24"/>
        </w:rPr>
        <w:t>мг%</w:t>
      </w:r>
      <w:proofErr w:type="spellEnd"/>
      <w:r>
        <w:rPr>
          <w:rFonts w:ascii="Times New Roman" w:hAnsi="Times New Roman"/>
          <w:sz w:val="24"/>
        </w:rPr>
        <w:t xml:space="preserve"> и постоянно колеблется около одной средней величины. Связанный билирубин повышен и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ставляет 60-80% от общего. Наблюдается постоянная билируб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нурия, </w:t>
      </w:r>
      <w:proofErr w:type="spellStart"/>
      <w:r>
        <w:rPr>
          <w:rFonts w:ascii="Times New Roman" w:hAnsi="Times New Roman"/>
          <w:sz w:val="24"/>
        </w:rPr>
        <w:t>уробилиновые</w:t>
      </w:r>
      <w:proofErr w:type="spellEnd"/>
      <w:r>
        <w:rPr>
          <w:rFonts w:ascii="Times New Roman" w:hAnsi="Times New Roman"/>
          <w:sz w:val="24"/>
        </w:rPr>
        <w:t xml:space="preserve"> тела остаются в норме. Один из характе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ных признаков - увеличение ретенции </w:t>
      </w:r>
      <w:proofErr w:type="spellStart"/>
      <w:r>
        <w:rPr>
          <w:rFonts w:ascii="Times New Roman" w:hAnsi="Times New Roman"/>
          <w:sz w:val="24"/>
        </w:rPr>
        <w:t>бром***фалеина</w:t>
      </w:r>
      <w:proofErr w:type="spellEnd"/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сле 30 минут его введения. Для заболевания </w:t>
      </w:r>
      <w:proofErr w:type="spellStart"/>
      <w:r>
        <w:rPr>
          <w:rFonts w:ascii="Times New Roman" w:hAnsi="Times New Roman"/>
          <w:sz w:val="24"/>
        </w:rPr>
        <w:t>патогномонично</w:t>
      </w:r>
      <w:proofErr w:type="spellEnd"/>
      <w:r>
        <w:rPr>
          <w:rFonts w:ascii="Times New Roman" w:hAnsi="Times New Roman"/>
          <w:sz w:val="24"/>
        </w:rPr>
        <w:t xml:space="preserve"> увелич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в моче </w:t>
      </w:r>
      <w:proofErr w:type="spellStart"/>
      <w:r>
        <w:rPr>
          <w:rFonts w:ascii="Times New Roman" w:hAnsi="Times New Roman"/>
          <w:sz w:val="24"/>
        </w:rPr>
        <w:t>копропорфирина</w:t>
      </w:r>
      <w:proofErr w:type="spellEnd"/>
      <w:r>
        <w:rPr>
          <w:rFonts w:ascii="Times New Roman" w:hAnsi="Times New Roman"/>
          <w:sz w:val="24"/>
        </w:rPr>
        <w:t xml:space="preserve"> -1 более 80%. Почти каждого бол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 с синдромом госпитализируют с подозрением на острый вирусный гепатит. Заболевание почти не влияет на трудосп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собность и специального лечения, кроме диеты. не треб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ет.</w:t>
      </w:r>
    </w:p>
    <w:p w14:paraId="2D2B7A27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7FA0414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Лечение</w:t>
      </w:r>
    </w:p>
    <w:p w14:paraId="4D7B7245" w14:textId="77777777" w:rsidR="00527CF1" w:rsidRDefault="00527CF1" w:rsidP="004260F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Устранить повреждающий этиологический фактор.</w:t>
      </w:r>
    </w:p>
    <w:p w14:paraId="13DB966A" w14:textId="77777777" w:rsidR="00527CF1" w:rsidRDefault="00527CF1" w:rsidP="004260F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обострения - госпитализация, постельный режим. Диета: достаточное количество белков, углеводов, огранич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жиров, умеренное количество соли.</w:t>
      </w:r>
    </w:p>
    <w:p w14:paraId="6A260FB6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Патогенетическое лечение</w:t>
      </w:r>
    </w:p>
    <w:p w14:paraId="5135A397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Кортикостероиды - </w:t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 xml:space="preserve"> 30-40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</w:p>
    <w:p w14:paraId="11D1B5F8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proofErr w:type="spellStart"/>
      <w:r>
        <w:rPr>
          <w:rFonts w:ascii="Times New Roman" w:hAnsi="Times New Roman"/>
          <w:sz w:val="24"/>
        </w:rPr>
        <w:t>цитостатики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имуран</w:t>
      </w:r>
      <w:proofErr w:type="spellEnd"/>
      <w:r>
        <w:rPr>
          <w:rFonts w:ascii="Times New Roman" w:hAnsi="Times New Roman"/>
          <w:sz w:val="24"/>
        </w:rPr>
        <w:t xml:space="preserve"> 100-200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, 6-меркаптопурин, </w:t>
      </w:r>
      <w:proofErr w:type="spellStart"/>
      <w:r>
        <w:rPr>
          <w:rFonts w:ascii="Times New Roman" w:hAnsi="Times New Roman"/>
          <w:sz w:val="24"/>
        </w:rPr>
        <w:t>пла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венил</w:t>
      </w:r>
      <w:proofErr w:type="spellEnd"/>
      <w:r>
        <w:rPr>
          <w:rFonts w:ascii="Times New Roman" w:hAnsi="Times New Roman"/>
          <w:sz w:val="24"/>
        </w:rPr>
        <w:t xml:space="preserve"> 0,5 - 1 раз/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</w:t>
      </w:r>
    </w:p>
    <w:p w14:paraId="353EA3F7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</w:t>
      </w:r>
      <w:proofErr w:type="spellStart"/>
      <w:r>
        <w:rPr>
          <w:rFonts w:ascii="Times New Roman" w:hAnsi="Times New Roman"/>
          <w:sz w:val="24"/>
        </w:rPr>
        <w:t>цитостатиков</w:t>
      </w:r>
      <w:proofErr w:type="spellEnd"/>
      <w:r>
        <w:rPr>
          <w:rFonts w:ascii="Times New Roman" w:hAnsi="Times New Roman"/>
          <w:sz w:val="24"/>
        </w:rPr>
        <w:t xml:space="preserve"> предпочтение отдают </w:t>
      </w:r>
      <w:proofErr w:type="spellStart"/>
      <w:r>
        <w:rPr>
          <w:rFonts w:ascii="Times New Roman" w:hAnsi="Times New Roman"/>
          <w:sz w:val="24"/>
        </w:rPr>
        <w:t>имурану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азотиопроте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ну</w:t>
      </w:r>
      <w:proofErr w:type="spellEnd"/>
      <w:r>
        <w:rPr>
          <w:rFonts w:ascii="Times New Roman" w:hAnsi="Times New Roman"/>
          <w:sz w:val="24"/>
        </w:rPr>
        <w:t xml:space="preserve">). Длительность такой комбинированной терапии несколько месяцев, а при </w:t>
      </w:r>
      <w:proofErr w:type="spellStart"/>
      <w:r>
        <w:rPr>
          <w:rFonts w:ascii="Times New Roman" w:hAnsi="Times New Roman"/>
          <w:sz w:val="24"/>
        </w:rPr>
        <w:t>люпоидном</w:t>
      </w:r>
      <w:proofErr w:type="spellEnd"/>
      <w:r>
        <w:rPr>
          <w:rFonts w:ascii="Times New Roman" w:hAnsi="Times New Roman"/>
          <w:sz w:val="24"/>
        </w:rPr>
        <w:t xml:space="preserve"> варианте - несколько лет. Дозы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паратов снижают медленно и не раньше, чем через 2-3 месяца, переходят на поддерживающие дозы - </w:t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 xml:space="preserve"> 20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имуран</w:t>
      </w:r>
      <w:proofErr w:type="spellEnd"/>
      <w:r>
        <w:rPr>
          <w:rFonts w:ascii="Times New Roman" w:hAnsi="Times New Roman"/>
          <w:sz w:val="24"/>
        </w:rPr>
        <w:t xml:space="preserve"> 50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 - дают в течение года.</w:t>
      </w:r>
    </w:p>
    <w:p w14:paraId="3F250F66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Показания: активный </w:t>
      </w:r>
      <w:proofErr w:type="spellStart"/>
      <w:r>
        <w:rPr>
          <w:rFonts w:ascii="Times New Roman" w:hAnsi="Times New Roman"/>
          <w:sz w:val="24"/>
        </w:rPr>
        <w:t>холестатический</w:t>
      </w:r>
      <w:proofErr w:type="spellEnd"/>
      <w:r>
        <w:rPr>
          <w:rFonts w:ascii="Times New Roman" w:hAnsi="Times New Roman"/>
          <w:sz w:val="24"/>
        </w:rPr>
        <w:t xml:space="preserve"> гепатит, </w:t>
      </w:r>
      <w:proofErr w:type="spellStart"/>
      <w:r>
        <w:rPr>
          <w:rFonts w:ascii="Times New Roman" w:hAnsi="Times New Roman"/>
          <w:sz w:val="24"/>
        </w:rPr>
        <w:t>преси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тирующий</w:t>
      </w:r>
      <w:proofErr w:type="spellEnd"/>
      <w:r>
        <w:rPr>
          <w:rFonts w:ascii="Times New Roman" w:hAnsi="Times New Roman"/>
          <w:sz w:val="24"/>
        </w:rPr>
        <w:t xml:space="preserve"> в фазе обострения. Противопоказания: обнаружение австралийского антигена. Вместе с </w:t>
      </w:r>
      <w:proofErr w:type="spellStart"/>
      <w:r>
        <w:rPr>
          <w:rFonts w:ascii="Times New Roman" w:hAnsi="Times New Roman"/>
          <w:sz w:val="24"/>
        </w:rPr>
        <w:t>преднизолоном</w:t>
      </w:r>
      <w:proofErr w:type="spellEnd"/>
      <w:r>
        <w:rPr>
          <w:rFonts w:ascii="Times New Roman" w:hAnsi="Times New Roman"/>
          <w:sz w:val="24"/>
        </w:rPr>
        <w:t xml:space="preserve"> можно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значать </w:t>
      </w:r>
      <w:proofErr w:type="spellStart"/>
      <w:r>
        <w:rPr>
          <w:rFonts w:ascii="Times New Roman" w:hAnsi="Times New Roman"/>
          <w:sz w:val="24"/>
        </w:rPr>
        <w:t>делагил</w:t>
      </w:r>
      <w:proofErr w:type="spellEnd"/>
      <w:r>
        <w:rPr>
          <w:rFonts w:ascii="Times New Roman" w:hAnsi="Times New Roman"/>
          <w:sz w:val="24"/>
        </w:rPr>
        <w:t xml:space="preserve"> 0,25-0,5.</w:t>
      </w:r>
    </w:p>
    <w:p w14:paraId="0BCC9FA3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Симптоматическое лечение</w:t>
      </w:r>
    </w:p>
    <w:p w14:paraId="4414F30D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Глюкоза внутрь, а при тяжелом течении в/в, из расчета 50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 - уменьшает интоксикацию</w:t>
      </w:r>
    </w:p>
    <w:p w14:paraId="72BD1475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витамины группы В, С и др.: С - при наличии признаков 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моррагического диатеза, к - при геморрагическом диатезе и снижении протромбина, D - при </w:t>
      </w:r>
      <w:proofErr w:type="spellStart"/>
      <w:r>
        <w:rPr>
          <w:rFonts w:ascii="Times New Roman" w:hAnsi="Times New Roman"/>
          <w:sz w:val="24"/>
        </w:rPr>
        <w:t>холестазе</w:t>
      </w:r>
      <w:proofErr w:type="spellEnd"/>
      <w:r>
        <w:rPr>
          <w:rFonts w:ascii="Times New Roman" w:hAnsi="Times New Roman"/>
          <w:sz w:val="24"/>
        </w:rPr>
        <w:t>, т.к. нарушено их вс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сывание. В1, -2, -6, -12.</w:t>
      </w:r>
    </w:p>
    <w:p w14:paraId="5AC6CB6E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Гидролизаты</w:t>
      </w:r>
      <w:proofErr w:type="spellEnd"/>
      <w:r>
        <w:rPr>
          <w:rFonts w:ascii="Times New Roman" w:hAnsi="Times New Roman"/>
          <w:sz w:val="24"/>
        </w:rPr>
        <w:t xml:space="preserve"> печени: </w:t>
      </w:r>
      <w:proofErr w:type="spellStart"/>
      <w:r>
        <w:rPr>
          <w:rFonts w:ascii="Times New Roman" w:hAnsi="Times New Roman"/>
          <w:sz w:val="24"/>
        </w:rPr>
        <w:t>сирепар</w:t>
      </w:r>
      <w:proofErr w:type="spellEnd"/>
      <w:r>
        <w:rPr>
          <w:rFonts w:ascii="Times New Roman" w:hAnsi="Times New Roman"/>
          <w:sz w:val="24"/>
        </w:rPr>
        <w:t xml:space="preserve"> 2,0 в/в на курс 50 инъе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ций. При нарушении белкового обмена: раствор альбумина 10% 50-100 мл; белковые </w:t>
      </w:r>
      <w:proofErr w:type="spellStart"/>
      <w:r>
        <w:rPr>
          <w:rFonts w:ascii="Times New Roman" w:hAnsi="Times New Roman"/>
          <w:sz w:val="24"/>
        </w:rPr>
        <w:t>гидролизаты</w:t>
      </w:r>
      <w:proofErr w:type="spellEnd"/>
      <w:r>
        <w:rPr>
          <w:rFonts w:ascii="Times New Roman" w:hAnsi="Times New Roman"/>
          <w:sz w:val="24"/>
        </w:rPr>
        <w:t xml:space="preserve"> + анаболики (осторожно) - </w:t>
      </w:r>
      <w:proofErr w:type="spellStart"/>
      <w:r>
        <w:rPr>
          <w:rFonts w:ascii="Times New Roman" w:hAnsi="Times New Roman"/>
          <w:sz w:val="24"/>
        </w:rPr>
        <w:t>ретаболил</w:t>
      </w:r>
      <w:proofErr w:type="spellEnd"/>
      <w:r>
        <w:rPr>
          <w:rFonts w:ascii="Times New Roman" w:hAnsi="Times New Roman"/>
          <w:sz w:val="24"/>
        </w:rPr>
        <w:t>, вливание плазмы. Глютаминовая кислота.</w:t>
      </w:r>
    </w:p>
    <w:p w14:paraId="17772FC7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внутрипеченочном </w:t>
      </w:r>
      <w:proofErr w:type="spellStart"/>
      <w:r>
        <w:rPr>
          <w:rFonts w:ascii="Times New Roman" w:hAnsi="Times New Roman"/>
          <w:sz w:val="24"/>
        </w:rPr>
        <w:t>холестазе</w:t>
      </w:r>
      <w:proofErr w:type="spellEnd"/>
      <w:r>
        <w:rPr>
          <w:rFonts w:ascii="Times New Roman" w:hAnsi="Times New Roman"/>
          <w:sz w:val="24"/>
        </w:rPr>
        <w:t>:</w:t>
      </w:r>
    </w:p>
    <w:p w14:paraId="52709F96" w14:textId="77777777" w:rsidR="00527CF1" w:rsidRDefault="00527CF1" w:rsidP="004260F7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Фенобарбитал</w:t>
      </w:r>
      <w:proofErr w:type="spellEnd"/>
      <w:r>
        <w:rPr>
          <w:rFonts w:ascii="Times New Roman" w:hAnsi="Times New Roman"/>
          <w:sz w:val="24"/>
        </w:rPr>
        <w:t xml:space="preserve"> 0,01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3 (улучшает строение желчной 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целлы), желчегонные (осторожно) - лучше растительные: кук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рузные рыльца и другие. </w:t>
      </w:r>
      <w:proofErr w:type="spellStart"/>
      <w:r>
        <w:rPr>
          <w:rFonts w:ascii="Times New Roman" w:hAnsi="Times New Roman"/>
          <w:sz w:val="24"/>
        </w:rPr>
        <w:t>Холестирамин</w:t>
      </w:r>
      <w:proofErr w:type="spellEnd"/>
      <w:r>
        <w:rPr>
          <w:rFonts w:ascii="Times New Roman" w:hAnsi="Times New Roman"/>
          <w:sz w:val="24"/>
        </w:rPr>
        <w:t xml:space="preserve"> - ионно-обменная см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ла, образует в кишечнике нерастворимые комплексы с желчн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 кислотами, что ведет к усилению всасывания в кишечнике хол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стерина, уменьшаются зуд и желтуха. Дают 10-15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</w:t>
      </w:r>
    </w:p>
    <w:sectPr w:rsidR="00527CF1" w:rsidSect="004260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4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1CC644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FF5254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93A5FCA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000277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2B153D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E0E46F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792700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3"/>
  </w:num>
  <w:num w:numId="18">
    <w:abstractNumId w:val="2"/>
  </w:num>
  <w:num w:numId="19">
    <w:abstractNumId w:val="0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F1"/>
    <w:rsid w:val="00126911"/>
    <w:rsid w:val="004260F7"/>
    <w:rsid w:val="00504DE8"/>
    <w:rsid w:val="00527CF1"/>
    <w:rsid w:val="006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8949A"/>
  <w15:chartTrackingRefBased/>
  <w15:docId w15:val="{09F91477-6A2A-45F4-84BC-399CEAE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CF1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2024-11-19T15:36:00Z</dcterms:created>
  <dcterms:modified xsi:type="dcterms:W3CDTF">2024-11-19T15:36:00Z</dcterms:modified>
</cp:coreProperties>
</file>