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CE124" w14:textId="77777777" w:rsidR="00D55805" w:rsidRDefault="00D55805" w:rsidP="003A57FA">
      <w:pPr>
        <w:pStyle w:val="1"/>
        <w:spacing w:before="0" w:after="0"/>
        <w:ind w:firstLine="709"/>
        <w:jc w:val="both"/>
      </w:pPr>
      <w:r>
        <w:t>Ишемический инсульт.</w:t>
      </w:r>
    </w:p>
    <w:p w14:paraId="1386092F" w14:textId="77777777" w:rsidR="00D55805" w:rsidRDefault="00D55805" w:rsidP="003A57FA">
      <w:pPr>
        <w:spacing w:line="360" w:lineRule="auto"/>
        <w:ind w:firstLine="709"/>
        <w:jc w:val="both"/>
        <w:rPr>
          <w:sz w:val="26"/>
        </w:rPr>
      </w:pPr>
      <w:r>
        <w:rPr>
          <w:sz w:val="26"/>
        </w:rPr>
        <w:t xml:space="preserve">Процесс формирования ишемического очага с его возможным переходом в инфаркт мозга имеет ряд последовательных стадий, некоторые из них могут быть обратимыми. Как правило, инфаркт состоит из центральной, более плотной, и периферической, менее плотной частей. Внутри центральной части повреждение клеточных структур необратимо, в то время как в периферической зоне они могут оставаться в течение нескольких часов жизнеспособными, что дает шанс в случае немедленно начатой тромболитической терапии остановить их дальнейшее разрушение. </w:t>
      </w:r>
    </w:p>
    <w:p w14:paraId="181B0128" w14:textId="77777777" w:rsidR="00D55805" w:rsidRDefault="00D55805" w:rsidP="003A57FA">
      <w:pPr>
        <w:spacing w:line="360" w:lineRule="auto"/>
        <w:ind w:firstLine="709"/>
        <w:jc w:val="both"/>
        <w:rPr>
          <w:sz w:val="26"/>
        </w:rPr>
      </w:pPr>
      <w:r>
        <w:rPr>
          <w:sz w:val="26"/>
        </w:rPr>
        <w:t>Учитывая некоторую протяженность по времени наступления ишемических изменений мозгового вещества, можно предположить соответствующие в КТ и МР проявлениях в зависимости от стадии процесса. Различают острые, подострые и хронические ишемические инфаркты.</w:t>
      </w:r>
    </w:p>
    <w:p w14:paraId="5F080E08" w14:textId="77777777" w:rsidR="00D55805" w:rsidRDefault="00D55805" w:rsidP="003A57FA">
      <w:pPr>
        <w:spacing w:line="360" w:lineRule="auto"/>
        <w:ind w:firstLine="709"/>
        <w:jc w:val="both"/>
        <w:rPr>
          <w:sz w:val="26"/>
        </w:rPr>
      </w:pPr>
      <w:r>
        <w:rPr>
          <w:sz w:val="26"/>
        </w:rPr>
        <w:t xml:space="preserve">При </w:t>
      </w:r>
      <w:r>
        <w:rPr>
          <w:b/>
          <w:sz w:val="26"/>
        </w:rPr>
        <w:t>остром периоде ишемического инфаркта мозга</w:t>
      </w:r>
      <w:r>
        <w:rPr>
          <w:sz w:val="26"/>
        </w:rPr>
        <w:t xml:space="preserve"> МР томография является более эффективным методом ранней визуализации, чем КТ. На стандартных </w:t>
      </w:r>
      <w:r>
        <w:rPr>
          <w:sz w:val="26"/>
          <w:lang w:val="en-US"/>
        </w:rPr>
        <w:t>SE</w:t>
      </w:r>
      <w:r>
        <w:rPr>
          <w:sz w:val="26"/>
        </w:rPr>
        <w:t>-</w:t>
      </w:r>
      <w:proofErr w:type="spellStart"/>
      <w:r>
        <w:rPr>
          <w:sz w:val="26"/>
        </w:rPr>
        <w:t>томограммах</w:t>
      </w:r>
      <w:proofErr w:type="spellEnd"/>
      <w:r>
        <w:rPr>
          <w:sz w:val="26"/>
        </w:rPr>
        <w:t xml:space="preserve"> в 80% наблюдений в</w:t>
      </w:r>
      <w:r>
        <w:rPr>
          <w:b/>
          <w:sz w:val="26"/>
        </w:rPr>
        <w:t xml:space="preserve"> первые 24 ч</w:t>
      </w:r>
      <w:r>
        <w:rPr>
          <w:sz w:val="26"/>
        </w:rPr>
        <w:t xml:space="preserve"> после развития окклюзии сосуда ишемические изменения уже становятся видимыми. Прежде всего на МРТ не визуализируется типичный эффект потери сигнала от сосудов в зоне патологии. При дополнительном введении контраста в области ишемии отмечается контрастирование </w:t>
      </w:r>
      <w:proofErr w:type="spellStart"/>
      <w:r>
        <w:rPr>
          <w:sz w:val="26"/>
        </w:rPr>
        <w:t>аортериальных</w:t>
      </w:r>
      <w:proofErr w:type="spellEnd"/>
      <w:r>
        <w:rPr>
          <w:sz w:val="26"/>
        </w:rPr>
        <w:t xml:space="preserve"> сосудов на Т1-взвешенных изображениях, что говорит о снижении в них скорости кровотока. Эти изменения могут развиваться уже в течение первых минут после окклюзии. Кроме того, к ранним МР проявлениям относят изменения паренхимы мозга, выражающиеся в утолщении извилин и сужении </w:t>
      </w:r>
      <w:proofErr w:type="spellStart"/>
      <w:r>
        <w:rPr>
          <w:sz w:val="26"/>
        </w:rPr>
        <w:t>субархноидальных</w:t>
      </w:r>
      <w:proofErr w:type="spellEnd"/>
      <w:r>
        <w:rPr>
          <w:sz w:val="26"/>
        </w:rPr>
        <w:t xml:space="preserve"> щелей мозга на Т1-взвешенных томограммах, и повышение сигнала в режиме Т2. Эти изменения обычно выявляются не ранее чем через 8 ч после окклюзии.</w:t>
      </w:r>
    </w:p>
    <w:p w14:paraId="530F3314" w14:textId="77777777" w:rsidR="00D55805" w:rsidRDefault="00D55805" w:rsidP="003A57FA">
      <w:pPr>
        <w:spacing w:line="360" w:lineRule="auto"/>
        <w:ind w:firstLine="709"/>
        <w:jc w:val="both"/>
        <w:rPr>
          <w:sz w:val="26"/>
        </w:rPr>
      </w:pPr>
      <w:r>
        <w:rPr>
          <w:sz w:val="26"/>
        </w:rPr>
        <w:t xml:space="preserve">В течение </w:t>
      </w:r>
      <w:r>
        <w:rPr>
          <w:b/>
          <w:sz w:val="26"/>
        </w:rPr>
        <w:t xml:space="preserve">первых 3 </w:t>
      </w:r>
      <w:proofErr w:type="spellStart"/>
      <w:r>
        <w:rPr>
          <w:b/>
          <w:sz w:val="26"/>
        </w:rPr>
        <w:t>сут</w:t>
      </w:r>
      <w:proofErr w:type="spellEnd"/>
      <w:r>
        <w:rPr>
          <w:sz w:val="26"/>
        </w:rPr>
        <w:t xml:space="preserve"> развития инфаркта мозга на МРТ с контрастированием примерно в 30% случаев может наблюдаться усиление сигнала от соседней твердой мозговой оболочки. Однако в 10-20% наблюдений МР не выявляет каких-либо патологических изменений. МРА выявляет окклюзию или выраженный стеноз в основном крупных артериальных стволов.</w:t>
      </w:r>
    </w:p>
    <w:p w14:paraId="09276EDF" w14:textId="77777777" w:rsidR="00D55805" w:rsidRDefault="00D55805" w:rsidP="003A57FA">
      <w:pPr>
        <w:spacing w:line="360" w:lineRule="auto"/>
        <w:ind w:firstLine="709"/>
        <w:jc w:val="both"/>
        <w:rPr>
          <w:sz w:val="26"/>
        </w:rPr>
      </w:pPr>
      <w:r>
        <w:rPr>
          <w:sz w:val="26"/>
        </w:rPr>
        <w:t>В последние годы появились новые диагностические возможности определения ишемических повреждений в максимально ранние сроки. К ним можно отнести транскраниальную допплерографию, диффузионные и перфузионные МР исследования.</w:t>
      </w:r>
    </w:p>
    <w:p w14:paraId="48D50401" w14:textId="77777777" w:rsidR="00D55805" w:rsidRDefault="00D55805" w:rsidP="003A57FA">
      <w:pPr>
        <w:spacing w:line="360" w:lineRule="auto"/>
        <w:ind w:firstLine="709"/>
        <w:jc w:val="both"/>
        <w:rPr>
          <w:sz w:val="26"/>
        </w:rPr>
      </w:pPr>
      <w:r>
        <w:rPr>
          <w:sz w:val="26"/>
        </w:rPr>
        <w:lastRenderedPageBreak/>
        <w:t xml:space="preserve">В </w:t>
      </w:r>
      <w:proofErr w:type="spellStart"/>
      <w:r>
        <w:rPr>
          <w:b/>
          <w:sz w:val="26"/>
        </w:rPr>
        <w:t>подостром</w:t>
      </w:r>
      <w:proofErr w:type="spellEnd"/>
      <w:r>
        <w:rPr>
          <w:b/>
          <w:sz w:val="26"/>
        </w:rPr>
        <w:t xml:space="preserve"> периоде ишемического инсульта</w:t>
      </w:r>
      <w:r>
        <w:rPr>
          <w:sz w:val="26"/>
        </w:rPr>
        <w:t xml:space="preserve"> происходят дальнейшие изменения. В течение первых 2-4 дней начинает уменьшаться и может совсем исчезнуть внутриартериальное и менингеальное контрастное усиление. Вслед за этим начинает выявляться паренхиматозное контрастирование за счет усиливающегося повреждения ГЭБ. Контрастное усиление на 3-4 </w:t>
      </w:r>
      <w:proofErr w:type="spellStart"/>
      <w:r>
        <w:rPr>
          <w:sz w:val="26"/>
        </w:rPr>
        <w:t>сут</w:t>
      </w:r>
      <w:proofErr w:type="spellEnd"/>
      <w:r>
        <w:rPr>
          <w:sz w:val="26"/>
        </w:rPr>
        <w:t xml:space="preserve"> имеет типичную картину, повторяющую конфигурацию извилин, сохраняясь иногда до 8-10 дней.</w:t>
      </w:r>
    </w:p>
    <w:p w14:paraId="2F076D89" w14:textId="77777777" w:rsidR="00D55805" w:rsidRDefault="00D55805" w:rsidP="003A57FA">
      <w:pPr>
        <w:spacing w:line="360" w:lineRule="auto"/>
        <w:ind w:firstLine="709"/>
        <w:jc w:val="both"/>
        <w:rPr>
          <w:sz w:val="26"/>
        </w:rPr>
      </w:pPr>
      <w:r>
        <w:rPr>
          <w:sz w:val="26"/>
        </w:rPr>
        <w:t xml:space="preserve">Отек в зоне ишемии проявляется снижением сигнала на Т1-взвешенных и повышением сигнала на Т2-взвешенных изображениях. Иногда в течение второй недели после начала инфаркта отмечается снижение интенсивности МРС на Т2-взвешенных томограммах. </w:t>
      </w:r>
      <w:proofErr w:type="spellStart"/>
      <w:r>
        <w:rPr>
          <w:sz w:val="26"/>
        </w:rPr>
        <w:t>Начально</w:t>
      </w:r>
      <w:proofErr w:type="spellEnd"/>
      <w:r>
        <w:rPr>
          <w:sz w:val="26"/>
        </w:rPr>
        <w:t xml:space="preserve"> высокий сигнал может даже полностью исчезнуть. Тем не менее выполненная в эти сроки МР томография с контрастным усилением выявляет обширные поля накопления контраста, даже в тех зонах, которые представляются абсолютно интактными на Т2-изображениях.</w:t>
      </w:r>
    </w:p>
    <w:p w14:paraId="4B01EC12" w14:textId="77777777" w:rsidR="00D55805" w:rsidRDefault="00D55805" w:rsidP="003A57FA">
      <w:pPr>
        <w:spacing w:line="360" w:lineRule="auto"/>
        <w:ind w:firstLine="709"/>
        <w:jc w:val="both"/>
        <w:rPr>
          <w:sz w:val="26"/>
        </w:rPr>
      </w:pPr>
      <w:r>
        <w:rPr>
          <w:sz w:val="26"/>
        </w:rPr>
        <w:t xml:space="preserve">В хроническом периоде ишемического инфаркта на КТ и МРТ в бассейне окклюзированного сосуда определяется хорошо отграниченная зона энцефаломаляции, имеющая плотность на КТ и сигнал на МРТ, приближающийся по характеристикам к ЦСЖ. Отмечается расширение расположенных по соседству субарахноидальных щелей мозга и соответствующего участка желудочковой системы с подтягиванием прилежащих ее отделов к зоне поражения мозгового вещества. Контрастное усиление мозгового вещества, как правило, исчезает через 8-10 </w:t>
      </w:r>
      <w:proofErr w:type="spellStart"/>
      <w:r>
        <w:rPr>
          <w:sz w:val="26"/>
        </w:rPr>
        <w:t>нед</w:t>
      </w:r>
      <w:proofErr w:type="spellEnd"/>
      <w:r>
        <w:rPr>
          <w:sz w:val="26"/>
        </w:rPr>
        <w:t xml:space="preserve"> после заболевания.</w:t>
      </w:r>
    </w:p>
    <w:p w14:paraId="23CA5D6F" w14:textId="77777777" w:rsidR="00D55805" w:rsidRDefault="00D55805" w:rsidP="003A57FA">
      <w:pPr>
        <w:spacing w:line="360" w:lineRule="auto"/>
        <w:ind w:firstLine="709"/>
        <w:jc w:val="both"/>
        <w:rPr>
          <w:sz w:val="26"/>
        </w:rPr>
      </w:pPr>
      <w:r>
        <w:rPr>
          <w:sz w:val="26"/>
        </w:rPr>
        <w:t>При окклюзии мелких артериальных стволов могут развиваться так называемые лакунарные инфаркты. Встречаются они в 15-20%. На МРТ они имеют округлую форму, низкий сигнал на Т1-взвешенных и повышенную ИС на Т2-взвешенных томограммах. При множественном поражении их следует дифференцировать с увеличенными периваскулярными пространствами (</w:t>
      </w:r>
      <w:proofErr w:type="spellStart"/>
      <w:r>
        <w:rPr>
          <w:sz w:val="26"/>
        </w:rPr>
        <w:t>Вирхова-Робинова</w:t>
      </w:r>
      <w:proofErr w:type="spellEnd"/>
      <w:r>
        <w:rPr>
          <w:sz w:val="26"/>
        </w:rPr>
        <w:t>), иногда с демиелинизирующими процессами (РС) или множественным метастазированием.</w:t>
      </w:r>
    </w:p>
    <w:p w14:paraId="256F3E92" w14:textId="77777777" w:rsidR="00D55805" w:rsidRDefault="00D55805" w:rsidP="003A57FA">
      <w:pPr>
        <w:pStyle w:val="1"/>
        <w:spacing w:before="0" w:after="0"/>
        <w:ind w:firstLine="709"/>
        <w:jc w:val="both"/>
      </w:pPr>
      <w:r>
        <w:t>Геморрагический инфаркт.</w:t>
      </w:r>
    </w:p>
    <w:p w14:paraId="37C03950" w14:textId="77777777" w:rsidR="00D55805" w:rsidRDefault="00D55805" w:rsidP="003A57FA">
      <w:pPr>
        <w:spacing w:line="360" w:lineRule="auto"/>
        <w:ind w:firstLine="709"/>
        <w:jc w:val="both"/>
        <w:rPr>
          <w:sz w:val="26"/>
        </w:rPr>
      </w:pPr>
      <w:r>
        <w:rPr>
          <w:sz w:val="26"/>
        </w:rPr>
        <w:t>Понятие инфаркт включает в себя широкий спектр кровоизлияний, начиная от петехиальных до крупных внутримозговых независимо от источника кровотечения и локализации. В отличие от кровоизлияний при гипертонии для ГИ характерно не первичное кровоизлияние, а геморрагическое пропитывание ткани мозга, наступающее вслед за ишемическим повреждением.</w:t>
      </w:r>
    </w:p>
    <w:p w14:paraId="64637678" w14:textId="77777777" w:rsidR="00D55805" w:rsidRDefault="00D55805" w:rsidP="003A57FA">
      <w:pPr>
        <w:spacing w:line="360" w:lineRule="auto"/>
        <w:ind w:firstLine="709"/>
        <w:jc w:val="both"/>
        <w:rPr>
          <w:sz w:val="26"/>
        </w:rPr>
      </w:pPr>
      <w:r>
        <w:rPr>
          <w:sz w:val="26"/>
        </w:rPr>
        <w:lastRenderedPageBreak/>
        <w:t xml:space="preserve">Эмболия артерий ГМ является начальным звеном возникновения ГМ. При эмболии происходит окклюзия артериальных ветвей с развитием ишемического поражения мозгового вещества. Затем эмболы подвергаются лизису, кровообращение восстанавливается и в ишемизированную мозговую ткань происходит геморрагическое пропитывание через поврежденный эндотелий сосудов. Происходит геморрагическая трансформация ишемизированного участка, которая, запаздывая на 6-12 часов после начала инфаркта, развивается примерно к 48 ч. Иногда она может произойти через 1 </w:t>
      </w:r>
      <w:proofErr w:type="spellStart"/>
      <w:r>
        <w:rPr>
          <w:sz w:val="26"/>
        </w:rPr>
        <w:t>нед</w:t>
      </w:r>
      <w:proofErr w:type="spellEnd"/>
      <w:r>
        <w:rPr>
          <w:sz w:val="26"/>
        </w:rPr>
        <w:t xml:space="preserve"> и более после приступа (поздняя геморрагическая трансформация), когда восстанавливается коллатеральное кровообращение. В действительности при большинстве инфарктов имеют место петехиальные кровоизлияния, и различия между ишемическим и геморрагическим инфарктом весьма малы. Результаты вскрытия показывают, что до 42 % инфарктов являются геморрагическими. По данным КТ ГИ составляют 5-15% всех инфарктов. МРТ показывает несколько более высокий процент.</w:t>
      </w:r>
    </w:p>
    <w:p w14:paraId="56C4D393" w14:textId="77777777" w:rsidR="00D55805" w:rsidRDefault="00D55805" w:rsidP="003A57FA">
      <w:pPr>
        <w:spacing w:line="360" w:lineRule="auto"/>
        <w:ind w:firstLine="709"/>
        <w:jc w:val="both"/>
        <w:rPr>
          <w:sz w:val="26"/>
        </w:rPr>
      </w:pPr>
      <w:r>
        <w:rPr>
          <w:sz w:val="26"/>
        </w:rPr>
        <w:t>Острый ГИ в коре ГМ выглядит на МРТ как участок относительно пониженной ИС на Т2-взвешенных томограммах, вокруг может наблюдаться зона отека. Подострый И. характеризуется повышенной ИС на Т1- и Т2-взвешенных томограммах, тогда как в хронической стадии он характеризуется значительно пониженным сигналом на Т1-взвешенных томограммах.</w:t>
      </w:r>
    </w:p>
    <w:p w14:paraId="57F5A384" w14:textId="77777777" w:rsidR="00D55805" w:rsidRDefault="00D55805" w:rsidP="003A57FA">
      <w:pPr>
        <w:spacing w:line="360" w:lineRule="auto"/>
        <w:ind w:firstLine="709"/>
        <w:jc w:val="both"/>
        <w:rPr>
          <w:sz w:val="26"/>
        </w:rPr>
      </w:pPr>
      <w:r>
        <w:rPr>
          <w:sz w:val="26"/>
        </w:rPr>
        <w:t xml:space="preserve">Субарахноидальные кровоизлияния из аневризм и мальформаций составляют до 90% нетравматических к/и. Несмотря на возможности МРТ, на сегодняшний день КТ является основным методом, подтверждающим диагноз </w:t>
      </w:r>
      <w:proofErr w:type="spellStart"/>
      <w:r>
        <w:rPr>
          <w:sz w:val="26"/>
        </w:rPr>
        <w:t>субарахн</w:t>
      </w:r>
      <w:proofErr w:type="spellEnd"/>
      <w:r>
        <w:rPr>
          <w:sz w:val="26"/>
        </w:rPr>
        <w:t xml:space="preserve">. кровоизлияния. Мнение об эффективности МР томографии и МРА в диагностике острых </w:t>
      </w:r>
      <w:proofErr w:type="spellStart"/>
      <w:r>
        <w:rPr>
          <w:sz w:val="26"/>
        </w:rPr>
        <w:t>субарахн</w:t>
      </w:r>
      <w:proofErr w:type="spellEnd"/>
      <w:r>
        <w:rPr>
          <w:sz w:val="26"/>
        </w:rPr>
        <w:t xml:space="preserve">. к/и неоднозначно, одни авторы считают его очень чувствительным, специфичным и точным, другие находят определенные ограничения. Дело в том, что свежая кровь, смешанная с ликвором, очень незначительно повышает сигнал на Т1 и минимально понижает на Т2. Но МРТ гораздо точнее чем КТ выявляет </w:t>
      </w:r>
      <w:proofErr w:type="spellStart"/>
      <w:r>
        <w:rPr>
          <w:sz w:val="26"/>
        </w:rPr>
        <w:t>субархн</w:t>
      </w:r>
      <w:proofErr w:type="spellEnd"/>
      <w:r>
        <w:rPr>
          <w:sz w:val="26"/>
        </w:rPr>
        <w:t xml:space="preserve">. к/и в подострой и хронической стадиях, когда кровь (даже ее следы) за счет наличия метгемоглобина играет роль естественного контраста и обеспечивает высокий сигнал на Т1 и Т2. После нескольких перенесенных внутрижелудочковых или </w:t>
      </w:r>
      <w:proofErr w:type="spellStart"/>
      <w:r>
        <w:rPr>
          <w:sz w:val="26"/>
        </w:rPr>
        <w:t>субархноид</w:t>
      </w:r>
      <w:proofErr w:type="spellEnd"/>
      <w:r>
        <w:rPr>
          <w:sz w:val="26"/>
        </w:rPr>
        <w:t xml:space="preserve">. к/и можно наблюдать отложения гемосидерина в мягкой мозговой оболочке больших полушарий и мозжечка, вокруг ствола ГМ и даже в позвоночном канале, что находит свое отражение на Т2 в виде темной каймы, отделяющей поверхность ГМ от ликворных цистерн. В литературе это позднее проявление </w:t>
      </w:r>
      <w:proofErr w:type="spellStart"/>
      <w:r>
        <w:rPr>
          <w:sz w:val="26"/>
        </w:rPr>
        <w:t>субархн</w:t>
      </w:r>
      <w:proofErr w:type="spellEnd"/>
      <w:r>
        <w:rPr>
          <w:sz w:val="26"/>
        </w:rPr>
        <w:t>. к/и получило название «поверхностный сидероз».</w:t>
      </w:r>
    </w:p>
    <w:p w14:paraId="058ED520" w14:textId="77777777" w:rsidR="00D55805" w:rsidRDefault="00D55805" w:rsidP="003A57FA">
      <w:pPr>
        <w:spacing w:line="360" w:lineRule="auto"/>
        <w:ind w:firstLine="709"/>
        <w:jc w:val="both"/>
        <w:rPr>
          <w:sz w:val="26"/>
        </w:rPr>
      </w:pPr>
      <w:r>
        <w:rPr>
          <w:sz w:val="26"/>
        </w:rPr>
        <w:lastRenderedPageBreak/>
        <w:t>Опухоли ГМ, сопровождающиеся к/и (до 10% случаев), обычно являются злокачественными, в основном это астроцитома (анапластическая астроцитома, глибластома) или метастазы (часто бронхогенная карцинома, меланома, хориоидкарцинома, гипернефрома, карцинома щитовидной железы).</w:t>
      </w:r>
    </w:p>
    <w:p w14:paraId="5392DBC1" w14:textId="77777777" w:rsidR="00D55805" w:rsidRDefault="00D55805" w:rsidP="003A57FA">
      <w:pPr>
        <w:spacing w:line="360" w:lineRule="auto"/>
        <w:ind w:firstLine="709"/>
        <w:jc w:val="both"/>
        <w:rPr>
          <w:sz w:val="26"/>
        </w:rPr>
      </w:pPr>
      <w:r>
        <w:rPr>
          <w:sz w:val="26"/>
        </w:rPr>
        <w:t xml:space="preserve">МР картина </w:t>
      </w:r>
      <w:r>
        <w:rPr>
          <w:b/>
          <w:sz w:val="26"/>
        </w:rPr>
        <w:t>к/и в опухоль</w:t>
      </w:r>
      <w:r>
        <w:rPr>
          <w:sz w:val="26"/>
        </w:rPr>
        <w:t xml:space="preserve"> развивается в другом временном и морфологическом плане, чем при внутримозговом к/и другой этиологии. </w:t>
      </w:r>
    </w:p>
    <w:p w14:paraId="44055E9E" w14:textId="77777777" w:rsidR="00D55805" w:rsidRDefault="00D55805" w:rsidP="003A57FA">
      <w:pPr>
        <w:numPr>
          <w:ilvl w:val="0"/>
          <w:numId w:val="1"/>
        </w:numPr>
        <w:spacing w:line="360" w:lineRule="auto"/>
        <w:ind w:left="0" w:firstLine="709"/>
        <w:jc w:val="both"/>
        <w:rPr>
          <w:sz w:val="26"/>
        </w:rPr>
      </w:pPr>
      <w:r>
        <w:rPr>
          <w:sz w:val="26"/>
        </w:rPr>
        <w:t xml:space="preserve">при опухолевом к/и стадия сохранения сигнала от диоксигемоглобина м.б. удлиненной с существованием центрального участка гипоинтенсивности более чем неделю, и обычно редко выявляется кольцевидное отложение гемосидерина по периферии. Отложение гемосидерина может определяться в форме пятен или совершенно отсутствовать. </w:t>
      </w:r>
    </w:p>
    <w:p w14:paraId="1D0BB5A2" w14:textId="77777777" w:rsidR="00D55805" w:rsidRDefault="00D55805" w:rsidP="003A57FA">
      <w:pPr>
        <w:numPr>
          <w:ilvl w:val="0"/>
          <w:numId w:val="1"/>
        </w:numPr>
        <w:spacing w:line="360" w:lineRule="auto"/>
        <w:ind w:left="0" w:firstLine="709"/>
        <w:jc w:val="both"/>
        <w:rPr>
          <w:sz w:val="26"/>
        </w:rPr>
      </w:pPr>
      <w:r>
        <w:rPr>
          <w:sz w:val="26"/>
        </w:rPr>
        <w:t xml:space="preserve">выявляется более выраженный отек и масс-эффект, чем при внутримозговой гематоме. </w:t>
      </w:r>
    </w:p>
    <w:p w14:paraId="6543C058" w14:textId="77777777" w:rsidR="00D55805" w:rsidRDefault="00D55805" w:rsidP="003A57FA">
      <w:pPr>
        <w:numPr>
          <w:ilvl w:val="0"/>
          <w:numId w:val="1"/>
        </w:numPr>
        <w:spacing w:line="360" w:lineRule="auto"/>
        <w:ind w:left="0" w:firstLine="709"/>
        <w:jc w:val="both"/>
        <w:rPr>
          <w:sz w:val="26"/>
        </w:rPr>
      </w:pPr>
      <w:r>
        <w:rPr>
          <w:sz w:val="26"/>
        </w:rPr>
        <w:t xml:space="preserve">другим признаком является мультифокальность к/и в объемном образовании или неправильный контур к/и. </w:t>
      </w:r>
    </w:p>
    <w:p w14:paraId="7336EE85" w14:textId="77777777" w:rsidR="00D55805" w:rsidRDefault="00D55805" w:rsidP="003A57FA">
      <w:pPr>
        <w:numPr>
          <w:ilvl w:val="0"/>
          <w:numId w:val="1"/>
        </w:numPr>
        <w:spacing w:line="360" w:lineRule="auto"/>
        <w:ind w:left="0" w:firstLine="709"/>
        <w:jc w:val="both"/>
        <w:rPr>
          <w:sz w:val="26"/>
        </w:rPr>
      </w:pPr>
      <w:r>
        <w:rPr>
          <w:sz w:val="26"/>
        </w:rPr>
        <w:t xml:space="preserve">в некоторых случаях могут поражаться такие структуры, как мозолистое тело, что нетипично для гипертонического кровоизлияния. </w:t>
      </w:r>
    </w:p>
    <w:p w14:paraId="1D695C81" w14:textId="77777777" w:rsidR="00D55805" w:rsidRDefault="00D55805" w:rsidP="003A57FA">
      <w:pPr>
        <w:numPr>
          <w:ilvl w:val="0"/>
          <w:numId w:val="1"/>
        </w:numPr>
        <w:spacing w:line="360" w:lineRule="auto"/>
        <w:ind w:left="0" w:firstLine="709"/>
        <w:jc w:val="both"/>
        <w:rPr>
          <w:sz w:val="26"/>
        </w:rPr>
      </w:pPr>
      <w:r>
        <w:rPr>
          <w:sz w:val="26"/>
        </w:rPr>
        <w:t xml:space="preserve">гиперинтенсивный участок, окружающий неопухолевое к/и, обычно исчезает через 4-8 </w:t>
      </w:r>
      <w:proofErr w:type="spellStart"/>
      <w:r>
        <w:rPr>
          <w:sz w:val="26"/>
        </w:rPr>
        <w:t>нед</w:t>
      </w:r>
      <w:proofErr w:type="spellEnd"/>
      <w:r>
        <w:rPr>
          <w:sz w:val="26"/>
        </w:rPr>
        <w:t>. Более того, к этому времени должен исчезнуть масс-эффект, и в большинстве случаев отмечается дефект ткани.</w:t>
      </w:r>
    </w:p>
    <w:p w14:paraId="6E0E81D3" w14:textId="77777777" w:rsidR="00D55805" w:rsidRDefault="00D55805" w:rsidP="003A57FA">
      <w:pPr>
        <w:spacing w:line="360" w:lineRule="auto"/>
        <w:ind w:firstLine="709"/>
        <w:jc w:val="both"/>
        <w:rPr>
          <w:sz w:val="26"/>
        </w:rPr>
      </w:pPr>
      <w:r>
        <w:rPr>
          <w:sz w:val="26"/>
        </w:rPr>
        <w:t>Контрастное усиление м.б. полезным в случаях первичных опухолей для выявления накопления контраста по периферии от геморрагического компонента патологического образования, а при метастазах выявляя множественные очаги. К/и в опухоль нужно заподозрить у пациентов с установленным злокачественным новообразованием, у пожилых лиц, не страдающих ГБ, и в случаях прогрессирующих симптомов поражения мозга, типичных для опухоли.</w:t>
      </w:r>
    </w:p>
    <w:p w14:paraId="3D976800" w14:textId="77777777" w:rsidR="00D55805" w:rsidRDefault="00D55805" w:rsidP="003A57FA">
      <w:pPr>
        <w:pStyle w:val="1"/>
        <w:spacing w:before="0" w:after="0"/>
        <w:ind w:firstLine="709"/>
        <w:jc w:val="both"/>
      </w:pPr>
      <w:r>
        <w:t>Артериовенозные мальформации спинного мозга.</w:t>
      </w:r>
    </w:p>
    <w:p w14:paraId="747D94A6" w14:textId="77777777" w:rsidR="00D55805" w:rsidRDefault="00D55805" w:rsidP="003A57FA">
      <w:pPr>
        <w:spacing w:line="360" w:lineRule="auto"/>
        <w:ind w:firstLine="709"/>
        <w:jc w:val="both"/>
        <w:rPr>
          <w:sz w:val="26"/>
        </w:rPr>
      </w:pPr>
      <w:r>
        <w:rPr>
          <w:sz w:val="26"/>
        </w:rPr>
        <w:t xml:space="preserve">Артерио-венозные мальформации относятся к наиболее часто встречающейся сосудистой патологии спинного мозга, составляя около 60% всех СМ сосудистых мальформаций. Наблюдаются обычно у молодых пациентов с преимущественной локализацией в грудном и шейном отделах спинного мозга. В клинической картине заболевания у 2/3 пациентов начальными проявлениями являются </w:t>
      </w:r>
      <w:proofErr w:type="spellStart"/>
      <w:r>
        <w:rPr>
          <w:sz w:val="26"/>
        </w:rPr>
        <w:t>субарахн</w:t>
      </w:r>
      <w:proofErr w:type="spellEnd"/>
      <w:r>
        <w:rPr>
          <w:sz w:val="26"/>
        </w:rPr>
        <w:t xml:space="preserve">. к/и в </w:t>
      </w:r>
      <w:r>
        <w:rPr>
          <w:sz w:val="26"/>
        </w:rPr>
        <w:lastRenderedPageBreak/>
        <w:t xml:space="preserve">сочетании с симптомами поражения СМ, соответственно уровню расположения аневризмы. </w:t>
      </w:r>
    </w:p>
    <w:p w14:paraId="10BC9D8B" w14:textId="77777777" w:rsidR="00D55805" w:rsidRDefault="00D55805" w:rsidP="003A57FA">
      <w:pPr>
        <w:spacing w:line="360" w:lineRule="auto"/>
        <w:ind w:firstLine="709"/>
        <w:jc w:val="both"/>
        <w:rPr>
          <w:sz w:val="26"/>
        </w:rPr>
      </w:pPr>
      <w:r>
        <w:rPr>
          <w:sz w:val="26"/>
        </w:rPr>
        <w:t>Диагностика АВМ на основе МРТ - сложная задача. Во многом возможность визуализировать патологические сосуды мальформации и их расположение по отношению к СМ зависит от степени разрешающей способности томографа. Лучшие результаты достигаются на МРТ с высокой напряженностью магнитного поля. Патологические сосуды АВМ, расположенные в субарахноидальном пространстве СМ, на Т1 и Т2 МРТ визуализируются как участки потери сигнала, что обусловлено быстрым потоком крови по расширенным кровеносным сосудам. Томограммы, зависимые от релаксационного времени Т2, являются более информативными. Сосудам АВМ соответствуют гипоинтенсивные участки, имеющие характерную извитую, змеевидную форму. На Т1 изображениях демонстрация «сосудистого рисунка» АВМ затруднена из-за низкого сигнала от ЦСЖ в САП спинного мозга. Границы патологических сосудов в этих условиях стираются. МРТ имеет высокую информативность в оценке расположения АВМ по отношению к поперечнику СМ. Это наглядно демонстрируется на аксиальных Т1 изображениях. Кроме этого, на МРТ хорошо выявляются сопутствующие АВМ изменения СМ, такие, как гематомиелия, миеломаляция, отек, кистообразование, атрофия.</w:t>
      </w:r>
    </w:p>
    <w:p w14:paraId="2EF48D14" w14:textId="77777777" w:rsidR="00CA32FC" w:rsidRDefault="00D55805" w:rsidP="003A57FA">
      <w:pPr>
        <w:spacing w:line="360" w:lineRule="auto"/>
        <w:ind w:firstLine="709"/>
        <w:jc w:val="both"/>
        <w:rPr>
          <w:sz w:val="26"/>
        </w:rPr>
      </w:pPr>
      <w:r>
        <w:rPr>
          <w:sz w:val="26"/>
        </w:rPr>
        <w:t>Полезным в оценке состояния сосудов мальформации оказалось использование динамического МРТ исследования в процессе эндовазального выключения АВМ до и после селективной эмболизации. Тромбированные сосуды АВМ становятся яркими на Т1 за счет образования в тромботическом сгустке метгемоглобина. Однако основное место в визуализации питающих и дренирующих сосудов мальформации занимает по-прежнему спинальная ангиография. Новым подходом в неинвазивной демонстрации сосудистого рисунка АВМ спинного мозга становится использование МРА.</w:t>
      </w:r>
    </w:p>
    <w:p w14:paraId="76D4F8DA" w14:textId="77777777" w:rsidR="00CA32FC" w:rsidRDefault="00CA32FC" w:rsidP="00CA32FC">
      <w:pPr>
        <w:spacing w:line="480" w:lineRule="auto"/>
        <w:jc w:val="center"/>
        <w:rPr>
          <w:rFonts w:ascii="Arial" w:hAnsi="Arial"/>
          <w:b/>
          <w:sz w:val="28"/>
        </w:rPr>
      </w:pPr>
      <w:r>
        <w:rPr>
          <w:sz w:val="26"/>
        </w:rPr>
        <w:br w:type="page"/>
      </w:r>
      <w:r>
        <w:rPr>
          <w:rFonts w:ascii="Arial" w:hAnsi="Arial"/>
          <w:b/>
          <w:sz w:val="28"/>
        </w:rPr>
        <w:lastRenderedPageBreak/>
        <w:t>Сравнительная оценка МРТ и КТ в диагностике заболеваний ЦНС</w:t>
      </w:r>
    </w:p>
    <w:tbl>
      <w:tblPr>
        <w:tblW w:w="0" w:type="auto"/>
        <w:jc w:val="center"/>
        <w:tblLayout w:type="fixed"/>
        <w:tblLook w:val="0000" w:firstRow="0" w:lastRow="0" w:firstColumn="0" w:lastColumn="0" w:noHBand="0" w:noVBand="0"/>
      </w:tblPr>
      <w:tblGrid>
        <w:gridCol w:w="5211"/>
        <w:gridCol w:w="1276"/>
        <w:gridCol w:w="1200"/>
        <w:gridCol w:w="2059"/>
      </w:tblGrid>
      <w:tr w:rsidR="00CA32FC" w14:paraId="37F1C8CF" w14:textId="77777777">
        <w:tblPrEx>
          <w:tblCellMar>
            <w:top w:w="0" w:type="dxa"/>
            <w:bottom w:w="0" w:type="dxa"/>
          </w:tblCellMar>
        </w:tblPrEx>
        <w:trPr>
          <w:jc w:val="center"/>
        </w:trPr>
        <w:tc>
          <w:tcPr>
            <w:tcW w:w="5211" w:type="dxa"/>
            <w:tcBorders>
              <w:top w:val="single" w:sz="12" w:space="0" w:color="auto"/>
              <w:bottom w:val="single" w:sz="6" w:space="0" w:color="auto"/>
              <w:right w:val="single" w:sz="6" w:space="0" w:color="auto"/>
            </w:tcBorders>
          </w:tcPr>
          <w:p w14:paraId="635BB310" w14:textId="77777777" w:rsidR="00CA32FC" w:rsidRDefault="00CA32FC" w:rsidP="00D55805">
            <w:pPr>
              <w:rPr>
                <w:rFonts w:ascii="Arial" w:hAnsi="Arial"/>
                <w:b/>
                <w:sz w:val="28"/>
              </w:rPr>
            </w:pPr>
            <w:r>
              <w:rPr>
                <w:rFonts w:ascii="Arial" w:hAnsi="Arial"/>
                <w:b/>
                <w:sz w:val="28"/>
              </w:rPr>
              <w:t>Вид патологии</w:t>
            </w:r>
          </w:p>
        </w:tc>
        <w:tc>
          <w:tcPr>
            <w:tcW w:w="1276" w:type="dxa"/>
            <w:tcBorders>
              <w:top w:val="single" w:sz="12" w:space="0" w:color="auto"/>
              <w:left w:val="nil"/>
              <w:bottom w:val="single" w:sz="6" w:space="0" w:color="auto"/>
            </w:tcBorders>
          </w:tcPr>
          <w:p w14:paraId="4FF14DFE" w14:textId="77777777" w:rsidR="00CA32FC" w:rsidRDefault="00CA32FC" w:rsidP="00D55805">
            <w:pPr>
              <w:jc w:val="center"/>
              <w:rPr>
                <w:rFonts w:ascii="Arial" w:hAnsi="Arial"/>
                <w:b/>
                <w:sz w:val="28"/>
              </w:rPr>
            </w:pPr>
            <w:r>
              <w:rPr>
                <w:rFonts w:ascii="Arial" w:hAnsi="Arial"/>
                <w:b/>
                <w:sz w:val="28"/>
              </w:rPr>
              <w:t>МРТ</w:t>
            </w:r>
          </w:p>
        </w:tc>
        <w:tc>
          <w:tcPr>
            <w:tcW w:w="1200" w:type="dxa"/>
            <w:tcBorders>
              <w:top w:val="single" w:sz="12" w:space="0" w:color="auto"/>
              <w:left w:val="single" w:sz="6" w:space="0" w:color="auto"/>
              <w:bottom w:val="single" w:sz="6" w:space="0" w:color="auto"/>
              <w:right w:val="single" w:sz="6" w:space="0" w:color="auto"/>
            </w:tcBorders>
          </w:tcPr>
          <w:p w14:paraId="7749F9AA" w14:textId="77777777" w:rsidR="00CA32FC" w:rsidRDefault="00CA32FC" w:rsidP="00D55805">
            <w:pPr>
              <w:jc w:val="center"/>
              <w:rPr>
                <w:rFonts w:ascii="Arial" w:hAnsi="Arial"/>
                <w:b/>
                <w:sz w:val="28"/>
              </w:rPr>
            </w:pPr>
            <w:r>
              <w:rPr>
                <w:rFonts w:ascii="Arial" w:hAnsi="Arial"/>
                <w:b/>
                <w:sz w:val="28"/>
              </w:rPr>
              <w:t>КТ</w:t>
            </w:r>
          </w:p>
        </w:tc>
        <w:tc>
          <w:tcPr>
            <w:tcW w:w="2059" w:type="dxa"/>
            <w:tcBorders>
              <w:top w:val="single" w:sz="12" w:space="0" w:color="auto"/>
              <w:left w:val="nil"/>
              <w:bottom w:val="single" w:sz="6" w:space="0" w:color="auto"/>
            </w:tcBorders>
          </w:tcPr>
          <w:p w14:paraId="6BFBDA47" w14:textId="77777777" w:rsidR="00CA32FC" w:rsidRDefault="00CA32FC" w:rsidP="00D55805">
            <w:pPr>
              <w:jc w:val="center"/>
              <w:rPr>
                <w:rFonts w:ascii="Arial" w:hAnsi="Arial"/>
                <w:b/>
                <w:sz w:val="28"/>
              </w:rPr>
            </w:pPr>
            <w:r>
              <w:rPr>
                <w:rFonts w:ascii="Arial" w:hAnsi="Arial"/>
                <w:b/>
                <w:sz w:val="28"/>
              </w:rPr>
              <w:t>КТ с контрастным усилением</w:t>
            </w:r>
          </w:p>
        </w:tc>
      </w:tr>
      <w:tr w:rsidR="00CA32FC" w14:paraId="340B2DEA" w14:textId="77777777">
        <w:tblPrEx>
          <w:tblCellMar>
            <w:top w:w="0" w:type="dxa"/>
            <w:bottom w:w="0" w:type="dxa"/>
          </w:tblCellMar>
        </w:tblPrEx>
        <w:trPr>
          <w:jc w:val="center"/>
        </w:trPr>
        <w:tc>
          <w:tcPr>
            <w:tcW w:w="5211" w:type="dxa"/>
            <w:tcBorders>
              <w:right w:val="single" w:sz="6" w:space="0" w:color="auto"/>
            </w:tcBorders>
          </w:tcPr>
          <w:p w14:paraId="51B18025" w14:textId="77777777" w:rsidR="00CA32FC" w:rsidRDefault="00CA32FC" w:rsidP="00D55805">
            <w:pPr>
              <w:rPr>
                <w:rFonts w:ascii="Arial" w:hAnsi="Arial"/>
                <w:b/>
                <w:sz w:val="28"/>
              </w:rPr>
            </w:pPr>
            <w:r>
              <w:rPr>
                <w:b/>
                <w:sz w:val="32"/>
              </w:rPr>
              <w:t>Опухоли</w:t>
            </w:r>
          </w:p>
        </w:tc>
        <w:tc>
          <w:tcPr>
            <w:tcW w:w="1276" w:type="dxa"/>
            <w:tcBorders>
              <w:left w:val="nil"/>
            </w:tcBorders>
          </w:tcPr>
          <w:p w14:paraId="218DE834" w14:textId="77777777" w:rsidR="00CA32FC" w:rsidRDefault="00CA32FC" w:rsidP="00D55805">
            <w:pPr>
              <w:jc w:val="center"/>
              <w:rPr>
                <w:rFonts w:ascii="Arial" w:hAnsi="Arial"/>
                <w:b/>
                <w:sz w:val="28"/>
              </w:rPr>
            </w:pPr>
          </w:p>
        </w:tc>
        <w:tc>
          <w:tcPr>
            <w:tcW w:w="1200" w:type="dxa"/>
            <w:tcBorders>
              <w:left w:val="single" w:sz="6" w:space="0" w:color="auto"/>
              <w:right w:val="single" w:sz="6" w:space="0" w:color="auto"/>
            </w:tcBorders>
          </w:tcPr>
          <w:p w14:paraId="5C11E7C8" w14:textId="77777777" w:rsidR="00CA32FC" w:rsidRDefault="00CA32FC" w:rsidP="00D55805">
            <w:pPr>
              <w:jc w:val="center"/>
              <w:rPr>
                <w:rFonts w:ascii="Arial" w:hAnsi="Arial"/>
                <w:b/>
                <w:sz w:val="28"/>
              </w:rPr>
            </w:pPr>
          </w:p>
        </w:tc>
        <w:tc>
          <w:tcPr>
            <w:tcW w:w="2059" w:type="dxa"/>
            <w:tcBorders>
              <w:left w:val="nil"/>
            </w:tcBorders>
          </w:tcPr>
          <w:p w14:paraId="35F5DC24" w14:textId="77777777" w:rsidR="00CA32FC" w:rsidRDefault="00CA32FC" w:rsidP="00D55805">
            <w:pPr>
              <w:jc w:val="center"/>
              <w:rPr>
                <w:rFonts w:ascii="Arial" w:hAnsi="Arial"/>
                <w:b/>
                <w:sz w:val="28"/>
              </w:rPr>
            </w:pPr>
          </w:p>
        </w:tc>
      </w:tr>
      <w:tr w:rsidR="00CA32FC" w14:paraId="65EBB8E5" w14:textId="77777777">
        <w:tblPrEx>
          <w:tblCellMar>
            <w:top w:w="0" w:type="dxa"/>
            <w:bottom w:w="0" w:type="dxa"/>
          </w:tblCellMar>
        </w:tblPrEx>
        <w:trPr>
          <w:jc w:val="center"/>
        </w:trPr>
        <w:tc>
          <w:tcPr>
            <w:tcW w:w="5211" w:type="dxa"/>
            <w:tcBorders>
              <w:right w:val="single" w:sz="6" w:space="0" w:color="auto"/>
            </w:tcBorders>
          </w:tcPr>
          <w:p w14:paraId="2BED45DF" w14:textId="77777777" w:rsidR="00CA32FC" w:rsidRDefault="00CA32FC" w:rsidP="00D55805">
            <w:pPr>
              <w:rPr>
                <w:rFonts w:ascii="Arial" w:hAnsi="Arial"/>
                <w:b/>
                <w:sz w:val="28"/>
              </w:rPr>
            </w:pPr>
            <w:r>
              <w:rPr>
                <w:rFonts w:ascii="Arial" w:hAnsi="Arial"/>
                <w:b/>
                <w:sz w:val="28"/>
              </w:rPr>
              <w:t xml:space="preserve">   Начальная стадия:</w:t>
            </w:r>
          </w:p>
        </w:tc>
        <w:tc>
          <w:tcPr>
            <w:tcW w:w="1276" w:type="dxa"/>
            <w:tcBorders>
              <w:left w:val="nil"/>
            </w:tcBorders>
          </w:tcPr>
          <w:p w14:paraId="489E4A03" w14:textId="77777777" w:rsidR="00CA32FC" w:rsidRDefault="00CA32FC" w:rsidP="00D55805">
            <w:pPr>
              <w:jc w:val="center"/>
              <w:rPr>
                <w:rFonts w:ascii="Arial" w:hAnsi="Arial"/>
                <w:b/>
                <w:sz w:val="28"/>
              </w:rPr>
            </w:pPr>
          </w:p>
        </w:tc>
        <w:tc>
          <w:tcPr>
            <w:tcW w:w="1200" w:type="dxa"/>
            <w:tcBorders>
              <w:left w:val="single" w:sz="6" w:space="0" w:color="auto"/>
              <w:right w:val="single" w:sz="6" w:space="0" w:color="auto"/>
            </w:tcBorders>
          </w:tcPr>
          <w:p w14:paraId="7B8A324C" w14:textId="77777777" w:rsidR="00CA32FC" w:rsidRDefault="00CA32FC" w:rsidP="00D55805">
            <w:pPr>
              <w:jc w:val="center"/>
              <w:rPr>
                <w:rFonts w:ascii="Arial" w:hAnsi="Arial"/>
                <w:b/>
                <w:sz w:val="28"/>
              </w:rPr>
            </w:pPr>
          </w:p>
        </w:tc>
        <w:tc>
          <w:tcPr>
            <w:tcW w:w="2059" w:type="dxa"/>
            <w:tcBorders>
              <w:left w:val="nil"/>
            </w:tcBorders>
          </w:tcPr>
          <w:p w14:paraId="7FB88C4F" w14:textId="77777777" w:rsidR="00CA32FC" w:rsidRDefault="00CA32FC" w:rsidP="00D55805">
            <w:pPr>
              <w:jc w:val="center"/>
              <w:rPr>
                <w:rFonts w:ascii="Arial" w:hAnsi="Arial"/>
                <w:b/>
                <w:sz w:val="28"/>
              </w:rPr>
            </w:pPr>
          </w:p>
        </w:tc>
      </w:tr>
      <w:tr w:rsidR="00CA32FC" w14:paraId="3689F8BF" w14:textId="77777777">
        <w:tblPrEx>
          <w:tblCellMar>
            <w:top w:w="0" w:type="dxa"/>
            <w:bottom w:w="0" w:type="dxa"/>
          </w:tblCellMar>
        </w:tblPrEx>
        <w:trPr>
          <w:jc w:val="center"/>
        </w:trPr>
        <w:tc>
          <w:tcPr>
            <w:tcW w:w="5211" w:type="dxa"/>
            <w:tcBorders>
              <w:right w:val="single" w:sz="6" w:space="0" w:color="auto"/>
            </w:tcBorders>
          </w:tcPr>
          <w:p w14:paraId="1F210F52" w14:textId="77777777" w:rsidR="00CA32FC" w:rsidRDefault="00CA32FC" w:rsidP="00D55805">
            <w:pPr>
              <w:numPr>
                <w:ilvl w:val="0"/>
                <w:numId w:val="2"/>
              </w:numPr>
              <w:rPr>
                <w:rFonts w:ascii="Arial" w:hAnsi="Arial"/>
                <w:b/>
                <w:i/>
                <w:sz w:val="28"/>
              </w:rPr>
            </w:pPr>
            <w:r>
              <w:rPr>
                <w:rFonts w:ascii="Arial" w:hAnsi="Arial"/>
                <w:b/>
                <w:i/>
                <w:sz w:val="28"/>
              </w:rPr>
              <w:t>супратенториальные</w:t>
            </w:r>
          </w:p>
        </w:tc>
        <w:tc>
          <w:tcPr>
            <w:tcW w:w="1276" w:type="dxa"/>
            <w:tcBorders>
              <w:left w:val="nil"/>
            </w:tcBorders>
          </w:tcPr>
          <w:p w14:paraId="5255865E" w14:textId="77777777" w:rsidR="00CA32FC" w:rsidRDefault="00CA32FC" w:rsidP="00D55805">
            <w:pPr>
              <w:jc w:val="center"/>
              <w:rPr>
                <w:rFonts w:ascii="Arial" w:hAnsi="Arial"/>
                <w:b/>
                <w:sz w:val="28"/>
              </w:rPr>
            </w:pPr>
            <w:r>
              <w:rPr>
                <w:rFonts w:ascii="Arial" w:hAnsi="Arial"/>
                <w:b/>
                <w:sz w:val="28"/>
              </w:rPr>
              <w:t>+++</w:t>
            </w:r>
          </w:p>
        </w:tc>
        <w:tc>
          <w:tcPr>
            <w:tcW w:w="1200" w:type="dxa"/>
            <w:tcBorders>
              <w:left w:val="single" w:sz="6" w:space="0" w:color="auto"/>
              <w:right w:val="single" w:sz="6" w:space="0" w:color="auto"/>
            </w:tcBorders>
          </w:tcPr>
          <w:p w14:paraId="3610AC3A" w14:textId="77777777" w:rsidR="00CA32FC" w:rsidRDefault="00CA32FC" w:rsidP="00D55805">
            <w:pPr>
              <w:jc w:val="center"/>
              <w:rPr>
                <w:rFonts w:ascii="Arial" w:hAnsi="Arial"/>
                <w:b/>
                <w:sz w:val="28"/>
              </w:rPr>
            </w:pPr>
            <w:r>
              <w:rPr>
                <w:rFonts w:ascii="Arial" w:hAnsi="Arial"/>
                <w:b/>
                <w:sz w:val="28"/>
              </w:rPr>
              <w:t>++</w:t>
            </w:r>
          </w:p>
        </w:tc>
        <w:tc>
          <w:tcPr>
            <w:tcW w:w="2059" w:type="dxa"/>
            <w:tcBorders>
              <w:left w:val="nil"/>
            </w:tcBorders>
          </w:tcPr>
          <w:p w14:paraId="38ABEC03" w14:textId="77777777" w:rsidR="00CA32FC" w:rsidRDefault="00CA32FC" w:rsidP="00D55805">
            <w:pPr>
              <w:jc w:val="center"/>
              <w:rPr>
                <w:rFonts w:ascii="Arial" w:hAnsi="Arial"/>
                <w:b/>
                <w:sz w:val="28"/>
              </w:rPr>
            </w:pPr>
          </w:p>
        </w:tc>
      </w:tr>
      <w:tr w:rsidR="00CA32FC" w14:paraId="23308DA0" w14:textId="77777777">
        <w:tblPrEx>
          <w:tblCellMar>
            <w:top w:w="0" w:type="dxa"/>
            <w:bottom w:w="0" w:type="dxa"/>
          </w:tblCellMar>
        </w:tblPrEx>
        <w:trPr>
          <w:jc w:val="center"/>
        </w:trPr>
        <w:tc>
          <w:tcPr>
            <w:tcW w:w="5211" w:type="dxa"/>
            <w:tcBorders>
              <w:right w:val="single" w:sz="6" w:space="0" w:color="auto"/>
            </w:tcBorders>
          </w:tcPr>
          <w:p w14:paraId="66188011" w14:textId="77777777" w:rsidR="00CA32FC" w:rsidRDefault="00CA32FC" w:rsidP="00D55805">
            <w:pPr>
              <w:numPr>
                <w:ilvl w:val="0"/>
                <w:numId w:val="2"/>
              </w:numPr>
              <w:rPr>
                <w:rFonts w:ascii="Arial" w:hAnsi="Arial"/>
                <w:b/>
                <w:i/>
                <w:sz w:val="28"/>
              </w:rPr>
            </w:pPr>
            <w:proofErr w:type="spellStart"/>
            <w:r>
              <w:rPr>
                <w:rFonts w:ascii="Arial" w:hAnsi="Arial"/>
                <w:b/>
                <w:i/>
                <w:sz w:val="28"/>
              </w:rPr>
              <w:t>инфратенториальные</w:t>
            </w:r>
            <w:proofErr w:type="spellEnd"/>
          </w:p>
        </w:tc>
        <w:tc>
          <w:tcPr>
            <w:tcW w:w="1276" w:type="dxa"/>
            <w:tcBorders>
              <w:left w:val="nil"/>
            </w:tcBorders>
          </w:tcPr>
          <w:p w14:paraId="54F5ED5B" w14:textId="77777777" w:rsidR="00CA32FC" w:rsidRDefault="00CA32FC" w:rsidP="00D55805">
            <w:pPr>
              <w:jc w:val="center"/>
              <w:rPr>
                <w:rFonts w:ascii="Arial" w:hAnsi="Arial"/>
                <w:b/>
                <w:sz w:val="28"/>
              </w:rPr>
            </w:pPr>
            <w:r>
              <w:rPr>
                <w:rFonts w:ascii="Arial" w:hAnsi="Arial"/>
                <w:b/>
                <w:sz w:val="28"/>
              </w:rPr>
              <w:t>++++</w:t>
            </w:r>
          </w:p>
        </w:tc>
        <w:tc>
          <w:tcPr>
            <w:tcW w:w="1200" w:type="dxa"/>
            <w:tcBorders>
              <w:left w:val="single" w:sz="6" w:space="0" w:color="auto"/>
              <w:right w:val="single" w:sz="6" w:space="0" w:color="auto"/>
            </w:tcBorders>
          </w:tcPr>
          <w:p w14:paraId="799FAC73" w14:textId="77777777" w:rsidR="00CA32FC" w:rsidRDefault="00CA32FC" w:rsidP="00D55805">
            <w:pPr>
              <w:jc w:val="center"/>
              <w:rPr>
                <w:rFonts w:ascii="Arial" w:hAnsi="Arial"/>
                <w:b/>
                <w:sz w:val="28"/>
              </w:rPr>
            </w:pPr>
            <w:r>
              <w:rPr>
                <w:rFonts w:ascii="Arial" w:hAnsi="Arial"/>
                <w:b/>
                <w:sz w:val="28"/>
              </w:rPr>
              <w:t>++</w:t>
            </w:r>
          </w:p>
        </w:tc>
        <w:tc>
          <w:tcPr>
            <w:tcW w:w="2059" w:type="dxa"/>
            <w:tcBorders>
              <w:left w:val="nil"/>
            </w:tcBorders>
          </w:tcPr>
          <w:p w14:paraId="7DA7A34C" w14:textId="77777777" w:rsidR="00CA32FC" w:rsidRDefault="00CA32FC" w:rsidP="00D55805">
            <w:pPr>
              <w:jc w:val="center"/>
              <w:rPr>
                <w:rFonts w:ascii="Arial" w:hAnsi="Arial"/>
                <w:b/>
                <w:sz w:val="28"/>
              </w:rPr>
            </w:pPr>
          </w:p>
        </w:tc>
      </w:tr>
      <w:tr w:rsidR="00CA32FC" w14:paraId="6CBEDF67" w14:textId="77777777">
        <w:tblPrEx>
          <w:tblCellMar>
            <w:top w:w="0" w:type="dxa"/>
            <w:bottom w:w="0" w:type="dxa"/>
          </w:tblCellMar>
        </w:tblPrEx>
        <w:trPr>
          <w:jc w:val="center"/>
        </w:trPr>
        <w:tc>
          <w:tcPr>
            <w:tcW w:w="5211" w:type="dxa"/>
            <w:tcBorders>
              <w:right w:val="single" w:sz="6" w:space="0" w:color="auto"/>
            </w:tcBorders>
          </w:tcPr>
          <w:p w14:paraId="18B60613" w14:textId="77777777" w:rsidR="00CA32FC" w:rsidRDefault="00CA32FC" w:rsidP="00D55805">
            <w:pPr>
              <w:rPr>
                <w:rFonts w:ascii="Arial" w:hAnsi="Arial"/>
                <w:b/>
                <w:sz w:val="28"/>
              </w:rPr>
            </w:pPr>
            <w:r>
              <w:rPr>
                <w:rFonts w:ascii="Arial" w:hAnsi="Arial"/>
                <w:b/>
                <w:sz w:val="28"/>
              </w:rPr>
              <w:t xml:space="preserve">   Развитая стадия:</w:t>
            </w:r>
          </w:p>
        </w:tc>
        <w:tc>
          <w:tcPr>
            <w:tcW w:w="1276" w:type="dxa"/>
            <w:tcBorders>
              <w:left w:val="nil"/>
            </w:tcBorders>
          </w:tcPr>
          <w:p w14:paraId="1A13BD4E" w14:textId="77777777" w:rsidR="00CA32FC" w:rsidRDefault="00CA32FC" w:rsidP="00D55805">
            <w:pPr>
              <w:jc w:val="center"/>
              <w:rPr>
                <w:rFonts w:ascii="Arial" w:hAnsi="Arial"/>
                <w:b/>
                <w:sz w:val="28"/>
              </w:rPr>
            </w:pPr>
          </w:p>
        </w:tc>
        <w:tc>
          <w:tcPr>
            <w:tcW w:w="1200" w:type="dxa"/>
            <w:tcBorders>
              <w:left w:val="single" w:sz="6" w:space="0" w:color="auto"/>
              <w:right w:val="single" w:sz="6" w:space="0" w:color="auto"/>
            </w:tcBorders>
          </w:tcPr>
          <w:p w14:paraId="025207DF" w14:textId="77777777" w:rsidR="00CA32FC" w:rsidRDefault="00CA32FC" w:rsidP="00D55805">
            <w:pPr>
              <w:jc w:val="center"/>
              <w:rPr>
                <w:rFonts w:ascii="Arial" w:hAnsi="Arial"/>
                <w:b/>
                <w:sz w:val="28"/>
              </w:rPr>
            </w:pPr>
          </w:p>
        </w:tc>
        <w:tc>
          <w:tcPr>
            <w:tcW w:w="2059" w:type="dxa"/>
            <w:tcBorders>
              <w:left w:val="nil"/>
            </w:tcBorders>
          </w:tcPr>
          <w:p w14:paraId="2004A1C6" w14:textId="77777777" w:rsidR="00CA32FC" w:rsidRDefault="00CA32FC" w:rsidP="00D55805">
            <w:pPr>
              <w:jc w:val="center"/>
              <w:rPr>
                <w:rFonts w:ascii="Arial" w:hAnsi="Arial"/>
                <w:b/>
                <w:sz w:val="28"/>
              </w:rPr>
            </w:pPr>
          </w:p>
        </w:tc>
      </w:tr>
      <w:tr w:rsidR="00CA32FC" w14:paraId="1F09D5EC" w14:textId="77777777">
        <w:tblPrEx>
          <w:tblCellMar>
            <w:top w:w="0" w:type="dxa"/>
            <w:bottom w:w="0" w:type="dxa"/>
          </w:tblCellMar>
        </w:tblPrEx>
        <w:trPr>
          <w:jc w:val="center"/>
        </w:trPr>
        <w:tc>
          <w:tcPr>
            <w:tcW w:w="5211" w:type="dxa"/>
            <w:tcBorders>
              <w:right w:val="single" w:sz="6" w:space="0" w:color="auto"/>
            </w:tcBorders>
          </w:tcPr>
          <w:p w14:paraId="718D6548" w14:textId="77777777" w:rsidR="00CA32FC" w:rsidRDefault="00CA32FC" w:rsidP="00D55805">
            <w:pPr>
              <w:numPr>
                <w:ilvl w:val="0"/>
                <w:numId w:val="2"/>
              </w:numPr>
              <w:rPr>
                <w:rFonts w:ascii="Arial" w:hAnsi="Arial"/>
                <w:b/>
                <w:i/>
                <w:sz w:val="28"/>
              </w:rPr>
            </w:pPr>
            <w:r>
              <w:rPr>
                <w:rFonts w:ascii="Arial" w:hAnsi="Arial"/>
                <w:b/>
                <w:i/>
                <w:sz w:val="28"/>
              </w:rPr>
              <w:t>супратенториальные</w:t>
            </w:r>
          </w:p>
        </w:tc>
        <w:tc>
          <w:tcPr>
            <w:tcW w:w="1276" w:type="dxa"/>
            <w:tcBorders>
              <w:left w:val="nil"/>
            </w:tcBorders>
          </w:tcPr>
          <w:p w14:paraId="58736687" w14:textId="77777777" w:rsidR="00CA32FC" w:rsidRDefault="00CA32FC" w:rsidP="00D55805">
            <w:pPr>
              <w:jc w:val="center"/>
              <w:rPr>
                <w:rFonts w:ascii="Arial" w:hAnsi="Arial"/>
                <w:b/>
                <w:sz w:val="28"/>
              </w:rPr>
            </w:pPr>
            <w:r>
              <w:rPr>
                <w:rFonts w:ascii="Arial" w:hAnsi="Arial"/>
                <w:b/>
                <w:sz w:val="28"/>
              </w:rPr>
              <w:t>++++</w:t>
            </w:r>
          </w:p>
        </w:tc>
        <w:tc>
          <w:tcPr>
            <w:tcW w:w="1200" w:type="dxa"/>
            <w:tcBorders>
              <w:left w:val="single" w:sz="6" w:space="0" w:color="auto"/>
              <w:right w:val="single" w:sz="6" w:space="0" w:color="auto"/>
            </w:tcBorders>
          </w:tcPr>
          <w:p w14:paraId="5E312E1F" w14:textId="77777777" w:rsidR="00CA32FC" w:rsidRDefault="00CA32FC" w:rsidP="00D55805">
            <w:pPr>
              <w:jc w:val="center"/>
              <w:rPr>
                <w:rFonts w:ascii="Arial" w:hAnsi="Arial"/>
                <w:b/>
                <w:sz w:val="28"/>
              </w:rPr>
            </w:pPr>
            <w:r>
              <w:rPr>
                <w:rFonts w:ascii="Arial" w:hAnsi="Arial"/>
                <w:b/>
                <w:sz w:val="28"/>
              </w:rPr>
              <w:t>++++</w:t>
            </w:r>
          </w:p>
        </w:tc>
        <w:tc>
          <w:tcPr>
            <w:tcW w:w="2059" w:type="dxa"/>
            <w:tcBorders>
              <w:left w:val="nil"/>
            </w:tcBorders>
          </w:tcPr>
          <w:p w14:paraId="1FC33660" w14:textId="77777777" w:rsidR="00CA32FC" w:rsidRDefault="00CA32FC" w:rsidP="00D55805">
            <w:pPr>
              <w:jc w:val="center"/>
              <w:rPr>
                <w:rFonts w:ascii="Arial" w:hAnsi="Arial"/>
                <w:b/>
                <w:sz w:val="28"/>
              </w:rPr>
            </w:pPr>
          </w:p>
        </w:tc>
      </w:tr>
      <w:tr w:rsidR="00CA32FC" w14:paraId="5BEB1A69" w14:textId="77777777">
        <w:tblPrEx>
          <w:tblCellMar>
            <w:top w:w="0" w:type="dxa"/>
            <w:bottom w:w="0" w:type="dxa"/>
          </w:tblCellMar>
        </w:tblPrEx>
        <w:trPr>
          <w:jc w:val="center"/>
        </w:trPr>
        <w:tc>
          <w:tcPr>
            <w:tcW w:w="5211" w:type="dxa"/>
            <w:tcBorders>
              <w:bottom w:val="single" w:sz="6" w:space="0" w:color="auto"/>
              <w:right w:val="single" w:sz="6" w:space="0" w:color="auto"/>
            </w:tcBorders>
          </w:tcPr>
          <w:p w14:paraId="5760786E" w14:textId="77777777" w:rsidR="00CA32FC" w:rsidRDefault="00CA32FC" w:rsidP="00D55805">
            <w:pPr>
              <w:numPr>
                <w:ilvl w:val="0"/>
                <w:numId w:val="2"/>
              </w:numPr>
              <w:rPr>
                <w:rFonts w:ascii="Arial" w:hAnsi="Arial"/>
                <w:b/>
                <w:i/>
                <w:sz w:val="28"/>
              </w:rPr>
            </w:pPr>
            <w:proofErr w:type="spellStart"/>
            <w:r>
              <w:rPr>
                <w:rFonts w:ascii="Arial" w:hAnsi="Arial"/>
                <w:b/>
                <w:i/>
                <w:sz w:val="28"/>
              </w:rPr>
              <w:t>инфратенториальные</w:t>
            </w:r>
            <w:proofErr w:type="spellEnd"/>
          </w:p>
        </w:tc>
        <w:tc>
          <w:tcPr>
            <w:tcW w:w="1276" w:type="dxa"/>
            <w:tcBorders>
              <w:left w:val="nil"/>
              <w:bottom w:val="single" w:sz="6" w:space="0" w:color="auto"/>
            </w:tcBorders>
          </w:tcPr>
          <w:p w14:paraId="2AF8E88E" w14:textId="77777777" w:rsidR="00CA32FC" w:rsidRDefault="00CA32FC" w:rsidP="00D55805">
            <w:pPr>
              <w:jc w:val="center"/>
              <w:rPr>
                <w:rFonts w:ascii="Arial" w:hAnsi="Arial"/>
                <w:b/>
                <w:sz w:val="28"/>
              </w:rPr>
            </w:pPr>
            <w:r>
              <w:rPr>
                <w:rFonts w:ascii="Arial" w:hAnsi="Arial"/>
                <w:b/>
                <w:sz w:val="28"/>
              </w:rPr>
              <w:t>++++</w:t>
            </w:r>
          </w:p>
        </w:tc>
        <w:tc>
          <w:tcPr>
            <w:tcW w:w="1200" w:type="dxa"/>
            <w:tcBorders>
              <w:left w:val="single" w:sz="6" w:space="0" w:color="auto"/>
              <w:bottom w:val="single" w:sz="6" w:space="0" w:color="auto"/>
              <w:right w:val="single" w:sz="6" w:space="0" w:color="auto"/>
            </w:tcBorders>
          </w:tcPr>
          <w:p w14:paraId="29FE6C33" w14:textId="77777777" w:rsidR="00CA32FC" w:rsidRDefault="00CA32FC" w:rsidP="00D55805">
            <w:pPr>
              <w:jc w:val="center"/>
              <w:rPr>
                <w:rFonts w:ascii="Arial" w:hAnsi="Arial"/>
                <w:b/>
                <w:sz w:val="28"/>
              </w:rPr>
            </w:pPr>
            <w:r>
              <w:rPr>
                <w:rFonts w:ascii="Arial" w:hAnsi="Arial"/>
                <w:b/>
                <w:sz w:val="28"/>
              </w:rPr>
              <w:t>++</w:t>
            </w:r>
          </w:p>
        </w:tc>
        <w:tc>
          <w:tcPr>
            <w:tcW w:w="2059" w:type="dxa"/>
            <w:tcBorders>
              <w:left w:val="nil"/>
              <w:bottom w:val="single" w:sz="6" w:space="0" w:color="auto"/>
            </w:tcBorders>
          </w:tcPr>
          <w:p w14:paraId="2089A77D" w14:textId="77777777" w:rsidR="00CA32FC" w:rsidRDefault="00CA32FC" w:rsidP="00D55805">
            <w:pPr>
              <w:jc w:val="center"/>
              <w:rPr>
                <w:rFonts w:ascii="Arial" w:hAnsi="Arial"/>
                <w:b/>
                <w:sz w:val="28"/>
              </w:rPr>
            </w:pPr>
          </w:p>
        </w:tc>
      </w:tr>
      <w:tr w:rsidR="00CA32FC" w14:paraId="531B7480" w14:textId="77777777">
        <w:tblPrEx>
          <w:tblCellMar>
            <w:top w:w="0" w:type="dxa"/>
            <w:bottom w:w="0" w:type="dxa"/>
          </w:tblCellMar>
        </w:tblPrEx>
        <w:trPr>
          <w:jc w:val="center"/>
        </w:trPr>
        <w:tc>
          <w:tcPr>
            <w:tcW w:w="5211" w:type="dxa"/>
            <w:tcBorders>
              <w:right w:val="single" w:sz="6" w:space="0" w:color="auto"/>
            </w:tcBorders>
          </w:tcPr>
          <w:p w14:paraId="65610A3B" w14:textId="77777777" w:rsidR="00CA32FC" w:rsidRDefault="00CA32FC" w:rsidP="00D55805">
            <w:pPr>
              <w:rPr>
                <w:rFonts w:ascii="Arial" w:hAnsi="Arial"/>
                <w:b/>
                <w:sz w:val="28"/>
              </w:rPr>
            </w:pPr>
            <w:r>
              <w:rPr>
                <w:b/>
                <w:sz w:val="32"/>
              </w:rPr>
              <w:t>Метастазы в головной мозг:</w:t>
            </w:r>
          </w:p>
        </w:tc>
        <w:tc>
          <w:tcPr>
            <w:tcW w:w="1276" w:type="dxa"/>
            <w:tcBorders>
              <w:left w:val="nil"/>
            </w:tcBorders>
          </w:tcPr>
          <w:p w14:paraId="56D25C56" w14:textId="77777777" w:rsidR="00CA32FC" w:rsidRDefault="00CA32FC" w:rsidP="00D55805">
            <w:pPr>
              <w:jc w:val="center"/>
              <w:rPr>
                <w:rFonts w:ascii="Arial" w:hAnsi="Arial"/>
                <w:b/>
                <w:sz w:val="28"/>
              </w:rPr>
            </w:pPr>
          </w:p>
        </w:tc>
        <w:tc>
          <w:tcPr>
            <w:tcW w:w="1200" w:type="dxa"/>
            <w:tcBorders>
              <w:left w:val="single" w:sz="6" w:space="0" w:color="auto"/>
              <w:right w:val="single" w:sz="6" w:space="0" w:color="auto"/>
            </w:tcBorders>
          </w:tcPr>
          <w:p w14:paraId="5F2D4674" w14:textId="77777777" w:rsidR="00CA32FC" w:rsidRDefault="00CA32FC" w:rsidP="00D55805">
            <w:pPr>
              <w:jc w:val="center"/>
              <w:rPr>
                <w:rFonts w:ascii="Arial" w:hAnsi="Arial"/>
                <w:b/>
                <w:sz w:val="28"/>
              </w:rPr>
            </w:pPr>
          </w:p>
        </w:tc>
        <w:tc>
          <w:tcPr>
            <w:tcW w:w="2059" w:type="dxa"/>
            <w:tcBorders>
              <w:left w:val="nil"/>
            </w:tcBorders>
          </w:tcPr>
          <w:p w14:paraId="66F4A99A" w14:textId="77777777" w:rsidR="00CA32FC" w:rsidRDefault="00CA32FC" w:rsidP="00D55805">
            <w:pPr>
              <w:jc w:val="center"/>
              <w:rPr>
                <w:rFonts w:ascii="Arial" w:hAnsi="Arial"/>
                <w:b/>
                <w:sz w:val="28"/>
              </w:rPr>
            </w:pPr>
          </w:p>
        </w:tc>
      </w:tr>
      <w:tr w:rsidR="00CA32FC" w14:paraId="6FD2D0FB" w14:textId="77777777">
        <w:tblPrEx>
          <w:tblCellMar>
            <w:top w:w="0" w:type="dxa"/>
            <w:bottom w:w="0" w:type="dxa"/>
          </w:tblCellMar>
        </w:tblPrEx>
        <w:trPr>
          <w:jc w:val="center"/>
        </w:trPr>
        <w:tc>
          <w:tcPr>
            <w:tcW w:w="5211" w:type="dxa"/>
            <w:tcBorders>
              <w:right w:val="single" w:sz="6" w:space="0" w:color="auto"/>
            </w:tcBorders>
          </w:tcPr>
          <w:p w14:paraId="5F51407E" w14:textId="77777777" w:rsidR="00CA32FC" w:rsidRDefault="00CA32FC" w:rsidP="00D55805">
            <w:pPr>
              <w:numPr>
                <w:ilvl w:val="0"/>
                <w:numId w:val="2"/>
              </w:numPr>
              <w:rPr>
                <w:rFonts w:ascii="Arial" w:hAnsi="Arial"/>
                <w:b/>
                <w:i/>
                <w:sz w:val="28"/>
              </w:rPr>
            </w:pPr>
            <w:r>
              <w:rPr>
                <w:rFonts w:ascii="Arial" w:hAnsi="Arial"/>
                <w:b/>
                <w:i/>
                <w:sz w:val="28"/>
              </w:rPr>
              <w:t>супратенториальные</w:t>
            </w:r>
          </w:p>
        </w:tc>
        <w:tc>
          <w:tcPr>
            <w:tcW w:w="1276" w:type="dxa"/>
            <w:tcBorders>
              <w:left w:val="nil"/>
            </w:tcBorders>
          </w:tcPr>
          <w:p w14:paraId="4B24147D" w14:textId="77777777" w:rsidR="00CA32FC" w:rsidRDefault="00CA32FC" w:rsidP="00D55805">
            <w:pPr>
              <w:jc w:val="center"/>
              <w:rPr>
                <w:rFonts w:ascii="Arial" w:hAnsi="Arial"/>
                <w:b/>
                <w:sz w:val="28"/>
              </w:rPr>
            </w:pPr>
            <w:r>
              <w:rPr>
                <w:rFonts w:ascii="Arial" w:hAnsi="Arial"/>
                <w:b/>
                <w:sz w:val="28"/>
              </w:rPr>
              <w:t>+++</w:t>
            </w:r>
          </w:p>
        </w:tc>
        <w:tc>
          <w:tcPr>
            <w:tcW w:w="1200" w:type="dxa"/>
            <w:tcBorders>
              <w:left w:val="single" w:sz="6" w:space="0" w:color="auto"/>
              <w:right w:val="single" w:sz="6" w:space="0" w:color="auto"/>
            </w:tcBorders>
          </w:tcPr>
          <w:p w14:paraId="4232DCC5" w14:textId="77777777" w:rsidR="00CA32FC" w:rsidRDefault="00CA32FC" w:rsidP="00D55805">
            <w:pPr>
              <w:jc w:val="center"/>
              <w:rPr>
                <w:rFonts w:ascii="Arial" w:hAnsi="Arial"/>
                <w:b/>
                <w:sz w:val="28"/>
              </w:rPr>
            </w:pPr>
            <w:r>
              <w:rPr>
                <w:rFonts w:ascii="Arial" w:hAnsi="Arial"/>
                <w:b/>
                <w:sz w:val="28"/>
              </w:rPr>
              <w:t>++</w:t>
            </w:r>
          </w:p>
        </w:tc>
        <w:tc>
          <w:tcPr>
            <w:tcW w:w="2059" w:type="dxa"/>
            <w:tcBorders>
              <w:left w:val="nil"/>
            </w:tcBorders>
          </w:tcPr>
          <w:p w14:paraId="344C57D8" w14:textId="77777777" w:rsidR="00CA32FC" w:rsidRDefault="00CA32FC" w:rsidP="00D55805">
            <w:pPr>
              <w:jc w:val="center"/>
              <w:rPr>
                <w:rFonts w:ascii="Arial" w:hAnsi="Arial"/>
                <w:b/>
                <w:sz w:val="28"/>
              </w:rPr>
            </w:pPr>
          </w:p>
        </w:tc>
      </w:tr>
      <w:tr w:rsidR="00CA32FC" w14:paraId="2453CF3F" w14:textId="77777777">
        <w:tblPrEx>
          <w:tblCellMar>
            <w:top w:w="0" w:type="dxa"/>
            <w:bottom w:w="0" w:type="dxa"/>
          </w:tblCellMar>
        </w:tblPrEx>
        <w:trPr>
          <w:jc w:val="center"/>
        </w:trPr>
        <w:tc>
          <w:tcPr>
            <w:tcW w:w="5211" w:type="dxa"/>
            <w:tcBorders>
              <w:right w:val="single" w:sz="6" w:space="0" w:color="auto"/>
            </w:tcBorders>
          </w:tcPr>
          <w:p w14:paraId="05A83362" w14:textId="77777777" w:rsidR="00CA32FC" w:rsidRDefault="00CA32FC" w:rsidP="00D55805">
            <w:pPr>
              <w:numPr>
                <w:ilvl w:val="0"/>
                <w:numId w:val="2"/>
              </w:numPr>
              <w:rPr>
                <w:rFonts w:ascii="Arial" w:hAnsi="Arial"/>
                <w:b/>
                <w:i/>
                <w:sz w:val="28"/>
              </w:rPr>
            </w:pPr>
            <w:proofErr w:type="spellStart"/>
            <w:r>
              <w:rPr>
                <w:rFonts w:ascii="Arial" w:hAnsi="Arial"/>
                <w:b/>
                <w:i/>
                <w:sz w:val="28"/>
              </w:rPr>
              <w:t>инфратенториальные</w:t>
            </w:r>
            <w:proofErr w:type="spellEnd"/>
          </w:p>
        </w:tc>
        <w:tc>
          <w:tcPr>
            <w:tcW w:w="1276" w:type="dxa"/>
            <w:tcBorders>
              <w:left w:val="nil"/>
            </w:tcBorders>
          </w:tcPr>
          <w:p w14:paraId="20C7F65E" w14:textId="77777777" w:rsidR="00CA32FC" w:rsidRDefault="00CA32FC" w:rsidP="00D55805">
            <w:pPr>
              <w:jc w:val="center"/>
              <w:rPr>
                <w:rFonts w:ascii="Arial" w:hAnsi="Arial"/>
                <w:b/>
                <w:sz w:val="28"/>
              </w:rPr>
            </w:pPr>
            <w:r>
              <w:rPr>
                <w:rFonts w:ascii="Arial" w:hAnsi="Arial"/>
                <w:b/>
                <w:sz w:val="28"/>
              </w:rPr>
              <w:t>+++</w:t>
            </w:r>
          </w:p>
        </w:tc>
        <w:tc>
          <w:tcPr>
            <w:tcW w:w="1200" w:type="dxa"/>
            <w:tcBorders>
              <w:left w:val="single" w:sz="6" w:space="0" w:color="auto"/>
              <w:right w:val="single" w:sz="6" w:space="0" w:color="auto"/>
            </w:tcBorders>
          </w:tcPr>
          <w:p w14:paraId="32433DBB" w14:textId="77777777" w:rsidR="00CA32FC" w:rsidRDefault="00CA32FC" w:rsidP="00D55805">
            <w:pPr>
              <w:jc w:val="center"/>
              <w:rPr>
                <w:rFonts w:ascii="Arial" w:hAnsi="Arial"/>
                <w:b/>
                <w:sz w:val="28"/>
              </w:rPr>
            </w:pPr>
            <w:r>
              <w:rPr>
                <w:rFonts w:ascii="Arial" w:hAnsi="Arial"/>
                <w:b/>
                <w:sz w:val="28"/>
              </w:rPr>
              <w:t>+</w:t>
            </w:r>
          </w:p>
        </w:tc>
        <w:tc>
          <w:tcPr>
            <w:tcW w:w="2059" w:type="dxa"/>
            <w:tcBorders>
              <w:left w:val="nil"/>
            </w:tcBorders>
          </w:tcPr>
          <w:p w14:paraId="58A3F0A5" w14:textId="77777777" w:rsidR="00CA32FC" w:rsidRDefault="00CA32FC" w:rsidP="00D55805">
            <w:pPr>
              <w:jc w:val="center"/>
              <w:rPr>
                <w:rFonts w:ascii="Arial" w:hAnsi="Arial"/>
                <w:b/>
                <w:sz w:val="28"/>
              </w:rPr>
            </w:pPr>
          </w:p>
        </w:tc>
      </w:tr>
      <w:tr w:rsidR="00CA32FC" w14:paraId="21BD11D9" w14:textId="77777777">
        <w:tblPrEx>
          <w:tblCellMar>
            <w:top w:w="0" w:type="dxa"/>
            <w:bottom w:w="0" w:type="dxa"/>
          </w:tblCellMar>
        </w:tblPrEx>
        <w:trPr>
          <w:jc w:val="center"/>
        </w:trPr>
        <w:tc>
          <w:tcPr>
            <w:tcW w:w="5211" w:type="dxa"/>
            <w:tcBorders>
              <w:top w:val="single" w:sz="6" w:space="0" w:color="auto"/>
              <w:right w:val="single" w:sz="6" w:space="0" w:color="auto"/>
            </w:tcBorders>
          </w:tcPr>
          <w:p w14:paraId="3E426D8B" w14:textId="77777777" w:rsidR="00CA32FC" w:rsidRDefault="00CA32FC" w:rsidP="00D55805">
            <w:pPr>
              <w:rPr>
                <w:b/>
                <w:sz w:val="32"/>
              </w:rPr>
            </w:pPr>
            <w:proofErr w:type="spellStart"/>
            <w:r>
              <w:rPr>
                <w:b/>
                <w:sz w:val="32"/>
              </w:rPr>
              <w:t>Демиелинизирующие</w:t>
            </w:r>
            <w:proofErr w:type="spellEnd"/>
            <w:r>
              <w:rPr>
                <w:b/>
                <w:sz w:val="32"/>
              </w:rPr>
              <w:t xml:space="preserve"> заболевания</w:t>
            </w:r>
          </w:p>
        </w:tc>
        <w:tc>
          <w:tcPr>
            <w:tcW w:w="1276" w:type="dxa"/>
            <w:tcBorders>
              <w:top w:val="single" w:sz="6" w:space="0" w:color="auto"/>
              <w:left w:val="nil"/>
            </w:tcBorders>
          </w:tcPr>
          <w:p w14:paraId="1571362E" w14:textId="77777777" w:rsidR="00CA32FC" w:rsidRDefault="00CA32FC" w:rsidP="00D55805">
            <w:pPr>
              <w:jc w:val="center"/>
              <w:rPr>
                <w:rFonts w:ascii="Arial" w:hAnsi="Arial"/>
                <w:b/>
                <w:sz w:val="28"/>
              </w:rPr>
            </w:pPr>
            <w:r>
              <w:rPr>
                <w:rFonts w:ascii="Arial" w:hAnsi="Arial"/>
                <w:b/>
                <w:sz w:val="28"/>
              </w:rPr>
              <w:t>++++</w:t>
            </w:r>
          </w:p>
        </w:tc>
        <w:tc>
          <w:tcPr>
            <w:tcW w:w="1200" w:type="dxa"/>
            <w:tcBorders>
              <w:top w:val="single" w:sz="6" w:space="0" w:color="auto"/>
              <w:left w:val="single" w:sz="6" w:space="0" w:color="auto"/>
              <w:right w:val="single" w:sz="6" w:space="0" w:color="auto"/>
            </w:tcBorders>
          </w:tcPr>
          <w:p w14:paraId="33383D88" w14:textId="77777777" w:rsidR="00CA32FC" w:rsidRDefault="00CA32FC" w:rsidP="00D55805">
            <w:pPr>
              <w:jc w:val="center"/>
              <w:rPr>
                <w:rFonts w:ascii="Arial" w:hAnsi="Arial"/>
                <w:b/>
                <w:sz w:val="28"/>
              </w:rPr>
            </w:pPr>
            <w:r>
              <w:rPr>
                <w:rFonts w:ascii="Arial" w:hAnsi="Arial"/>
                <w:b/>
                <w:sz w:val="28"/>
              </w:rPr>
              <w:t>++</w:t>
            </w:r>
          </w:p>
        </w:tc>
        <w:tc>
          <w:tcPr>
            <w:tcW w:w="2059" w:type="dxa"/>
            <w:tcBorders>
              <w:top w:val="single" w:sz="6" w:space="0" w:color="auto"/>
              <w:left w:val="nil"/>
            </w:tcBorders>
          </w:tcPr>
          <w:p w14:paraId="0F9D5470" w14:textId="77777777" w:rsidR="00CA32FC" w:rsidRDefault="00CA32FC" w:rsidP="00D55805">
            <w:pPr>
              <w:jc w:val="center"/>
              <w:rPr>
                <w:rFonts w:ascii="Arial" w:hAnsi="Arial"/>
                <w:b/>
                <w:sz w:val="28"/>
              </w:rPr>
            </w:pPr>
          </w:p>
        </w:tc>
      </w:tr>
      <w:tr w:rsidR="00CA32FC" w14:paraId="588EEB91" w14:textId="77777777">
        <w:tblPrEx>
          <w:tblCellMar>
            <w:top w:w="0" w:type="dxa"/>
            <w:bottom w:w="0" w:type="dxa"/>
          </w:tblCellMar>
        </w:tblPrEx>
        <w:trPr>
          <w:jc w:val="center"/>
        </w:trPr>
        <w:tc>
          <w:tcPr>
            <w:tcW w:w="5211" w:type="dxa"/>
            <w:tcBorders>
              <w:top w:val="single" w:sz="6" w:space="0" w:color="auto"/>
              <w:right w:val="single" w:sz="6" w:space="0" w:color="auto"/>
            </w:tcBorders>
          </w:tcPr>
          <w:p w14:paraId="6D627E68" w14:textId="77777777" w:rsidR="00CA32FC" w:rsidRDefault="00CA32FC" w:rsidP="00D55805">
            <w:pPr>
              <w:rPr>
                <w:rFonts w:ascii="Arial" w:hAnsi="Arial"/>
                <w:b/>
                <w:sz w:val="28"/>
              </w:rPr>
            </w:pPr>
            <w:r>
              <w:rPr>
                <w:b/>
                <w:sz w:val="32"/>
              </w:rPr>
              <w:t>Травма</w:t>
            </w:r>
          </w:p>
        </w:tc>
        <w:tc>
          <w:tcPr>
            <w:tcW w:w="1276" w:type="dxa"/>
            <w:tcBorders>
              <w:top w:val="single" w:sz="6" w:space="0" w:color="auto"/>
              <w:left w:val="nil"/>
            </w:tcBorders>
          </w:tcPr>
          <w:p w14:paraId="76984E0B" w14:textId="77777777" w:rsidR="00CA32FC" w:rsidRDefault="00CA32FC" w:rsidP="00D55805">
            <w:pPr>
              <w:jc w:val="center"/>
              <w:rPr>
                <w:rFonts w:ascii="Arial" w:hAnsi="Arial"/>
                <w:b/>
                <w:sz w:val="28"/>
              </w:rPr>
            </w:pPr>
          </w:p>
        </w:tc>
        <w:tc>
          <w:tcPr>
            <w:tcW w:w="1200" w:type="dxa"/>
            <w:tcBorders>
              <w:top w:val="single" w:sz="6" w:space="0" w:color="auto"/>
              <w:left w:val="single" w:sz="6" w:space="0" w:color="auto"/>
              <w:right w:val="single" w:sz="6" w:space="0" w:color="auto"/>
            </w:tcBorders>
          </w:tcPr>
          <w:p w14:paraId="4BF6FC59" w14:textId="77777777" w:rsidR="00CA32FC" w:rsidRDefault="00CA32FC" w:rsidP="00D55805">
            <w:pPr>
              <w:jc w:val="center"/>
              <w:rPr>
                <w:rFonts w:ascii="Arial" w:hAnsi="Arial"/>
                <w:b/>
                <w:sz w:val="28"/>
              </w:rPr>
            </w:pPr>
          </w:p>
        </w:tc>
        <w:tc>
          <w:tcPr>
            <w:tcW w:w="2059" w:type="dxa"/>
            <w:tcBorders>
              <w:top w:val="single" w:sz="6" w:space="0" w:color="auto"/>
              <w:left w:val="nil"/>
            </w:tcBorders>
          </w:tcPr>
          <w:p w14:paraId="5D3BC204" w14:textId="77777777" w:rsidR="00CA32FC" w:rsidRDefault="00CA32FC" w:rsidP="00D55805">
            <w:pPr>
              <w:jc w:val="center"/>
              <w:rPr>
                <w:rFonts w:ascii="Arial" w:hAnsi="Arial"/>
                <w:b/>
                <w:sz w:val="28"/>
              </w:rPr>
            </w:pPr>
          </w:p>
        </w:tc>
      </w:tr>
      <w:tr w:rsidR="00CA32FC" w14:paraId="7F4A683D" w14:textId="77777777">
        <w:tblPrEx>
          <w:tblCellMar>
            <w:top w:w="0" w:type="dxa"/>
            <w:bottom w:w="0" w:type="dxa"/>
          </w:tblCellMar>
        </w:tblPrEx>
        <w:trPr>
          <w:jc w:val="center"/>
        </w:trPr>
        <w:tc>
          <w:tcPr>
            <w:tcW w:w="5211" w:type="dxa"/>
            <w:tcBorders>
              <w:right w:val="single" w:sz="6" w:space="0" w:color="auto"/>
            </w:tcBorders>
          </w:tcPr>
          <w:p w14:paraId="7DF00AE4" w14:textId="77777777" w:rsidR="00CA32FC" w:rsidRDefault="00CA32FC" w:rsidP="00D55805">
            <w:pPr>
              <w:numPr>
                <w:ilvl w:val="0"/>
                <w:numId w:val="2"/>
              </w:numPr>
              <w:rPr>
                <w:rFonts w:ascii="Arial" w:hAnsi="Arial"/>
                <w:b/>
                <w:i/>
                <w:sz w:val="28"/>
              </w:rPr>
            </w:pPr>
            <w:proofErr w:type="spellStart"/>
            <w:r>
              <w:rPr>
                <w:rFonts w:ascii="Arial" w:hAnsi="Arial"/>
                <w:b/>
                <w:i/>
                <w:sz w:val="28"/>
              </w:rPr>
              <w:t>черепномозговая</w:t>
            </w:r>
            <w:proofErr w:type="spellEnd"/>
          </w:p>
        </w:tc>
        <w:tc>
          <w:tcPr>
            <w:tcW w:w="1276" w:type="dxa"/>
            <w:tcBorders>
              <w:left w:val="nil"/>
            </w:tcBorders>
          </w:tcPr>
          <w:p w14:paraId="7CDEB846" w14:textId="77777777" w:rsidR="00CA32FC" w:rsidRDefault="00CA32FC" w:rsidP="00D55805">
            <w:pPr>
              <w:jc w:val="center"/>
              <w:rPr>
                <w:rFonts w:ascii="Arial" w:hAnsi="Arial"/>
                <w:b/>
                <w:sz w:val="28"/>
              </w:rPr>
            </w:pPr>
            <w:r>
              <w:rPr>
                <w:rFonts w:ascii="Arial" w:hAnsi="Arial"/>
                <w:b/>
                <w:sz w:val="28"/>
              </w:rPr>
              <w:t>++</w:t>
            </w:r>
          </w:p>
        </w:tc>
        <w:tc>
          <w:tcPr>
            <w:tcW w:w="1200" w:type="dxa"/>
            <w:tcBorders>
              <w:left w:val="single" w:sz="6" w:space="0" w:color="auto"/>
              <w:right w:val="single" w:sz="6" w:space="0" w:color="auto"/>
            </w:tcBorders>
          </w:tcPr>
          <w:p w14:paraId="0750418E" w14:textId="77777777" w:rsidR="00CA32FC" w:rsidRDefault="00CA32FC" w:rsidP="00D55805">
            <w:pPr>
              <w:jc w:val="center"/>
              <w:rPr>
                <w:rFonts w:ascii="Arial" w:hAnsi="Arial"/>
                <w:b/>
                <w:sz w:val="28"/>
              </w:rPr>
            </w:pPr>
            <w:r>
              <w:rPr>
                <w:rFonts w:ascii="Arial" w:hAnsi="Arial"/>
                <w:b/>
                <w:sz w:val="28"/>
              </w:rPr>
              <w:t>+++</w:t>
            </w:r>
          </w:p>
        </w:tc>
        <w:tc>
          <w:tcPr>
            <w:tcW w:w="2059" w:type="dxa"/>
            <w:tcBorders>
              <w:left w:val="nil"/>
            </w:tcBorders>
          </w:tcPr>
          <w:p w14:paraId="2CEF9C42" w14:textId="77777777" w:rsidR="00CA32FC" w:rsidRDefault="00CA32FC" w:rsidP="00D55805">
            <w:pPr>
              <w:jc w:val="center"/>
              <w:rPr>
                <w:rFonts w:ascii="Arial" w:hAnsi="Arial"/>
                <w:b/>
                <w:sz w:val="28"/>
              </w:rPr>
            </w:pPr>
          </w:p>
        </w:tc>
      </w:tr>
      <w:tr w:rsidR="00CA32FC" w14:paraId="6AEC3AA8" w14:textId="77777777">
        <w:tblPrEx>
          <w:tblCellMar>
            <w:top w:w="0" w:type="dxa"/>
            <w:bottom w:w="0" w:type="dxa"/>
          </w:tblCellMar>
        </w:tblPrEx>
        <w:trPr>
          <w:jc w:val="center"/>
        </w:trPr>
        <w:tc>
          <w:tcPr>
            <w:tcW w:w="5211" w:type="dxa"/>
            <w:tcBorders>
              <w:right w:val="single" w:sz="6" w:space="0" w:color="auto"/>
            </w:tcBorders>
          </w:tcPr>
          <w:p w14:paraId="648DEB50" w14:textId="77777777" w:rsidR="00CA32FC" w:rsidRDefault="00CA32FC" w:rsidP="00D55805">
            <w:pPr>
              <w:numPr>
                <w:ilvl w:val="0"/>
                <w:numId w:val="2"/>
              </w:numPr>
              <w:rPr>
                <w:rFonts w:ascii="Arial" w:hAnsi="Arial"/>
                <w:b/>
                <w:i/>
                <w:sz w:val="28"/>
              </w:rPr>
            </w:pPr>
            <w:r>
              <w:rPr>
                <w:rFonts w:ascii="Arial" w:hAnsi="Arial"/>
                <w:b/>
                <w:i/>
                <w:sz w:val="28"/>
              </w:rPr>
              <w:t>спинальная</w:t>
            </w:r>
          </w:p>
        </w:tc>
        <w:tc>
          <w:tcPr>
            <w:tcW w:w="1276" w:type="dxa"/>
            <w:tcBorders>
              <w:left w:val="nil"/>
            </w:tcBorders>
          </w:tcPr>
          <w:p w14:paraId="33893F58" w14:textId="77777777" w:rsidR="00CA32FC" w:rsidRDefault="00CA32FC" w:rsidP="00D55805">
            <w:pPr>
              <w:jc w:val="center"/>
              <w:rPr>
                <w:rFonts w:ascii="Arial" w:hAnsi="Arial"/>
                <w:b/>
                <w:sz w:val="28"/>
              </w:rPr>
            </w:pPr>
            <w:r>
              <w:rPr>
                <w:rFonts w:ascii="Arial" w:hAnsi="Arial"/>
                <w:b/>
                <w:sz w:val="28"/>
              </w:rPr>
              <w:t>+++</w:t>
            </w:r>
          </w:p>
        </w:tc>
        <w:tc>
          <w:tcPr>
            <w:tcW w:w="1200" w:type="dxa"/>
            <w:tcBorders>
              <w:left w:val="single" w:sz="6" w:space="0" w:color="auto"/>
              <w:right w:val="single" w:sz="6" w:space="0" w:color="auto"/>
            </w:tcBorders>
          </w:tcPr>
          <w:p w14:paraId="334FE04C" w14:textId="77777777" w:rsidR="00CA32FC" w:rsidRDefault="00CA32FC" w:rsidP="00D55805">
            <w:pPr>
              <w:jc w:val="center"/>
              <w:rPr>
                <w:rFonts w:ascii="Arial" w:hAnsi="Arial"/>
                <w:b/>
                <w:sz w:val="28"/>
              </w:rPr>
            </w:pPr>
            <w:r>
              <w:rPr>
                <w:rFonts w:ascii="Arial" w:hAnsi="Arial"/>
                <w:b/>
                <w:sz w:val="28"/>
              </w:rPr>
              <w:t>+++</w:t>
            </w:r>
          </w:p>
        </w:tc>
        <w:tc>
          <w:tcPr>
            <w:tcW w:w="2059" w:type="dxa"/>
            <w:tcBorders>
              <w:left w:val="nil"/>
            </w:tcBorders>
          </w:tcPr>
          <w:p w14:paraId="1A5C8879" w14:textId="77777777" w:rsidR="00CA32FC" w:rsidRDefault="00CA32FC" w:rsidP="00D55805">
            <w:pPr>
              <w:jc w:val="center"/>
              <w:rPr>
                <w:rFonts w:ascii="Arial" w:hAnsi="Arial"/>
                <w:b/>
                <w:sz w:val="28"/>
              </w:rPr>
            </w:pPr>
            <w:r>
              <w:rPr>
                <w:rFonts w:ascii="Arial" w:hAnsi="Arial"/>
                <w:b/>
                <w:sz w:val="28"/>
              </w:rPr>
              <w:t>+++</w:t>
            </w:r>
          </w:p>
        </w:tc>
      </w:tr>
      <w:tr w:rsidR="00CA32FC" w14:paraId="5424FD6E" w14:textId="77777777">
        <w:tblPrEx>
          <w:tblCellMar>
            <w:top w:w="0" w:type="dxa"/>
            <w:bottom w:w="0" w:type="dxa"/>
          </w:tblCellMar>
        </w:tblPrEx>
        <w:trPr>
          <w:jc w:val="center"/>
        </w:trPr>
        <w:tc>
          <w:tcPr>
            <w:tcW w:w="5211" w:type="dxa"/>
            <w:tcBorders>
              <w:top w:val="single" w:sz="6" w:space="0" w:color="auto"/>
              <w:bottom w:val="single" w:sz="6" w:space="0" w:color="auto"/>
              <w:right w:val="single" w:sz="6" w:space="0" w:color="auto"/>
            </w:tcBorders>
          </w:tcPr>
          <w:p w14:paraId="039341C9" w14:textId="77777777" w:rsidR="00CA32FC" w:rsidRDefault="00CA32FC" w:rsidP="00D55805">
            <w:pPr>
              <w:rPr>
                <w:rFonts w:ascii="Arial" w:hAnsi="Arial"/>
                <w:b/>
                <w:sz w:val="28"/>
              </w:rPr>
            </w:pPr>
            <w:r>
              <w:rPr>
                <w:b/>
                <w:sz w:val="32"/>
              </w:rPr>
              <w:t>Инсульты</w:t>
            </w:r>
          </w:p>
        </w:tc>
        <w:tc>
          <w:tcPr>
            <w:tcW w:w="1276" w:type="dxa"/>
            <w:tcBorders>
              <w:top w:val="single" w:sz="6" w:space="0" w:color="auto"/>
              <w:left w:val="nil"/>
              <w:bottom w:val="single" w:sz="6" w:space="0" w:color="auto"/>
            </w:tcBorders>
          </w:tcPr>
          <w:p w14:paraId="434F6E26" w14:textId="77777777" w:rsidR="00CA32FC" w:rsidRDefault="00CA32FC" w:rsidP="00D55805">
            <w:pPr>
              <w:jc w:val="center"/>
              <w:rPr>
                <w:rFonts w:ascii="Arial" w:hAnsi="Arial"/>
                <w:b/>
                <w:sz w:val="28"/>
              </w:rPr>
            </w:pPr>
            <w:r>
              <w:rPr>
                <w:rFonts w:ascii="Arial" w:hAnsi="Arial"/>
                <w:b/>
                <w:sz w:val="28"/>
              </w:rPr>
              <w:t>+++</w:t>
            </w:r>
          </w:p>
        </w:tc>
        <w:tc>
          <w:tcPr>
            <w:tcW w:w="1200" w:type="dxa"/>
            <w:tcBorders>
              <w:top w:val="single" w:sz="6" w:space="0" w:color="auto"/>
              <w:left w:val="single" w:sz="6" w:space="0" w:color="auto"/>
              <w:bottom w:val="single" w:sz="6" w:space="0" w:color="auto"/>
              <w:right w:val="single" w:sz="6" w:space="0" w:color="auto"/>
            </w:tcBorders>
          </w:tcPr>
          <w:p w14:paraId="59416F23" w14:textId="77777777" w:rsidR="00CA32FC" w:rsidRDefault="00CA32FC" w:rsidP="00D55805">
            <w:pPr>
              <w:jc w:val="center"/>
              <w:rPr>
                <w:rFonts w:ascii="Arial" w:hAnsi="Arial"/>
                <w:b/>
                <w:sz w:val="28"/>
              </w:rPr>
            </w:pPr>
            <w:r>
              <w:rPr>
                <w:rFonts w:ascii="Arial" w:hAnsi="Arial"/>
                <w:b/>
                <w:sz w:val="28"/>
              </w:rPr>
              <w:t>+++</w:t>
            </w:r>
          </w:p>
        </w:tc>
        <w:tc>
          <w:tcPr>
            <w:tcW w:w="2059" w:type="dxa"/>
            <w:tcBorders>
              <w:top w:val="single" w:sz="6" w:space="0" w:color="auto"/>
              <w:left w:val="nil"/>
              <w:bottom w:val="single" w:sz="6" w:space="0" w:color="auto"/>
            </w:tcBorders>
          </w:tcPr>
          <w:p w14:paraId="3E51688F" w14:textId="77777777" w:rsidR="00CA32FC" w:rsidRDefault="00CA32FC" w:rsidP="00D55805">
            <w:pPr>
              <w:jc w:val="center"/>
              <w:rPr>
                <w:rFonts w:ascii="Arial" w:hAnsi="Arial"/>
                <w:b/>
                <w:sz w:val="28"/>
              </w:rPr>
            </w:pPr>
          </w:p>
        </w:tc>
      </w:tr>
      <w:tr w:rsidR="00CA32FC" w14:paraId="36B4C2CE" w14:textId="77777777">
        <w:tblPrEx>
          <w:tblCellMar>
            <w:top w:w="0" w:type="dxa"/>
            <w:bottom w:w="0" w:type="dxa"/>
          </w:tblCellMar>
        </w:tblPrEx>
        <w:trPr>
          <w:jc w:val="center"/>
        </w:trPr>
        <w:tc>
          <w:tcPr>
            <w:tcW w:w="5211" w:type="dxa"/>
            <w:tcBorders>
              <w:right w:val="single" w:sz="6" w:space="0" w:color="auto"/>
            </w:tcBorders>
          </w:tcPr>
          <w:p w14:paraId="2A1B49BE" w14:textId="77777777" w:rsidR="00CA32FC" w:rsidRDefault="00CA32FC" w:rsidP="00D55805">
            <w:pPr>
              <w:rPr>
                <w:rFonts w:ascii="Arial" w:hAnsi="Arial"/>
                <w:b/>
                <w:spacing w:val="-20"/>
                <w:sz w:val="28"/>
              </w:rPr>
            </w:pPr>
            <w:r>
              <w:rPr>
                <w:b/>
                <w:spacing w:val="-20"/>
                <w:sz w:val="32"/>
              </w:rPr>
              <w:t>Патология краниовертебрального перехода и шейного отдела спинного мозга</w:t>
            </w:r>
          </w:p>
        </w:tc>
        <w:tc>
          <w:tcPr>
            <w:tcW w:w="1276" w:type="dxa"/>
            <w:tcBorders>
              <w:left w:val="nil"/>
            </w:tcBorders>
          </w:tcPr>
          <w:p w14:paraId="73E8BD43" w14:textId="77777777" w:rsidR="00CA32FC" w:rsidRDefault="00CA32FC" w:rsidP="00D55805">
            <w:pPr>
              <w:jc w:val="center"/>
              <w:rPr>
                <w:rFonts w:ascii="Arial" w:hAnsi="Arial"/>
                <w:b/>
                <w:sz w:val="28"/>
              </w:rPr>
            </w:pPr>
          </w:p>
        </w:tc>
        <w:tc>
          <w:tcPr>
            <w:tcW w:w="1200" w:type="dxa"/>
            <w:tcBorders>
              <w:left w:val="single" w:sz="6" w:space="0" w:color="auto"/>
              <w:right w:val="single" w:sz="6" w:space="0" w:color="auto"/>
            </w:tcBorders>
          </w:tcPr>
          <w:p w14:paraId="42B198DE" w14:textId="77777777" w:rsidR="00CA32FC" w:rsidRDefault="00CA32FC" w:rsidP="00D55805">
            <w:pPr>
              <w:jc w:val="center"/>
              <w:rPr>
                <w:rFonts w:ascii="Arial" w:hAnsi="Arial"/>
                <w:b/>
                <w:sz w:val="28"/>
              </w:rPr>
            </w:pPr>
          </w:p>
        </w:tc>
        <w:tc>
          <w:tcPr>
            <w:tcW w:w="2059" w:type="dxa"/>
            <w:tcBorders>
              <w:left w:val="nil"/>
            </w:tcBorders>
          </w:tcPr>
          <w:p w14:paraId="32425B49" w14:textId="77777777" w:rsidR="00CA32FC" w:rsidRDefault="00CA32FC" w:rsidP="00D55805">
            <w:pPr>
              <w:jc w:val="center"/>
              <w:rPr>
                <w:rFonts w:ascii="Arial" w:hAnsi="Arial"/>
                <w:b/>
                <w:sz w:val="28"/>
              </w:rPr>
            </w:pPr>
          </w:p>
        </w:tc>
      </w:tr>
      <w:tr w:rsidR="00CA32FC" w14:paraId="4AB41456" w14:textId="77777777">
        <w:tblPrEx>
          <w:tblCellMar>
            <w:top w:w="0" w:type="dxa"/>
            <w:bottom w:w="0" w:type="dxa"/>
          </w:tblCellMar>
        </w:tblPrEx>
        <w:trPr>
          <w:jc w:val="center"/>
        </w:trPr>
        <w:tc>
          <w:tcPr>
            <w:tcW w:w="5211" w:type="dxa"/>
            <w:tcBorders>
              <w:right w:val="single" w:sz="6" w:space="0" w:color="auto"/>
            </w:tcBorders>
          </w:tcPr>
          <w:p w14:paraId="4FA23705" w14:textId="77777777" w:rsidR="00CA32FC" w:rsidRDefault="00CA32FC" w:rsidP="00D55805">
            <w:pPr>
              <w:rPr>
                <w:rFonts w:ascii="Arial" w:hAnsi="Arial"/>
                <w:b/>
                <w:sz w:val="28"/>
              </w:rPr>
            </w:pPr>
            <w:r>
              <w:rPr>
                <w:rFonts w:ascii="Arial" w:hAnsi="Arial"/>
                <w:b/>
                <w:sz w:val="28"/>
              </w:rPr>
              <w:t xml:space="preserve">   Врожденные аномалии</w:t>
            </w:r>
          </w:p>
        </w:tc>
        <w:tc>
          <w:tcPr>
            <w:tcW w:w="1276" w:type="dxa"/>
            <w:tcBorders>
              <w:left w:val="nil"/>
            </w:tcBorders>
          </w:tcPr>
          <w:p w14:paraId="1D25A105" w14:textId="77777777" w:rsidR="00CA32FC" w:rsidRDefault="00CA32FC" w:rsidP="00D55805">
            <w:pPr>
              <w:jc w:val="center"/>
              <w:rPr>
                <w:rFonts w:ascii="Arial" w:hAnsi="Arial"/>
                <w:b/>
                <w:sz w:val="28"/>
              </w:rPr>
            </w:pPr>
            <w:r>
              <w:rPr>
                <w:rFonts w:ascii="Arial" w:hAnsi="Arial"/>
                <w:b/>
                <w:sz w:val="28"/>
              </w:rPr>
              <w:t>+++</w:t>
            </w:r>
          </w:p>
        </w:tc>
        <w:tc>
          <w:tcPr>
            <w:tcW w:w="1200" w:type="dxa"/>
            <w:tcBorders>
              <w:left w:val="single" w:sz="6" w:space="0" w:color="auto"/>
              <w:right w:val="single" w:sz="6" w:space="0" w:color="auto"/>
            </w:tcBorders>
          </w:tcPr>
          <w:p w14:paraId="479F0D5D" w14:textId="77777777" w:rsidR="00CA32FC" w:rsidRDefault="00CA32FC" w:rsidP="00D55805">
            <w:pPr>
              <w:jc w:val="center"/>
              <w:rPr>
                <w:rFonts w:ascii="Arial" w:hAnsi="Arial"/>
                <w:b/>
                <w:sz w:val="28"/>
              </w:rPr>
            </w:pPr>
            <w:r>
              <w:rPr>
                <w:rFonts w:ascii="Arial" w:hAnsi="Arial"/>
                <w:b/>
                <w:sz w:val="28"/>
              </w:rPr>
              <w:t>+</w:t>
            </w:r>
          </w:p>
        </w:tc>
        <w:tc>
          <w:tcPr>
            <w:tcW w:w="2059" w:type="dxa"/>
            <w:tcBorders>
              <w:left w:val="nil"/>
            </w:tcBorders>
          </w:tcPr>
          <w:p w14:paraId="3BD08CBD" w14:textId="77777777" w:rsidR="00CA32FC" w:rsidRDefault="00CA32FC" w:rsidP="00D55805">
            <w:pPr>
              <w:jc w:val="center"/>
              <w:rPr>
                <w:rFonts w:ascii="Arial" w:hAnsi="Arial"/>
                <w:b/>
                <w:sz w:val="28"/>
              </w:rPr>
            </w:pPr>
            <w:r>
              <w:rPr>
                <w:rFonts w:ascii="Arial" w:hAnsi="Arial"/>
                <w:b/>
                <w:sz w:val="28"/>
              </w:rPr>
              <w:t>++</w:t>
            </w:r>
          </w:p>
        </w:tc>
      </w:tr>
      <w:tr w:rsidR="00CA32FC" w14:paraId="20A988C4" w14:textId="77777777">
        <w:tblPrEx>
          <w:tblCellMar>
            <w:top w:w="0" w:type="dxa"/>
            <w:bottom w:w="0" w:type="dxa"/>
          </w:tblCellMar>
        </w:tblPrEx>
        <w:trPr>
          <w:jc w:val="center"/>
        </w:trPr>
        <w:tc>
          <w:tcPr>
            <w:tcW w:w="5211" w:type="dxa"/>
            <w:tcBorders>
              <w:right w:val="single" w:sz="6" w:space="0" w:color="auto"/>
            </w:tcBorders>
          </w:tcPr>
          <w:p w14:paraId="797D13BC" w14:textId="77777777" w:rsidR="00CA32FC" w:rsidRDefault="00CA32FC" w:rsidP="00D55805">
            <w:pPr>
              <w:rPr>
                <w:rFonts w:ascii="Arial" w:hAnsi="Arial"/>
                <w:b/>
                <w:sz w:val="28"/>
              </w:rPr>
            </w:pPr>
            <w:r>
              <w:rPr>
                <w:rFonts w:ascii="Arial" w:hAnsi="Arial"/>
                <w:b/>
                <w:sz w:val="28"/>
              </w:rPr>
              <w:t xml:space="preserve">   Внутримозговые опухоли:</w:t>
            </w:r>
          </w:p>
        </w:tc>
        <w:tc>
          <w:tcPr>
            <w:tcW w:w="1276" w:type="dxa"/>
            <w:tcBorders>
              <w:left w:val="nil"/>
            </w:tcBorders>
          </w:tcPr>
          <w:p w14:paraId="4E6B1419" w14:textId="77777777" w:rsidR="00CA32FC" w:rsidRDefault="00CA32FC" w:rsidP="00D55805">
            <w:pPr>
              <w:jc w:val="center"/>
              <w:rPr>
                <w:rFonts w:ascii="Arial" w:hAnsi="Arial"/>
                <w:b/>
                <w:sz w:val="28"/>
              </w:rPr>
            </w:pPr>
          </w:p>
        </w:tc>
        <w:tc>
          <w:tcPr>
            <w:tcW w:w="1200" w:type="dxa"/>
            <w:tcBorders>
              <w:left w:val="single" w:sz="6" w:space="0" w:color="auto"/>
              <w:right w:val="single" w:sz="6" w:space="0" w:color="auto"/>
            </w:tcBorders>
          </w:tcPr>
          <w:p w14:paraId="7CEEE635" w14:textId="77777777" w:rsidR="00CA32FC" w:rsidRDefault="00CA32FC" w:rsidP="00D55805">
            <w:pPr>
              <w:jc w:val="center"/>
              <w:rPr>
                <w:rFonts w:ascii="Arial" w:hAnsi="Arial"/>
                <w:b/>
                <w:sz w:val="28"/>
              </w:rPr>
            </w:pPr>
          </w:p>
        </w:tc>
        <w:tc>
          <w:tcPr>
            <w:tcW w:w="2059" w:type="dxa"/>
            <w:tcBorders>
              <w:left w:val="nil"/>
            </w:tcBorders>
          </w:tcPr>
          <w:p w14:paraId="74028B5E" w14:textId="77777777" w:rsidR="00CA32FC" w:rsidRDefault="00CA32FC" w:rsidP="00D55805">
            <w:pPr>
              <w:jc w:val="center"/>
              <w:rPr>
                <w:rFonts w:ascii="Arial" w:hAnsi="Arial"/>
                <w:b/>
                <w:sz w:val="28"/>
              </w:rPr>
            </w:pPr>
          </w:p>
        </w:tc>
      </w:tr>
      <w:tr w:rsidR="00CA32FC" w14:paraId="04BA4ECB" w14:textId="77777777">
        <w:tblPrEx>
          <w:tblCellMar>
            <w:top w:w="0" w:type="dxa"/>
            <w:bottom w:w="0" w:type="dxa"/>
          </w:tblCellMar>
        </w:tblPrEx>
        <w:trPr>
          <w:jc w:val="center"/>
        </w:trPr>
        <w:tc>
          <w:tcPr>
            <w:tcW w:w="5211" w:type="dxa"/>
            <w:tcBorders>
              <w:right w:val="single" w:sz="6" w:space="0" w:color="auto"/>
            </w:tcBorders>
          </w:tcPr>
          <w:p w14:paraId="22F0852C" w14:textId="77777777" w:rsidR="00CA32FC" w:rsidRDefault="00CA32FC" w:rsidP="00D55805">
            <w:pPr>
              <w:numPr>
                <w:ilvl w:val="0"/>
                <w:numId w:val="2"/>
              </w:numPr>
              <w:rPr>
                <w:rFonts w:ascii="Arial" w:hAnsi="Arial"/>
                <w:b/>
                <w:i/>
                <w:sz w:val="28"/>
              </w:rPr>
            </w:pPr>
            <w:r>
              <w:rPr>
                <w:rFonts w:ascii="Arial" w:hAnsi="Arial"/>
                <w:b/>
                <w:i/>
                <w:sz w:val="28"/>
              </w:rPr>
              <w:t>мозгового ствола</w:t>
            </w:r>
          </w:p>
        </w:tc>
        <w:tc>
          <w:tcPr>
            <w:tcW w:w="1276" w:type="dxa"/>
            <w:tcBorders>
              <w:left w:val="nil"/>
            </w:tcBorders>
          </w:tcPr>
          <w:p w14:paraId="0031A4C8" w14:textId="77777777" w:rsidR="00CA32FC" w:rsidRDefault="00CA32FC" w:rsidP="00D55805">
            <w:pPr>
              <w:jc w:val="center"/>
              <w:rPr>
                <w:rFonts w:ascii="Arial" w:hAnsi="Arial"/>
                <w:b/>
                <w:sz w:val="28"/>
              </w:rPr>
            </w:pPr>
            <w:r>
              <w:rPr>
                <w:rFonts w:ascii="Arial" w:hAnsi="Arial"/>
                <w:b/>
                <w:sz w:val="28"/>
              </w:rPr>
              <w:t>++++</w:t>
            </w:r>
          </w:p>
        </w:tc>
        <w:tc>
          <w:tcPr>
            <w:tcW w:w="1200" w:type="dxa"/>
            <w:tcBorders>
              <w:left w:val="single" w:sz="6" w:space="0" w:color="auto"/>
              <w:right w:val="single" w:sz="6" w:space="0" w:color="auto"/>
            </w:tcBorders>
          </w:tcPr>
          <w:p w14:paraId="0B8B3E30" w14:textId="77777777" w:rsidR="00CA32FC" w:rsidRDefault="00CA32FC" w:rsidP="00D55805">
            <w:pPr>
              <w:jc w:val="center"/>
              <w:rPr>
                <w:rFonts w:ascii="Arial" w:hAnsi="Arial"/>
                <w:b/>
                <w:sz w:val="28"/>
              </w:rPr>
            </w:pPr>
            <w:r>
              <w:rPr>
                <w:rFonts w:ascii="Arial" w:hAnsi="Arial"/>
                <w:b/>
                <w:sz w:val="28"/>
              </w:rPr>
              <w:t>+</w:t>
            </w:r>
          </w:p>
        </w:tc>
        <w:tc>
          <w:tcPr>
            <w:tcW w:w="2059" w:type="dxa"/>
            <w:tcBorders>
              <w:left w:val="nil"/>
            </w:tcBorders>
          </w:tcPr>
          <w:p w14:paraId="77DD6D62" w14:textId="77777777" w:rsidR="00CA32FC" w:rsidRDefault="00CA32FC" w:rsidP="00D55805">
            <w:pPr>
              <w:jc w:val="center"/>
              <w:rPr>
                <w:rFonts w:ascii="Arial" w:hAnsi="Arial"/>
                <w:b/>
                <w:sz w:val="28"/>
              </w:rPr>
            </w:pPr>
            <w:r>
              <w:rPr>
                <w:rFonts w:ascii="Arial" w:hAnsi="Arial"/>
                <w:b/>
                <w:sz w:val="28"/>
              </w:rPr>
              <w:t>++</w:t>
            </w:r>
          </w:p>
        </w:tc>
      </w:tr>
      <w:tr w:rsidR="00CA32FC" w14:paraId="0CE61E42" w14:textId="77777777">
        <w:tblPrEx>
          <w:tblCellMar>
            <w:top w:w="0" w:type="dxa"/>
            <w:bottom w:w="0" w:type="dxa"/>
          </w:tblCellMar>
        </w:tblPrEx>
        <w:trPr>
          <w:jc w:val="center"/>
        </w:trPr>
        <w:tc>
          <w:tcPr>
            <w:tcW w:w="5211" w:type="dxa"/>
            <w:tcBorders>
              <w:right w:val="single" w:sz="6" w:space="0" w:color="auto"/>
            </w:tcBorders>
          </w:tcPr>
          <w:p w14:paraId="7A6D7239" w14:textId="77777777" w:rsidR="00CA32FC" w:rsidRDefault="00CA32FC" w:rsidP="00D55805">
            <w:pPr>
              <w:numPr>
                <w:ilvl w:val="0"/>
                <w:numId w:val="2"/>
              </w:numPr>
              <w:rPr>
                <w:rFonts w:ascii="Arial" w:hAnsi="Arial"/>
                <w:b/>
                <w:i/>
                <w:sz w:val="28"/>
              </w:rPr>
            </w:pPr>
            <w:r>
              <w:rPr>
                <w:rFonts w:ascii="Arial" w:hAnsi="Arial"/>
                <w:b/>
                <w:i/>
                <w:sz w:val="28"/>
              </w:rPr>
              <w:t>шейного отдела спинного мозга</w:t>
            </w:r>
          </w:p>
        </w:tc>
        <w:tc>
          <w:tcPr>
            <w:tcW w:w="1276" w:type="dxa"/>
            <w:tcBorders>
              <w:left w:val="nil"/>
            </w:tcBorders>
          </w:tcPr>
          <w:p w14:paraId="53C3E28D" w14:textId="77777777" w:rsidR="00CA32FC" w:rsidRDefault="00CA32FC" w:rsidP="00D55805">
            <w:pPr>
              <w:jc w:val="center"/>
              <w:rPr>
                <w:rFonts w:ascii="Arial" w:hAnsi="Arial"/>
                <w:b/>
                <w:sz w:val="28"/>
              </w:rPr>
            </w:pPr>
            <w:r>
              <w:rPr>
                <w:rFonts w:ascii="Arial" w:hAnsi="Arial"/>
                <w:b/>
                <w:sz w:val="28"/>
              </w:rPr>
              <w:t>++++</w:t>
            </w:r>
          </w:p>
        </w:tc>
        <w:tc>
          <w:tcPr>
            <w:tcW w:w="1200" w:type="dxa"/>
            <w:tcBorders>
              <w:left w:val="single" w:sz="6" w:space="0" w:color="auto"/>
              <w:right w:val="single" w:sz="6" w:space="0" w:color="auto"/>
            </w:tcBorders>
          </w:tcPr>
          <w:p w14:paraId="1CD72027" w14:textId="77777777" w:rsidR="00CA32FC" w:rsidRDefault="00CA32FC" w:rsidP="00D55805">
            <w:pPr>
              <w:jc w:val="center"/>
              <w:rPr>
                <w:rFonts w:ascii="Arial" w:hAnsi="Arial"/>
                <w:b/>
                <w:sz w:val="28"/>
              </w:rPr>
            </w:pPr>
            <w:r>
              <w:rPr>
                <w:rFonts w:ascii="Arial" w:hAnsi="Arial"/>
                <w:b/>
                <w:sz w:val="28"/>
              </w:rPr>
              <w:sym w:font="Symbol" w:char="F0B1"/>
            </w:r>
          </w:p>
        </w:tc>
        <w:tc>
          <w:tcPr>
            <w:tcW w:w="2059" w:type="dxa"/>
            <w:tcBorders>
              <w:left w:val="nil"/>
            </w:tcBorders>
          </w:tcPr>
          <w:p w14:paraId="03F94559" w14:textId="77777777" w:rsidR="00CA32FC" w:rsidRDefault="00CA32FC" w:rsidP="00D55805">
            <w:pPr>
              <w:jc w:val="center"/>
              <w:rPr>
                <w:rFonts w:ascii="Arial" w:hAnsi="Arial"/>
                <w:b/>
                <w:sz w:val="28"/>
              </w:rPr>
            </w:pPr>
            <w:r>
              <w:rPr>
                <w:rFonts w:ascii="Arial" w:hAnsi="Arial"/>
                <w:b/>
                <w:sz w:val="28"/>
              </w:rPr>
              <w:t>++</w:t>
            </w:r>
          </w:p>
        </w:tc>
      </w:tr>
      <w:tr w:rsidR="00CA32FC" w14:paraId="026B3A3B" w14:textId="77777777">
        <w:tblPrEx>
          <w:tblCellMar>
            <w:top w:w="0" w:type="dxa"/>
            <w:bottom w:w="0" w:type="dxa"/>
          </w:tblCellMar>
        </w:tblPrEx>
        <w:trPr>
          <w:jc w:val="center"/>
        </w:trPr>
        <w:tc>
          <w:tcPr>
            <w:tcW w:w="5211" w:type="dxa"/>
            <w:tcBorders>
              <w:right w:val="single" w:sz="6" w:space="0" w:color="auto"/>
            </w:tcBorders>
          </w:tcPr>
          <w:p w14:paraId="732382EB" w14:textId="77777777" w:rsidR="00CA32FC" w:rsidRDefault="00CA32FC" w:rsidP="00D55805">
            <w:pPr>
              <w:rPr>
                <w:rFonts w:ascii="Arial" w:hAnsi="Arial"/>
                <w:b/>
                <w:sz w:val="28"/>
              </w:rPr>
            </w:pPr>
            <w:r>
              <w:rPr>
                <w:rFonts w:ascii="Arial" w:hAnsi="Arial"/>
                <w:b/>
                <w:sz w:val="28"/>
              </w:rPr>
              <w:t xml:space="preserve">   </w:t>
            </w:r>
            <w:proofErr w:type="spellStart"/>
            <w:r>
              <w:rPr>
                <w:rFonts w:ascii="Arial" w:hAnsi="Arial"/>
                <w:b/>
                <w:sz w:val="28"/>
              </w:rPr>
              <w:t>Внемозговые</w:t>
            </w:r>
            <w:proofErr w:type="spellEnd"/>
            <w:r>
              <w:rPr>
                <w:rFonts w:ascii="Arial" w:hAnsi="Arial"/>
                <w:b/>
                <w:sz w:val="28"/>
              </w:rPr>
              <w:t xml:space="preserve"> опухоли:</w:t>
            </w:r>
          </w:p>
        </w:tc>
        <w:tc>
          <w:tcPr>
            <w:tcW w:w="1276" w:type="dxa"/>
            <w:tcBorders>
              <w:left w:val="nil"/>
            </w:tcBorders>
          </w:tcPr>
          <w:p w14:paraId="3462735F" w14:textId="77777777" w:rsidR="00CA32FC" w:rsidRDefault="00CA32FC" w:rsidP="00D55805">
            <w:pPr>
              <w:jc w:val="center"/>
              <w:rPr>
                <w:rFonts w:ascii="Arial" w:hAnsi="Arial"/>
                <w:b/>
                <w:sz w:val="28"/>
              </w:rPr>
            </w:pPr>
          </w:p>
        </w:tc>
        <w:tc>
          <w:tcPr>
            <w:tcW w:w="1200" w:type="dxa"/>
            <w:tcBorders>
              <w:left w:val="single" w:sz="6" w:space="0" w:color="auto"/>
              <w:right w:val="single" w:sz="6" w:space="0" w:color="auto"/>
            </w:tcBorders>
          </w:tcPr>
          <w:p w14:paraId="3FF0E30C" w14:textId="77777777" w:rsidR="00CA32FC" w:rsidRDefault="00CA32FC" w:rsidP="00D55805">
            <w:pPr>
              <w:jc w:val="center"/>
              <w:rPr>
                <w:rFonts w:ascii="Arial" w:hAnsi="Arial"/>
                <w:b/>
                <w:sz w:val="28"/>
              </w:rPr>
            </w:pPr>
          </w:p>
        </w:tc>
        <w:tc>
          <w:tcPr>
            <w:tcW w:w="2059" w:type="dxa"/>
            <w:tcBorders>
              <w:left w:val="nil"/>
            </w:tcBorders>
          </w:tcPr>
          <w:p w14:paraId="17430D8B" w14:textId="77777777" w:rsidR="00CA32FC" w:rsidRDefault="00CA32FC" w:rsidP="00D55805">
            <w:pPr>
              <w:jc w:val="center"/>
              <w:rPr>
                <w:rFonts w:ascii="Arial" w:hAnsi="Arial"/>
                <w:b/>
                <w:sz w:val="28"/>
              </w:rPr>
            </w:pPr>
          </w:p>
        </w:tc>
      </w:tr>
      <w:tr w:rsidR="00CA32FC" w14:paraId="0B1C4E41" w14:textId="77777777">
        <w:tblPrEx>
          <w:tblCellMar>
            <w:top w:w="0" w:type="dxa"/>
            <w:bottom w:w="0" w:type="dxa"/>
          </w:tblCellMar>
        </w:tblPrEx>
        <w:trPr>
          <w:jc w:val="center"/>
        </w:trPr>
        <w:tc>
          <w:tcPr>
            <w:tcW w:w="5211" w:type="dxa"/>
            <w:tcBorders>
              <w:right w:val="single" w:sz="6" w:space="0" w:color="auto"/>
            </w:tcBorders>
          </w:tcPr>
          <w:p w14:paraId="66A5ADC4" w14:textId="77777777" w:rsidR="00CA32FC" w:rsidRDefault="00CA32FC" w:rsidP="00D55805">
            <w:pPr>
              <w:numPr>
                <w:ilvl w:val="0"/>
                <w:numId w:val="2"/>
              </w:numPr>
              <w:rPr>
                <w:rFonts w:ascii="Arial" w:hAnsi="Arial"/>
                <w:b/>
                <w:i/>
                <w:sz w:val="28"/>
              </w:rPr>
            </w:pPr>
            <w:r>
              <w:rPr>
                <w:rFonts w:ascii="Arial" w:hAnsi="Arial"/>
                <w:b/>
                <w:i/>
                <w:sz w:val="28"/>
              </w:rPr>
              <w:t>мостомозжечкового угла</w:t>
            </w:r>
          </w:p>
        </w:tc>
        <w:tc>
          <w:tcPr>
            <w:tcW w:w="1276" w:type="dxa"/>
            <w:tcBorders>
              <w:left w:val="nil"/>
            </w:tcBorders>
          </w:tcPr>
          <w:p w14:paraId="7D082B38" w14:textId="77777777" w:rsidR="00CA32FC" w:rsidRDefault="00CA32FC" w:rsidP="00D55805">
            <w:pPr>
              <w:jc w:val="center"/>
              <w:rPr>
                <w:rFonts w:ascii="Arial" w:hAnsi="Arial"/>
                <w:b/>
                <w:sz w:val="28"/>
              </w:rPr>
            </w:pPr>
            <w:r>
              <w:rPr>
                <w:rFonts w:ascii="Arial" w:hAnsi="Arial"/>
                <w:b/>
                <w:sz w:val="28"/>
              </w:rPr>
              <w:t>+++</w:t>
            </w:r>
          </w:p>
        </w:tc>
        <w:tc>
          <w:tcPr>
            <w:tcW w:w="1200" w:type="dxa"/>
            <w:tcBorders>
              <w:left w:val="single" w:sz="6" w:space="0" w:color="auto"/>
              <w:right w:val="single" w:sz="6" w:space="0" w:color="auto"/>
            </w:tcBorders>
          </w:tcPr>
          <w:p w14:paraId="3D6EED38" w14:textId="77777777" w:rsidR="00CA32FC" w:rsidRDefault="00CA32FC" w:rsidP="00D55805">
            <w:pPr>
              <w:jc w:val="center"/>
              <w:rPr>
                <w:rFonts w:ascii="Arial" w:hAnsi="Arial"/>
                <w:b/>
                <w:sz w:val="28"/>
              </w:rPr>
            </w:pPr>
            <w:r>
              <w:rPr>
                <w:rFonts w:ascii="Arial" w:hAnsi="Arial"/>
                <w:b/>
                <w:sz w:val="28"/>
              </w:rPr>
              <w:t>++</w:t>
            </w:r>
          </w:p>
        </w:tc>
        <w:tc>
          <w:tcPr>
            <w:tcW w:w="2059" w:type="dxa"/>
            <w:tcBorders>
              <w:left w:val="nil"/>
            </w:tcBorders>
          </w:tcPr>
          <w:p w14:paraId="638F4A25" w14:textId="77777777" w:rsidR="00CA32FC" w:rsidRDefault="00CA32FC" w:rsidP="00D55805">
            <w:pPr>
              <w:jc w:val="center"/>
              <w:rPr>
                <w:rFonts w:ascii="Arial" w:hAnsi="Arial"/>
                <w:b/>
                <w:sz w:val="28"/>
              </w:rPr>
            </w:pPr>
            <w:r>
              <w:rPr>
                <w:rFonts w:ascii="Arial" w:hAnsi="Arial"/>
                <w:b/>
                <w:sz w:val="28"/>
              </w:rPr>
              <w:t>+++</w:t>
            </w:r>
          </w:p>
        </w:tc>
      </w:tr>
      <w:tr w:rsidR="00CA32FC" w14:paraId="72F920F5" w14:textId="77777777">
        <w:tblPrEx>
          <w:tblCellMar>
            <w:top w:w="0" w:type="dxa"/>
            <w:bottom w:w="0" w:type="dxa"/>
          </w:tblCellMar>
        </w:tblPrEx>
        <w:trPr>
          <w:jc w:val="center"/>
        </w:trPr>
        <w:tc>
          <w:tcPr>
            <w:tcW w:w="5211" w:type="dxa"/>
            <w:tcBorders>
              <w:right w:val="single" w:sz="6" w:space="0" w:color="auto"/>
            </w:tcBorders>
          </w:tcPr>
          <w:p w14:paraId="57F2BACD" w14:textId="77777777" w:rsidR="00CA32FC" w:rsidRDefault="00CA32FC" w:rsidP="00D55805">
            <w:pPr>
              <w:numPr>
                <w:ilvl w:val="0"/>
                <w:numId w:val="2"/>
              </w:numPr>
              <w:rPr>
                <w:rFonts w:ascii="Arial" w:hAnsi="Arial"/>
                <w:b/>
                <w:i/>
                <w:sz w:val="28"/>
              </w:rPr>
            </w:pPr>
            <w:r>
              <w:rPr>
                <w:rFonts w:ascii="Arial" w:hAnsi="Arial"/>
                <w:b/>
                <w:i/>
                <w:sz w:val="28"/>
              </w:rPr>
              <w:t>мозгового ствола</w:t>
            </w:r>
          </w:p>
        </w:tc>
        <w:tc>
          <w:tcPr>
            <w:tcW w:w="1276" w:type="dxa"/>
            <w:tcBorders>
              <w:left w:val="nil"/>
            </w:tcBorders>
          </w:tcPr>
          <w:p w14:paraId="15F5243D" w14:textId="77777777" w:rsidR="00CA32FC" w:rsidRDefault="00CA32FC" w:rsidP="00D55805">
            <w:pPr>
              <w:jc w:val="center"/>
              <w:rPr>
                <w:rFonts w:ascii="Arial" w:hAnsi="Arial"/>
                <w:b/>
                <w:sz w:val="28"/>
              </w:rPr>
            </w:pPr>
            <w:r>
              <w:rPr>
                <w:rFonts w:ascii="Arial" w:hAnsi="Arial"/>
                <w:b/>
                <w:sz w:val="28"/>
              </w:rPr>
              <w:t>++++</w:t>
            </w:r>
          </w:p>
        </w:tc>
        <w:tc>
          <w:tcPr>
            <w:tcW w:w="1200" w:type="dxa"/>
            <w:tcBorders>
              <w:left w:val="single" w:sz="6" w:space="0" w:color="auto"/>
              <w:right w:val="single" w:sz="6" w:space="0" w:color="auto"/>
            </w:tcBorders>
          </w:tcPr>
          <w:p w14:paraId="787C02DC" w14:textId="77777777" w:rsidR="00CA32FC" w:rsidRDefault="00CA32FC" w:rsidP="00D55805">
            <w:pPr>
              <w:jc w:val="center"/>
              <w:rPr>
                <w:rFonts w:ascii="Arial" w:hAnsi="Arial"/>
                <w:b/>
                <w:sz w:val="28"/>
              </w:rPr>
            </w:pPr>
            <w:r>
              <w:rPr>
                <w:rFonts w:ascii="Arial" w:hAnsi="Arial"/>
                <w:b/>
                <w:sz w:val="28"/>
              </w:rPr>
              <w:t>+</w:t>
            </w:r>
          </w:p>
        </w:tc>
        <w:tc>
          <w:tcPr>
            <w:tcW w:w="2059" w:type="dxa"/>
            <w:tcBorders>
              <w:left w:val="nil"/>
            </w:tcBorders>
          </w:tcPr>
          <w:p w14:paraId="4886B5CC" w14:textId="77777777" w:rsidR="00CA32FC" w:rsidRDefault="00CA32FC" w:rsidP="00D55805">
            <w:pPr>
              <w:jc w:val="center"/>
              <w:rPr>
                <w:rFonts w:ascii="Arial" w:hAnsi="Arial"/>
                <w:b/>
                <w:sz w:val="28"/>
              </w:rPr>
            </w:pPr>
            <w:r>
              <w:rPr>
                <w:rFonts w:ascii="Arial" w:hAnsi="Arial"/>
                <w:b/>
                <w:sz w:val="28"/>
              </w:rPr>
              <w:t>+</w:t>
            </w:r>
          </w:p>
        </w:tc>
      </w:tr>
      <w:tr w:rsidR="00CA32FC" w14:paraId="51EB9516" w14:textId="77777777">
        <w:tblPrEx>
          <w:tblCellMar>
            <w:top w:w="0" w:type="dxa"/>
            <w:bottom w:w="0" w:type="dxa"/>
          </w:tblCellMar>
        </w:tblPrEx>
        <w:trPr>
          <w:jc w:val="center"/>
        </w:trPr>
        <w:tc>
          <w:tcPr>
            <w:tcW w:w="5211" w:type="dxa"/>
            <w:tcBorders>
              <w:bottom w:val="single" w:sz="12" w:space="0" w:color="auto"/>
              <w:right w:val="single" w:sz="6" w:space="0" w:color="auto"/>
            </w:tcBorders>
          </w:tcPr>
          <w:p w14:paraId="5A724CA4" w14:textId="77777777" w:rsidR="00CA32FC" w:rsidRDefault="00CA32FC" w:rsidP="00D55805">
            <w:pPr>
              <w:numPr>
                <w:ilvl w:val="0"/>
                <w:numId w:val="2"/>
              </w:numPr>
              <w:rPr>
                <w:rFonts w:ascii="Arial" w:hAnsi="Arial"/>
                <w:b/>
                <w:i/>
                <w:sz w:val="28"/>
              </w:rPr>
            </w:pPr>
            <w:r>
              <w:rPr>
                <w:rFonts w:ascii="Arial" w:hAnsi="Arial"/>
                <w:b/>
                <w:i/>
                <w:sz w:val="28"/>
              </w:rPr>
              <w:t>шейного отдела спинного мозга</w:t>
            </w:r>
          </w:p>
        </w:tc>
        <w:tc>
          <w:tcPr>
            <w:tcW w:w="1276" w:type="dxa"/>
            <w:tcBorders>
              <w:left w:val="nil"/>
              <w:bottom w:val="single" w:sz="12" w:space="0" w:color="auto"/>
            </w:tcBorders>
          </w:tcPr>
          <w:p w14:paraId="6DF3104F" w14:textId="77777777" w:rsidR="00CA32FC" w:rsidRDefault="00CA32FC" w:rsidP="00D55805">
            <w:pPr>
              <w:jc w:val="center"/>
              <w:rPr>
                <w:rFonts w:ascii="Arial" w:hAnsi="Arial"/>
                <w:b/>
                <w:sz w:val="28"/>
              </w:rPr>
            </w:pPr>
            <w:r>
              <w:rPr>
                <w:rFonts w:ascii="Arial" w:hAnsi="Arial"/>
                <w:b/>
                <w:sz w:val="28"/>
              </w:rPr>
              <w:t>++++</w:t>
            </w:r>
          </w:p>
        </w:tc>
        <w:tc>
          <w:tcPr>
            <w:tcW w:w="1200" w:type="dxa"/>
            <w:tcBorders>
              <w:left w:val="single" w:sz="6" w:space="0" w:color="auto"/>
              <w:bottom w:val="single" w:sz="12" w:space="0" w:color="auto"/>
              <w:right w:val="single" w:sz="6" w:space="0" w:color="auto"/>
            </w:tcBorders>
          </w:tcPr>
          <w:p w14:paraId="20C593A6" w14:textId="77777777" w:rsidR="00CA32FC" w:rsidRDefault="00CA32FC" w:rsidP="00D55805">
            <w:pPr>
              <w:jc w:val="center"/>
              <w:rPr>
                <w:rFonts w:ascii="Arial" w:hAnsi="Arial"/>
                <w:b/>
                <w:sz w:val="28"/>
              </w:rPr>
            </w:pPr>
            <w:r>
              <w:rPr>
                <w:rFonts w:ascii="Arial" w:hAnsi="Arial"/>
                <w:b/>
                <w:sz w:val="28"/>
              </w:rPr>
              <w:sym w:font="Symbol" w:char="F0B1"/>
            </w:r>
          </w:p>
        </w:tc>
        <w:tc>
          <w:tcPr>
            <w:tcW w:w="2059" w:type="dxa"/>
            <w:tcBorders>
              <w:left w:val="nil"/>
              <w:bottom w:val="single" w:sz="12" w:space="0" w:color="auto"/>
            </w:tcBorders>
          </w:tcPr>
          <w:p w14:paraId="56BDFEFA" w14:textId="77777777" w:rsidR="00CA32FC" w:rsidRDefault="00CA32FC" w:rsidP="00D55805">
            <w:pPr>
              <w:jc w:val="center"/>
              <w:rPr>
                <w:rFonts w:ascii="Arial" w:hAnsi="Arial"/>
                <w:b/>
                <w:sz w:val="28"/>
              </w:rPr>
            </w:pPr>
            <w:r>
              <w:rPr>
                <w:rFonts w:ascii="Arial" w:hAnsi="Arial"/>
                <w:b/>
                <w:sz w:val="28"/>
              </w:rPr>
              <w:t>+++</w:t>
            </w:r>
          </w:p>
        </w:tc>
      </w:tr>
    </w:tbl>
    <w:p w14:paraId="55C345C8" w14:textId="77777777" w:rsidR="00CA32FC" w:rsidRDefault="00CA32FC" w:rsidP="00CA32FC">
      <w:pPr>
        <w:rPr>
          <w:rFonts w:ascii="Arial" w:hAnsi="Arial"/>
          <w:b/>
        </w:rPr>
      </w:pPr>
    </w:p>
    <w:p w14:paraId="3F58ECDD" w14:textId="77777777" w:rsidR="00CA32FC" w:rsidRDefault="00CA32FC" w:rsidP="00CA32FC">
      <w:pPr>
        <w:rPr>
          <w:rFonts w:ascii="Arial" w:hAnsi="Arial"/>
          <w:b/>
          <w:sz w:val="28"/>
        </w:rPr>
      </w:pPr>
      <w:r>
        <w:rPr>
          <w:rFonts w:ascii="Arial" w:hAnsi="Arial"/>
          <w:b/>
          <w:sz w:val="28"/>
        </w:rPr>
        <w:t xml:space="preserve">++++ </w:t>
      </w:r>
      <w:r>
        <w:rPr>
          <w:rFonts w:ascii="Arial" w:hAnsi="Arial"/>
          <w:b/>
          <w:sz w:val="28"/>
        </w:rPr>
        <w:tab/>
        <w:t>метод выбора на начальном этапе диагностики</w:t>
      </w:r>
    </w:p>
    <w:p w14:paraId="5183A0A4" w14:textId="77777777" w:rsidR="00CA32FC" w:rsidRDefault="00CA32FC" w:rsidP="00CA32FC">
      <w:pPr>
        <w:rPr>
          <w:rFonts w:ascii="Arial" w:hAnsi="Arial"/>
          <w:b/>
          <w:sz w:val="28"/>
        </w:rPr>
      </w:pPr>
      <w:r>
        <w:rPr>
          <w:rFonts w:ascii="Arial" w:hAnsi="Arial"/>
          <w:b/>
          <w:sz w:val="28"/>
        </w:rPr>
        <w:t>+++</w:t>
      </w:r>
      <w:r>
        <w:rPr>
          <w:rFonts w:ascii="Arial" w:hAnsi="Arial"/>
          <w:b/>
          <w:sz w:val="28"/>
        </w:rPr>
        <w:tab/>
        <w:t>обладает достаточной информативностью</w:t>
      </w:r>
    </w:p>
    <w:p w14:paraId="41B6A2EC" w14:textId="77777777" w:rsidR="00CA32FC" w:rsidRDefault="00CA32FC" w:rsidP="00CA32FC">
      <w:pPr>
        <w:rPr>
          <w:rFonts w:ascii="Arial" w:hAnsi="Arial"/>
          <w:b/>
          <w:sz w:val="28"/>
        </w:rPr>
      </w:pPr>
      <w:r>
        <w:rPr>
          <w:rFonts w:ascii="Arial" w:hAnsi="Arial"/>
          <w:b/>
          <w:sz w:val="28"/>
        </w:rPr>
        <w:t>++</w:t>
      </w:r>
      <w:r>
        <w:rPr>
          <w:rFonts w:ascii="Arial" w:hAnsi="Arial"/>
          <w:b/>
          <w:sz w:val="28"/>
        </w:rPr>
        <w:tab/>
        <w:t>имеет значение в диагностике, однако не рекомендуется в качестве первичного исследования</w:t>
      </w:r>
    </w:p>
    <w:p w14:paraId="16950E6E" w14:textId="77777777" w:rsidR="00CA32FC" w:rsidRDefault="00CA32FC" w:rsidP="00CA32FC">
      <w:pPr>
        <w:rPr>
          <w:rFonts w:ascii="Arial" w:hAnsi="Arial"/>
          <w:b/>
          <w:sz w:val="28"/>
        </w:rPr>
      </w:pPr>
      <w:r>
        <w:rPr>
          <w:rFonts w:ascii="Arial" w:hAnsi="Arial"/>
          <w:b/>
          <w:sz w:val="28"/>
        </w:rPr>
        <w:t>+</w:t>
      </w:r>
      <w:r>
        <w:rPr>
          <w:rFonts w:ascii="Arial" w:hAnsi="Arial"/>
          <w:b/>
          <w:sz w:val="28"/>
        </w:rPr>
        <w:tab/>
      </w:r>
      <w:proofErr w:type="spellStart"/>
      <w:r>
        <w:rPr>
          <w:rFonts w:ascii="Arial" w:hAnsi="Arial"/>
          <w:b/>
          <w:sz w:val="28"/>
        </w:rPr>
        <w:t>малоинформативен</w:t>
      </w:r>
      <w:proofErr w:type="spellEnd"/>
    </w:p>
    <w:p w14:paraId="6F574B81" w14:textId="77777777" w:rsidR="00D55805" w:rsidRDefault="00CA32FC" w:rsidP="003A57FA">
      <w:pPr>
        <w:rPr>
          <w:sz w:val="26"/>
        </w:rPr>
      </w:pPr>
      <w:r>
        <w:rPr>
          <w:rFonts w:ascii="Arial" w:hAnsi="Arial"/>
          <w:b/>
          <w:sz w:val="28"/>
        </w:rPr>
        <w:sym w:font="Symbol" w:char="F0B1"/>
      </w:r>
      <w:r>
        <w:rPr>
          <w:rFonts w:ascii="Arial" w:hAnsi="Arial"/>
          <w:b/>
          <w:sz w:val="28"/>
        </w:rPr>
        <w:tab/>
        <w:t>достоверность сомнительна</w:t>
      </w:r>
    </w:p>
    <w:sectPr w:rsidR="00D55805" w:rsidSect="003A57FA">
      <w:pgSz w:w="11907" w:h="16840"/>
      <w:pgMar w:top="851"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6CA52A6"/>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685"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2FC"/>
    <w:rsid w:val="003A57FA"/>
    <w:rsid w:val="00AD12F7"/>
    <w:rsid w:val="00CA32FC"/>
    <w:rsid w:val="00D55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54308"/>
  <w15:chartTrackingRefBased/>
  <w15:docId w15:val="{F5657EB1-DB92-4323-B28A-B94507C1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textAlignment w:val="baseline"/>
    </w:pPr>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1780</Words>
  <Characters>10146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Само по себе выявление на КТ и МРТ зоны ишемии мозга недостаточно, чтобы высказать предположение о причинах нарушения кровообращения - стеноз или тромбоз магистральных сосудов головы; тромбоэмболия либо васкулиты мелких артерий (реже вен), вызвавших разви</vt:lpstr>
    </vt:vector>
  </TitlesOfParts>
  <Company>HOME</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 по себе выявление на КТ и МРТ зоны ишемии мозга недостаточно, чтобы высказать предположение о причинах нарушения кровообращения - стеноз или тромбоз магистральных сосудов головы; тромбоэмболия либо васкулиты мелких артерий (реже вен), вызвавших разви</dc:title>
  <dc:subject/>
  <dc:creator>Кутуев И.А.</dc:creator>
  <cp:keywords/>
  <dc:description/>
  <cp:lastModifiedBy>Igor</cp:lastModifiedBy>
  <cp:revision>2</cp:revision>
  <cp:lastPrinted>1999-06-01T21:37:00Z</cp:lastPrinted>
  <dcterms:created xsi:type="dcterms:W3CDTF">2024-11-02T07:41:00Z</dcterms:created>
  <dcterms:modified xsi:type="dcterms:W3CDTF">2024-11-02T07:41:00Z</dcterms:modified>
</cp:coreProperties>
</file>