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F8" w:rsidRPr="006D4BD4" w:rsidRDefault="00C836F8" w:rsidP="006D4BD4">
      <w:pPr>
        <w:jc w:val="center"/>
        <w:rPr>
          <w:rFonts w:ascii="Times New Roman" w:hAnsi="Times New Roman" w:cs="Times New Roman"/>
          <w:sz w:val="28"/>
          <w:szCs w:val="24"/>
        </w:rPr>
      </w:pPr>
      <w:r w:rsidRPr="006D4BD4">
        <w:rPr>
          <w:rFonts w:ascii="Times New Roman" w:hAnsi="Times New Roman" w:cs="Times New Roman"/>
          <w:sz w:val="28"/>
          <w:szCs w:val="24"/>
        </w:rPr>
        <w:t>МИНИСТЕРСТВО ЗДРАВООХРАНЕНИЯ РЕСПУБЛИКИ БЕЛАРУСЬ</w:t>
      </w:r>
    </w:p>
    <w:p w:rsidR="00C836F8" w:rsidRPr="006D4BD4" w:rsidRDefault="00C836F8" w:rsidP="006D4BD4">
      <w:pPr>
        <w:jc w:val="center"/>
        <w:rPr>
          <w:rFonts w:ascii="Times New Roman" w:hAnsi="Times New Roman" w:cs="Times New Roman"/>
          <w:sz w:val="28"/>
          <w:szCs w:val="24"/>
        </w:rPr>
      </w:pPr>
      <w:r w:rsidRPr="006D4BD4">
        <w:rPr>
          <w:rFonts w:ascii="Times New Roman" w:hAnsi="Times New Roman" w:cs="Times New Roman"/>
          <w:sz w:val="28"/>
          <w:szCs w:val="24"/>
        </w:rPr>
        <w:t>УЧРЕЖДЕНИЕ ОБРАЗОВАНИЯ ГРОДНЕНСКИЙ ГОСУДАРСТВЕННЫЙ МЕДИЦИНСКИЙ УНИВЕРСИТЕТ</w:t>
      </w:r>
    </w:p>
    <w:p w:rsidR="00C836F8" w:rsidRPr="006D4BD4" w:rsidRDefault="00C836F8" w:rsidP="006D4BD4">
      <w:pPr>
        <w:jc w:val="center"/>
        <w:rPr>
          <w:rFonts w:ascii="Times New Roman" w:hAnsi="Times New Roman" w:cs="Times New Roman"/>
          <w:sz w:val="28"/>
          <w:szCs w:val="24"/>
        </w:rPr>
      </w:pPr>
      <w:r w:rsidRPr="006D4BD4">
        <w:rPr>
          <w:rFonts w:ascii="Times New Roman" w:hAnsi="Times New Roman" w:cs="Times New Roman"/>
          <w:sz w:val="28"/>
          <w:szCs w:val="24"/>
        </w:rPr>
        <w:t>КАФЕДРА КЛИНИЧЕСКОЙ ЛАБОРАТОРНОЙ ДИАГНОСТИКИ И ИММУНОЛОГИИ</w:t>
      </w: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jc w:val="center"/>
        <w:rPr>
          <w:rFonts w:ascii="Times New Roman" w:hAnsi="Times New Roman" w:cs="Times New Roman"/>
          <w:b/>
          <w:sz w:val="24"/>
          <w:szCs w:val="24"/>
        </w:rPr>
      </w:pPr>
      <w:r w:rsidRPr="006D4BD4">
        <w:rPr>
          <w:rFonts w:ascii="Times New Roman" w:hAnsi="Times New Roman" w:cs="Times New Roman"/>
          <w:b/>
          <w:sz w:val="24"/>
          <w:szCs w:val="24"/>
        </w:rPr>
        <w:t xml:space="preserve">Лабораторная диагностика </w:t>
      </w:r>
      <w:r w:rsidR="000B4D8A">
        <w:rPr>
          <w:rFonts w:ascii="Times New Roman" w:hAnsi="Times New Roman" w:cs="Times New Roman"/>
          <w:b/>
          <w:sz w:val="24"/>
          <w:szCs w:val="24"/>
        </w:rPr>
        <w:t>ДВС синдрома</w:t>
      </w:r>
    </w:p>
    <w:p w:rsidR="00C836F8" w:rsidRPr="006D4BD4" w:rsidRDefault="00C836F8" w:rsidP="006D4BD4">
      <w:pPr>
        <w:jc w:val="cente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4F2BA7" w:rsidP="006D4BD4">
      <w:pPr>
        <w:jc w:val="right"/>
        <w:rPr>
          <w:rFonts w:ascii="Times New Roman" w:hAnsi="Times New Roman" w:cs="Times New Roman"/>
          <w:sz w:val="24"/>
          <w:szCs w:val="24"/>
        </w:rPr>
      </w:pPr>
      <w:r w:rsidRPr="006D4BD4">
        <w:rPr>
          <w:rFonts w:ascii="Times New Roman" w:hAnsi="Times New Roman" w:cs="Times New Roman"/>
          <w:sz w:val="24"/>
          <w:szCs w:val="24"/>
        </w:rPr>
        <w:t>Ганецкая В. О.</w:t>
      </w:r>
    </w:p>
    <w:p w:rsidR="00C836F8" w:rsidRPr="006D4BD4" w:rsidRDefault="00C836F8" w:rsidP="006D4BD4">
      <w:pPr>
        <w:jc w:val="right"/>
        <w:rPr>
          <w:rFonts w:ascii="Times New Roman" w:hAnsi="Times New Roman" w:cs="Times New Roman"/>
          <w:sz w:val="24"/>
          <w:szCs w:val="24"/>
        </w:rPr>
      </w:pPr>
      <w:r w:rsidRPr="006D4BD4">
        <w:rPr>
          <w:rFonts w:ascii="Times New Roman" w:hAnsi="Times New Roman" w:cs="Times New Roman"/>
          <w:sz w:val="24"/>
          <w:szCs w:val="24"/>
        </w:rPr>
        <w:t xml:space="preserve">Медико-диагностический факультет, </w:t>
      </w:r>
    </w:p>
    <w:p w:rsidR="00C836F8" w:rsidRPr="006D4BD4" w:rsidRDefault="00C836F8" w:rsidP="006D4BD4">
      <w:pPr>
        <w:jc w:val="right"/>
        <w:rPr>
          <w:rFonts w:ascii="Times New Roman" w:hAnsi="Times New Roman" w:cs="Times New Roman"/>
          <w:sz w:val="24"/>
          <w:szCs w:val="24"/>
        </w:rPr>
      </w:pPr>
      <w:r w:rsidRPr="006D4BD4">
        <w:rPr>
          <w:rFonts w:ascii="Times New Roman" w:hAnsi="Times New Roman" w:cs="Times New Roman"/>
          <w:sz w:val="24"/>
          <w:szCs w:val="24"/>
        </w:rPr>
        <w:t>5 курс, 2 группа</w:t>
      </w:r>
    </w:p>
    <w:p w:rsidR="00C836F8" w:rsidRPr="006D4BD4" w:rsidRDefault="00C836F8" w:rsidP="006D4BD4">
      <w:pPr>
        <w:jc w:val="right"/>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C836F8" w:rsidRPr="006D4BD4" w:rsidRDefault="00C836F8" w:rsidP="006D4BD4">
      <w:pPr>
        <w:rPr>
          <w:rFonts w:ascii="Times New Roman" w:hAnsi="Times New Roman" w:cs="Times New Roman"/>
          <w:sz w:val="24"/>
          <w:szCs w:val="24"/>
        </w:rPr>
      </w:pPr>
    </w:p>
    <w:p w:rsidR="004F2BA7" w:rsidRPr="006D4BD4" w:rsidRDefault="004F2BA7" w:rsidP="006D4BD4">
      <w:pPr>
        <w:rPr>
          <w:rFonts w:ascii="Times New Roman" w:hAnsi="Times New Roman" w:cs="Times New Roman"/>
          <w:sz w:val="24"/>
          <w:szCs w:val="24"/>
        </w:rPr>
      </w:pPr>
    </w:p>
    <w:p w:rsidR="000B4D8A" w:rsidRDefault="00C836F8" w:rsidP="000B4D8A">
      <w:pPr>
        <w:jc w:val="center"/>
        <w:rPr>
          <w:rFonts w:ascii="Times New Roman" w:hAnsi="Times New Roman" w:cs="Times New Roman"/>
          <w:sz w:val="24"/>
          <w:szCs w:val="24"/>
        </w:rPr>
      </w:pPr>
      <w:r w:rsidRPr="006D4BD4">
        <w:rPr>
          <w:rFonts w:ascii="Times New Roman" w:hAnsi="Times New Roman" w:cs="Times New Roman"/>
          <w:sz w:val="24"/>
          <w:szCs w:val="24"/>
        </w:rPr>
        <w:t>ГРОДНО</w:t>
      </w:r>
      <w:r w:rsidR="004F2BA7" w:rsidRPr="006D4BD4">
        <w:rPr>
          <w:rFonts w:ascii="Times New Roman" w:hAnsi="Times New Roman" w:cs="Times New Roman"/>
          <w:sz w:val="24"/>
          <w:szCs w:val="24"/>
        </w:rPr>
        <w:t>, 2020</w:t>
      </w:r>
    </w:p>
    <w:p w:rsidR="000B4D8A" w:rsidRPr="0017627C" w:rsidRDefault="000B4D8A" w:rsidP="000B4D8A">
      <w:pPr>
        <w:rPr>
          <w:rFonts w:ascii="Times New Roman" w:hAnsi="Times New Roman" w:cs="Times New Roman"/>
          <w:sz w:val="24"/>
          <w:szCs w:val="24"/>
        </w:rPr>
      </w:pPr>
      <w:r w:rsidRPr="0017627C">
        <w:rPr>
          <w:rFonts w:ascii="Times New Roman" w:hAnsi="Times New Roman" w:cs="Times New Roman"/>
          <w:b/>
          <w:sz w:val="24"/>
        </w:rPr>
        <w:lastRenderedPageBreak/>
        <w:t>Диссеминированное внутрисосудистое свертывание крови</w:t>
      </w:r>
      <w:r w:rsidRPr="0017627C">
        <w:rPr>
          <w:rFonts w:ascii="Times New Roman" w:hAnsi="Times New Roman" w:cs="Times New Roman"/>
          <w:sz w:val="24"/>
        </w:rPr>
        <w:t xml:space="preserve"> (ДВС</w:t>
      </w:r>
      <w:r w:rsidR="0017627C">
        <w:rPr>
          <w:rFonts w:ascii="Times New Roman" w:hAnsi="Times New Roman" w:cs="Times New Roman"/>
          <w:sz w:val="24"/>
        </w:rPr>
        <w:t xml:space="preserve"> </w:t>
      </w:r>
      <w:r w:rsidRPr="0017627C">
        <w:rPr>
          <w:rFonts w:ascii="Times New Roman" w:hAnsi="Times New Roman" w:cs="Times New Roman"/>
          <w:sz w:val="24"/>
        </w:rPr>
        <w:t>синдром) — это неспецифический</w:t>
      </w:r>
      <w:r w:rsidRPr="0017627C">
        <w:rPr>
          <w:sz w:val="24"/>
        </w:rPr>
        <w:t xml:space="preserve"> </w:t>
      </w:r>
      <w:r w:rsidRPr="0017627C">
        <w:rPr>
          <w:rFonts w:ascii="Times New Roman" w:hAnsi="Times New Roman" w:cs="Times New Roman"/>
          <w:sz w:val="24"/>
          <w:szCs w:val="24"/>
        </w:rPr>
        <w:t xml:space="preserve">патологический процесс, связанный с поступлением в кровоток активаторов свертывания крови и агрегации тромбоцитов, что приводит к активизации, потреблению и последующему истощению факторов свертывающей, противосвертывающей, фибринолитической и других систем гемостаза и проявляется распространенным свертыванием крови в сосудах, тромботическими процессами, блокадой микроциркуляторного русла и кровотечениями. </w:t>
      </w:r>
    </w:p>
    <w:p w:rsidR="000B4D8A" w:rsidRPr="0017627C" w:rsidRDefault="000B4D8A" w:rsidP="000B4D8A">
      <w:pPr>
        <w:rPr>
          <w:rFonts w:ascii="Times New Roman" w:hAnsi="Times New Roman" w:cs="Times New Roman"/>
          <w:sz w:val="24"/>
          <w:szCs w:val="24"/>
        </w:rPr>
      </w:pPr>
      <w:r w:rsidRPr="0017627C">
        <w:rPr>
          <w:rFonts w:ascii="Times New Roman" w:hAnsi="Times New Roman" w:cs="Times New Roman"/>
          <w:sz w:val="24"/>
          <w:szCs w:val="24"/>
        </w:rPr>
        <w:t>Предрасположенность новорожденных к разви</w:t>
      </w:r>
      <w:r w:rsidRPr="0017627C">
        <w:rPr>
          <w:rFonts w:ascii="Times New Roman" w:hAnsi="Times New Roman" w:cs="Times New Roman"/>
          <w:sz w:val="24"/>
          <w:szCs w:val="24"/>
        </w:rPr>
        <w:t>тию ДВС-синдрома объясняется:</w:t>
      </w:r>
    </w:p>
    <w:p w:rsidR="000B4D8A" w:rsidRPr="0017627C" w:rsidRDefault="000B4D8A" w:rsidP="000B4D8A">
      <w:pPr>
        <w:pStyle w:val="a3"/>
        <w:numPr>
          <w:ilvl w:val="0"/>
          <w:numId w:val="15"/>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низкой способностью моноцитарно-макрофагальной системы удалять промежуточны</w:t>
      </w:r>
      <w:r w:rsidR="004D12B0" w:rsidRPr="0017627C">
        <w:rPr>
          <w:rFonts w:ascii="Times New Roman" w:hAnsi="Times New Roman" w:cs="Times New Roman"/>
          <w:sz w:val="24"/>
          <w:szCs w:val="24"/>
        </w:rPr>
        <w:t xml:space="preserve">е продукты свертывания крови; </w:t>
      </w:r>
    </w:p>
    <w:p w:rsidR="000B4D8A" w:rsidRPr="0017627C" w:rsidRDefault="000B4D8A" w:rsidP="000B4D8A">
      <w:pPr>
        <w:pStyle w:val="a3"/>
        <w:numPr>
          <w:ilvl w:val="0"/>
          <w:numId w:val="15"/>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неспособностью печени при необходимости адекватно повысить синтез прок</w:t>
      </w:r>
      <w:r w:rsidR="004D12B0" w:rsidRPr="0017627C">
        <w:rPr>
          <w:rFonts w:ascii="Times New Roman" w:hAnsi="Times New Roman" w:cs="Times New Roman"/>
          <w:sz w:val="24"/>
          <w:szCs w:val="24"/>
        </w:rPr>
        <w:t xml:space="preserve">оагулянтов и антикоагулянтов; </w:t>
      </w:r>
    </w:p>
    <w:p w:rsidR="000B4D8A" w:rsidRPr="0017627C" w:rsidRDefault="000B4D8A" w:rsidP="000B4D8A">
      <w:pPr>
        <w:pStyle w:val="a3"/>
        <w:numPr>
          <w:ilvl w:val="0"/>
          <w:numId w:val="15"/>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низким уровнем прокоагулянтов (II, VII, IX, X факторов) и антикоагулянтов (АТ III, протеинов С и S); – трудностью поддержания адекват</w:t>
      </w:r>
      <w:r w:rsidR="004D12B0" w:rsidRPr="0017627C">
        <w:rPr>
          <w:rFonts w:ascii="Times New Roman" w:hAnsi="Times New Roman" w:cs="Times New Roman"/>
          <w:sz w:val="24"/>
          <w:szCs w:val="24"/>
        </w:rPr>
        <w:t>ной перфузии в малых сосудах;</w:t>
      </w:r>
    </w:p>
    <w:p w:rsidR="000B4D8A" w:rsidRPr="0017627C" w:rsidRDefault="000B4D8A" w:rsidP="000B4D8A">
      <w:pPr>
        <w:pStyle w:val="a3"/>
        <w:numPr>
          <w:ilvl w:val="0"/>
          <w:numId w:val="15"/>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повышенной проницаемостью сосудистой стенки при высокой активности к агрегац</w:t>
      </w:r>
      <w:r w:rsidR="004D12B0" w:rsidRPr="0017627C">
        <w:rPr>
          <w:rFonts w:ascii="Times New Roman" w:hAnsi="Times New Roman" w:cs="Times New Roman"/>
          <w:sz w:val="24"/>
          <w:szCs w:val="24"/>
        </w:rPr>
        <w:t>ии тромбоцитов и вазодилятации.</w:t>
      </w:r>
    </w:p>
    <w:p w:rsidR="000B4D8A" w:rsidRPr="0017627C" w:rsidRDefault="000B4D8A" w:rsidP="000B4D8A">
      <w:pPr>
        <w:rPr>
          <w:rFonts w:ascii="Times New Roman" w:hAnsi="Times New Roman" w:cs="Times New Roman"/>
          <w:sz w:val="24"/>
          <w:szCs w:val="24"/>
        </w:rPr>
      </w:pPr>
      <w:r w:rsidRPr="0017627C">
        <w:rPr>
          <w:rFonts w:ascii="Times New Roman" w:hAnsi="Times New Roman" w:cs="Times New Roman"/>
          <w:sz w:val="24"/>
          <w:szCs w:val="24"/>
        </w:rPr>
        <w:t>ДВС-синдром — эпифеномен, т. е. побочное (вторичное) явление, сопутствующее разным процессам и болезням организма. У новорожденных данный процесс с образованием внутрисосудистых микросгустков, патологическим фибринолизом и одновременным развитием кровоточивости из-за дефицита гемостатических факторов всегда вторичен и развивается при тяжелом течении целого ряда патологических состояний.</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Состояния, приводящие к диссеминированному внутрисосудистому свертыванию крови (W. E. Hathaway, 1987) </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Прежде всего, к таким состояниям относятся: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Инфекции, приводящие к массивным повреждениям эндотелия сосудов, шоку — бактериальный сепсис, кандидоз, генерализованная герпетическая инфекция, врожденная краснуха и цитомегалия.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Гипоксия, ацидоз, ишемия — тяжелая асфиксия в родах, постгеморрагический шок, дегидратационный шок, синдром дыхательных нарушений, болезнь гиалиновых мембран, синдром аспирации мекония, апноэтические эпизоды, ателектазы, пневмония, легочные геморрагии.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Холодовая травма.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Полицетемия.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Повреждение тканей и освобождение тканевого тромбопластина — акушерские расстройства, болезни плаценты; преждевременная отслойка плаценты; ЗВУР; гипертензия у матери; смерть одного плода из двойни; хориоангиома плаценты; распространенные тромбозы; молниеносная пурпура; некротизирующий энтероколит; опухоли и лейкозы; повреждения мозга (некрозы и геморрагии). </w:t>
      </w:r>
    </w:p>
    <w:p w:rsidR="004D12B0" w:rsidRPr="0017627C" w:rsidRDefault="004D12B0" w:rsidP="004D12B0">
      <w:pPr>
        <w:pStyle w:val="a3"/>
        <w:numPr>
          <w:ilvl w:val="0"/>
          <w:numId w:val="17"/>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Другие причины — ГБН; болезни печени; гигантская геангиома.</w:t>
      </w:r>
    </w:p>
    <w:p w:rsidR="004D12B0" w:rsidRPr="0017627C" w:rsidRDefault="004D12B0" w:rsidP="004D12B0">
      <w:pPr>
        <w:ind w:left="360"/>
        <w:rPr>
          <w:rFonts w:ascii="Times New Roman" w:hAnsi="Times New Roman" w:cs="Times New Roman"/>
          <w:sz w:val="24"/>
          <w:szCs w:val="24"/>
        </w:rPr>
      </w:pPr>
      <w:r w:rsidRPr="0017627C">
        <w:rPr>
          <w:rFonts w:ascii="Times New Roman" w:hAnsi="Times New Roman" w:cs="Times New Roman"/>
          <w:sz w:val="24"/>
          <w:szCs w:val="24"/>
        </w:rPr>
        <w:t xml:space="preserve">Патогенез </w:t>
      </w:r>
    </w:p>
    <w:p w:rsidR="004D12B0" w:rsidRPr="0017627C" w:rsidRDefault="004D12B0" w:rsidP="004D12B0">
      <w:pPr>
        <w:rPr>
          <w:rFonts w:ascii="Times New Roman" w:hAnsi="Times New Roman" w:cs="Times New Roman"/>
          <w:color w:val="000000" w:themeColor="text1"/>
          <w:sz w:val="24"/>
          <w:szCs w:val="24"/>
        </w:rPr>
      </w:pPr>
      <w:r w:rsidRPr="0017627C">
        <w:rPr>
          <w:rFonts w:ascii="Times New Roman" w:hAnsi="Times New Roman" w:cs="Times New Roman"/>
          <w:sz w:val="24"/>
          <w:szCs w:val="24"/>
        </w:rPr>
        <w:lastRenderedPageBreak/>
        <w:t>Ведущими звеньями пат</w:t>
      </w:r>
      <w:r w:rsidRPr="0017627C">
        <w:rPr>
          <w:rFonts w:ascii="Times New Roman" w:hAnsi="Times New Roman" w:cs="Times New Roman"/>
          <w:sz w:val="24"/>
          <w:szCs w:val="24"/>
        </w:rPr>
        <w:t xml:space="preserve">огенеза ДВС-синдрома являются: </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 «Протеолитический взрыв» — массивное поступление в кровоток тромбопластина и его активаторов при внутрисосудистом гемолизе, ожогах, тяжелой родовой травме, оперативных вмешательствах. Также за счет попадания в кровоток трипсина и других протеаз и пептидаз при обширных некрозах и деструкциях тканей происходит активация плазминогена </w:t>
      </w:r>
      <w:r w:rsidRPr="0017627C">
        <w:rPr>
          <w:rFonts w:ascii="Times New Roman" w:hAnsi="Times New Roman" w:cs="Times New Roman"/>
          <w:sz w:val="24"/>
          <w:szCs w:val="24"/>
        </w:rPr>
        <w:t>и превращения его в плазмин.</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Системное поражение эндотелия сосудистых стенок, возникающее в результате распространенного васкулита, при ожогах, ацидозе, инфекционном процессе, продолжительной гипоксии. В результате поражения сосудистой стенки активируется внутренний механизм свертывания крови через плазменные факторы контакта (факторы XII и XI). Параллельно с этим запускаются процессы внутрисосудистой адгезии и агрегации тромбоцитов, лейкоцитов, эритроцитов, блокируется микроциркуляторное звено, нарушается реология крови, выбрасываются биологически активные вещества (гистамин, серотонин, катехоламины), в паренхиматозных органах откладывается фибрин. Фактор некроза опухоли (TNFальфа) является ключевым медиатором воспаления. В высокой концентрации он способен повреждать клетки эндотелия и увеличивать проницаемость микрососудов, активировать гемостаз и систему комплемента,</w:t>
      </w:r>
      <w:r w:rsidRPr="0017627C">
        <w:rPr>
          <w:rFonts w:ascii="Times New Roman" w:hAnsi="Times New Roman" w:cs="Times New Roman"/>
          <w:sz w:val="24"/>
          <w:szCs w:val="24"/>
        </w:rPr>
        <w:t xml:space="preserve"> </w:t>
      </w:r>
      <w:r w:rsidRPr="0017627C">
        <w:rPr>
          <w:rFonts w:ascii="Times New Roman" w:hAnsi="Times New Roman" w:cs="Times New Roman"/>
          <w:sz w:val="24"/>
          <w:szCs w:val="24"/>
        </w:rPr>
        <w:t>что приводит к аккумуляции нейтрофилов и внутрисосудис</w:t>
      </w:r>
      <w:r w:rsidRPr="0017627C">
        <w:rPr>
          <w:rFonts w:ascii="Times New Roman" w:hAnsi="Times New Roman" w:cs="Times New Roman"/>
          <w:sz w:val="24"/>
          <w:szCs w:val="24"/>
        </w:rPr>
        <w:t>тому микротромбообразованию.</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Активация агрегации тромбоцитов под действием медиаторов воспаления при системном воспалительном ответе (сепсис и другие бактериальные и вирусные инфекции). Бактерии высвобождают эндотоксин, который запускает цитокининовый каскад и процесс системного воспалительного ответа на внедрение повреждающего фактора ткани, что вызывает агрегацию тромбоцитов и коагуляцию. ДВС-синдром может развиваться при накоплении комплексов антиген–антитело, что приводит к агрегации тромбоцитов, активации калликреин-кининовой системы, плазменных ферментных систе</w:t>
      </w:r>
      <w:r w:rsidRPr="0017627C">
        <w:rPr>
          <w:rFonts w:ascii="Times New Roman" w:hAnsi="Times New Roman" w:cs="Times New Roman"/>
          <w:sz w:val="24"/>
          <w:szCs w:val="24"/>
        </w:rPr>
        <w:t xml:space="preserve">м и запуску гиперкоагуляции. </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Блокада микроциркуляции на ранних стадиях ДВС-синдрома за счет образования растворимых комплексов фибрин-фибриноген и развития фибриновых микротромбов и далее реологической окклюзии капилляров из-за повышения вязк</w:t>
      </w:r>
      <w:r w:rsidRPr="0017627C">
        <w:rPr>
          <w:rFonts w:ascii="Times New Roman" w:hAnsi="Times New Roman" w:cs="Times New Roman"/>
          <w:sz w:val="24"/>
          <w:szCs w:val="24"/>
        </w:rPr>
        <w:t xml:space="preserve">ости крови (сладж, сгустки). </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t>Тромбоцитопения потребления за счет участия серотонина как одного из важных патогенетических механизмов развития ДВС-синдрома. Серотонин (5-окситриптамин) синтезируется в энтерохромафинных клетках желудочно-кишечного тракта, адсорбируется тромбоцитами и поступает в русло крови. Серотонин играет ведущую роль в сохранении целостности тромбоцитов. Ускоряют метаболизм серотонина и его выход из тромбоцитов такие вещества, как свободный гемоглобин и миоглобин, которые обнаруживаются практически при всех заболеваниях, протекающих с ДВС-синдромом. Возникающий спазм сосудов приводит к нарушению микроциркуляции, сладж-феномену, гипоксии тканей и дополнительному выходу свободного гемоглобина и миоглобина, усугубляющих распад тромбоцитов</w:t>
      </w:r>
      <w:r w:rsidRPr="0017627C">
        <w:rPr>
          <w:rFonts w:ascii="Times New Roman" w:hAnsi="Times New Roman" w:cs="Times New Roman"/>
          <w:sz w:val="24"/>
          <w:szCs w:val="24"/>
        </w:rPr>
        <w:t xml:space="preserve"> и появление тромбоцитопении.</w:t>
      </w:r>
    </w:p>
    <w:p w:rsidR="004D12B0" w:rsidRPr="0017627C" w:rsidRDefault="004D12B0" w:rsidP="004D12B0">
      <w:pPr>
        <w:pStyle w:val="a3"/>
        <w:numPr>
          <w:ilvl w:val="0"/>
          <w:numId w:val="18"/>
        </w:numPr>
        <w:rPr>
          <w:rFonts w:ascii="Times New Roman" w:hAnsi="Times New Roman" w:cs="Times New Roman"/>
          <w:color w:val="000000" w:themeColor="text1"/>
          <w:sz w:val="24"/>
          <w:szCs w:val="24"/>
        </w:rPr>
      </w:pPr>
      <w:r w:rsidRPr="0017627C">
        <w:rPr>
          <w:rFonts w:ascii="Times New Roman" w:hAnsi="Times New Roman" w:cs="Times New Roman"/>
          <w:sz w:val="24"/>
          <w:szCs w:val="24"/>
        </w:rPr>
        <w:lastRenderedPageBreak/>
        <w:t xml:space="preserve"> Патологический фибринолиз со значительным повышением продуктов деградации фибрина и фибриногена, протеолизом факторов V, VIII, XI, XII, XIII, изменениями в гликопротеинах тромбоцитарной мембраны, что нарушает как первичный, так и вторичный гемостаз, приводя к одновременному развитию тромбозов и склонности к кровотечению. В подавляющем большинстве случаев главным инициатором процесса свертывания крови при ДВС-синдроме является тканевой тромбопластин. Он поступает в кровоток с тканевой жидкостью из поврежденных тканей (травмы, операции, некрозы, деструкции), а при участии активированных тромбоцитов — из эндотелия сосудистой стенки и моноцитов. Начавшееся свертывание крови быстро истощает внутренние резервы противосвертывающей системы, в частности АТ III и системы протеина С, которые расходуются на нейтрализацию активированных факторов свертывания и образующегося тромбина.</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Таким образом, при ДВС-синдроме уровни естественных антикоагулянтов АТ III и протеина С снижаются рано и неуклонно, что ведет к накоплению избытка тромбина и преобладанию свертывающего потенциала крови. Избыток тромбина в циркуляции — это ключевой момент патогенеза ДВС-синдрома. Быстрое нарастание концентрации тромбина приводит к дроблению молекул фибриногена и образованию большого количества свободно циркулирующих в крови фибрин-мономеров, которые, соединяясь между собой, формируют сгустки фибрина. В результате развивается неконтролируемое внутрисосудистое свертывание крови с повсеместным формированием микротромбов. В ответ на образование в сосудистом русле фибрина активируется система фибринолиза, основная функция которой — поддержание жидкого состояния крови.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Плазмин начинает активно лизировать появившиеся в кровотоке сгустки фибрина, что приводит к появлению и накоплению в крови продуктов деградации фибриногена и фибрина (ПДФ), в том числе D-димеров. Часть фибрин-мономеров не успевает полимеризоваться в фибрин, но может соединиться с другими молекулами фибриногена с образованием макро-молекулярных комплексов. ПДФ также могут соединяться с фибрин-мономерами, препятствуя их полимеризации. Фибрин-мономеры, олигомеры, а также их комплексы с ПДФ называются растворимыми фибрин-мономерными комплексами (РФМК). Таким образом, развитие неконтролируемого внутрисосудистого свертывания крови с повсеместным образованием микротромбов идет на фоне расслоения фибринового пула плазмы на ряд компонентов: исходный фибриноген, фибринмономеры, фибринопептиды А и В, ранние и поздние фрагменты деградации молекул фибрина и фибриногена. Качественно измененный пул фибриногена уже не может обеспечить формирование полноценных фибриновых сгустков. Истощение плазменных факторов свертывания крови, потребление антикоагулянтов, качественные изменения пула фибрина на фоне резкого повышения активности фибринолиза приводят к дисбалансу между свертывающей системой крови и системой фибринолиза, что клинически проявляется тромбогеморрагическими осложнениями. </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Таким образом, при ДВС-синдроме организм больного испытывает двоякое повреждение. С одной стороны, развивается рассеянное внутрисосудистое свертывание крови с блокадой микроциркуляции в жизненно важных органах, развитием гипоксии, глубокой дисфункцией этих органов и дальнейшим формированием синдрома полиорганной </w:t>
      </w:r>
      <w:r w:rsidRPr="0017627C">
        <w:rPr>
          <w:rFonts w:ascii="Times New Roman" w:hAnsi="Times New Roman" w:cs="Times New Roman"/>
          <w:sz w:val="24"/>
          <w:szCs w:val="24"/>
        </w:rPr>
        <w:lastRenderedPageBreak/>
        <w:t>недостаточности. С другой стороны, истощаются регуляторные механизмы гемостаза, что ведет к патологической кровоточивости.</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Классификация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По этиологии выделяют: </w:t>
      </w:r>
    </w:p>
    <w:p w:rsidR="0017627C" w:rsidRDefault="004D12B0" w:rsidP="0017627C">
      <w:pPr>
        <w:pStyle w:val="a3"/>
        <w:numPr>
          <w:ilvl w:val="0"/>
          <w:numId w:val="19"/>
        </w:numPr>
        <w:rPr>
          <w:rFonts w:ascii="Times New Roman" w:hAnsi="Times New Roman" w:cs="Times New Roman"/>
          <w:sz w:val="24"/>
          <w:szCs w:val="24"/>
        </w:rPr>
      </w:pPr>
      <w:r w:rsidRPr="0017627C">
        <w:rPr>
          <w:rFonts w:ascii="Times New Roman" w:hAnsi="Times New Roman" w:cs="Times New Roman"/>
          <w:sz w:val="24"/>
          <w:szCs w:val="24"/>
        </w:rPr>
        <w:t xml:space="preserve">Тромбогеморрагические синдромы с преобладанием активации по линии внешней системы гемостаза, вызванные появлением тканевого тромбопластина в кровотоке: болезни плаценты, преждевременная отслойка плаценты, ЗВУР, гипертензия у матери, смерть одного плода из двойни; хориоангиома плаценты, распространенные тромбозы, молниеносная пурпура, хирургическая травма, ожоги, некротизирующий энтероколит, холодовая травма, тяжелая асфиксия при родах. </w:t>
      </w:r>
    </w:p>
    <w:p w:rsidR="0017627C" w:rsidRDefault="004D12B0" w:rsidP="0017627C">
      <w:pPr>
        <w:pStyle w:val="a3"/>
        <w:numPr>
          <w:ilvl w:val="0"/>
          <w:numId w:val="19"/>
        </w:numPr>
        <w:rPr>
          <w:rFonts w:ascii="Times New Roman" w:hAnsi="Times New Roman" w:cs="Times New Roman"/>
          <w:sz w:val="24"/>
          <w:szCs w:val="24"/>
        </w:rPr>
      </w:pPr>
      <w:r w:rsidRPr="0017627C">
        <w:rPr>
          <w:rFonts w:ascii="Times New Roman" w:hAnsi="Times New Roman" w:cs="Times New Roman"/>
          <w:sz w:val="24"/>
          <w:szCs w:val="24"/>
        </w:rPr>
        <w:t>Тромбогеморрагические синдромы с преобладанием активации по линии внутренней системы гемостаза, вызванные появлением клеточнотромбоцитарного, эритроцитарного и лейкоцитарного тромбопластина в кровотоке: гемолитическая болезнь новорожденного, болезни</w:t>
      </w:r>
      <w:r w:rsidR="0017627C">
        <w:rPr>
          <w:rFonts w:ascii="Times New Roman" w:hAnsi="Times New Roman" w:cs="Times New Roman"/>
          <w:sz w:val="24"/>
          <w:szCs w:val="24"/>
        </w:rPr>
        <w:t xml:space="preserve"> печени, гемолитический шок. </w:t>
      </w:r>
    </w:p>
    <w:p w:rsidR="0017627C" w:rsidRDefault="004D12B0" w:rsidP="0017627C">
      <w:pPr>
        <w:pStyle w:val="a3"/>
        <w:numPr>
          <w:ilvl w:val="0"/>
          <w:numId w:val="19"/>
        </w:numPr>
        <w:rPr>
          <w:rFonts w:ascii="Times New Roman" w:hAnsi="Times New Roman" w:cs="Times New Roman"/>
          <w:sz w:val="24"/>
          <w:szCs w:val="24"/>
        </w:rPr>
      </w:pPr>
      <w:r w:rsidRPr="0017627C">
        <w:rPr>
          <w:rFonts w:ascii="Times New Roman" w:hAnsi="Times New Roman" w:cs="Times New Roman"/>
          <w:sz w:val="24"/>
          <w:szCs w:val="24"/>
        </w:rPr>
        <w:t xml:space="preserve">Тромбогеморрагические синдромы с преобладанием активации по линии системы гемостаза, связанные с острым и хроническим васкулитом: бактериальный сепсис, кандидоз, генерализованная герпетическая инфекция, врожденная краснуха и цитомегалия. </w:t>
      </w:r>
    </w:p>
    <w:p w:rsidR="0017627C" w:rsidRPr="0017627C" w:rsidRDefault="004D12B0" w:rsidP="0017627C">
      <w:pPr>
        <w:rPr>
          <w:rFonts w:ascii="Times New Roman" w:hAnsi="Times New Roman" w:cs="Times New Roman"/>
          <w:sz w:val="24"/>
          <w:szCs w:val="24"/>
        </w:rPr>
      </w:pPr>
      <w:r w:rsidRPr="0017627C">
        <w:rPr>
          <w:rFonts w:ascii="Times New Roman" w:hAnsi="Times New Roman" w:cs="Times New Roman"/>
          <w:sz w:val="24"/>
          <w:szCs w:val="24"/>
        </w:rPr>
        <w:t xml:space="preserve">По патогенезу выделяют: 1. </w:t>
      </w:r>
    </w:p>
    <w:p w:rsidR="0017627C" w:rsidRDefault="004D12B0" w:rsidP="0017627C">
      <w:pPr>
        <w:pStyle w:val="a3"/>
        <w:numPr>
          <w:ilvl w:val="0"/>
          <w:numId w:val="21"/>
        </w:numPr>
        <w:rPr>
          <w:rFonts w:ascii="Times New Roman" w:hAnsi="Times New Roman" w:cs="Times New Roman"/>
          <w:sz w:val="24"/>
          <w:szCs w:val="24"/>
        </w:rPr>
      </w:pPr>
      <w:r w:rsidRPr="0017627C">
        <w:rPr>
          <w:rFonts w:ascii="Times New Roman" w:hAnsi="Times New Roman" w:cs="Times New Roman"/>
          <w:sz w:val="24"/>
          <w:szCs w:val="24"/>
        </w:rPr>
        <w:t xml:space="preserve">Инфекционно-септический. </w:t>
      </w:r>
    </w:p>
    <w:p w:rsidR="0017627C" w:rsidRDefault="004D12B0" w:rsidP="0017627C">
      <w:pPr>
        <w:pStyle w:val="a3"/>
        <w:numPr>
          <w:ilvl w:val="0"/>
          <w:numId w:val="21"/>
        </w:numPr>
        <w:rPr>
          <w:rFonts w:ascii="Times New Roman" w:hAnsi="Times New Roman" w:cs="Times New Roman"/>
          <w:sz w:val="24"/>
          <w:szCs w:val="24"/>
        </w:rPr>
      </w:pPr>
      <w:r w:rsidRPr="0017627C">
        <w:rPr>
          <w:rFonts w:ascii="Times New Roman" w:hAnsi="Times New Roman" w:cs="Times New Roman"/>
          <w:sz w:val="24"/>
          <w:szCs w:val="24"/>
        </w:rPr>
        <w:t xml:space="preserve">Первично асептический (часто наблюдается трансформация в инфекционно-септический): – связанный с деструкцией органов, тканей и клеток (ожоги, тяжелая травма, синдром сдавления, острый внутрисосудистый гемолиз и др.); – неопластический (опухоли, лейкозы и др.). </w:t>
      </w:r>
    </w:p>
    <w:p w:rsidR="0017627C" w:rsidRPr="0017627C" w:rsidRDefault="004D12B0" w:rsidP="0017627C">
      <w:pPr>
        <w:ind w:left="360"/>
        <w:rPr>
          <w:rFonts w:ascii="Times New Roman" w:hAnsi="Times New Roman" w:cs="Times New Roman"/>
          <w:sz w:val="24"/>
          <w:szCs w:val="24"/>
        </w:rPr>
      </w:pPr>
      <w:r w:rsidRPr="0017627C">
        <w:rPr>
          <w:rFonts w:ascii="Times New Roman" w:hAnsi="Times New Roman" w:cs="Times New Roman"/>
          <w:sz w:val="24"/>
          <w:szCs w:val="24"/>
        </w:rPr>
        <w:t xml:space="preserve">По течению ДВС-синдром бывает: 1. </w:t>
      </w:r>
    </w:p>
    <w:p w:rsidR="0017627C" w:rsidRDefault="004D12B0" w:rsidP="0017627C">
      <w:pPr>
        <w:pStyle w:val="a3"/>
        <w:numPr>
          <w:ilvl w:val="0"/>
          <w:numId w:val="22"/>
        </w:numPr>
        <w:rPr>
          <w:rFonts w:ascii="Times New Roman" w:hAnsi="Times New Roman" w:cs="Times New Roman"/>
          <w:sz w:val="24"/>
          <w:szCs w:val="24"/>
        </w:rPr>
      </w:pPr>
      <w:r w:rsidRPr="0017627C">
        <w:rPr>
          <w:rFonts w:ascii="Times New Roman" w:hAnsi="Times New Roman" w:cs="Times New Roman"/>
          <w:sz w:val="24"/>
          <w:szCs w:val="24"/>
        </w:rPr>
        <w:t xml:space="preserve">Острый, включая молниеносную (катастрофическую) форму: – гиперкоагуляционная фаза; – переходная фаза (гипер- и гипокоагуляционная); – гипокоагуляционная фаза; – исход. </w:t>
      </w:r>
    </w:p>
    <w:p w:rsidR="0017627C" w:rsidRDefault="004D12B0" w:rsidP="0017627C">
      <w:pPr>
        <w:pStyle w:val="a3"/>
        <w:numPr>
          <w:ilvl w:val="0"/>
          <w:numId w:val="22"/>
        </w:numPr>
        <w:rPr>
          <w:rFonts w:ascii="Times New Roman" w:hAnsi="Times New Roman" w:cs="Times New Roman"/>
          <w:sz w:val="24"/>
          <w:szCs w:val="24"/>
        </w:rPr>
      </w:pPr>
      <w:r w:rsidRPr="0017627C">
        <w:rPr>
          <w:rFonts w:ascii="Times New Roman" w:hAnsi="Times New Roman" w:cs="Times New Roman"/>
          <w:sz w:val="24"/>
          <w:szCs w:val="24"/>
        </w:rPr>
        <w:t xml:space="preserve">Подострый (фазы те же; отличаются продолжительностью). </w:t>
      </w:r>
    </w:p>
    <w:p w:rsidR="0017627C" w:rsidRDefault="004D12B0" w:rsidP="0017627C">
      <w:pPr>
        <w:pStyle w:val="a3"/>
        <w:numPr>
          <w:ilvl w:val="0"/>
          <w:numId w:val="22"/>
        </w:numPr>
        <w:rPr>
          <w:rFonts w:ascii="Times New Roman" w:hAnsi="Times New Roman" w:cs="Times New Roman"/>
          <w:sz w:val="24"/>
          <w:szCs w:val="24"/>
        </w:rPr>
      </w:pPr>
      <w:r w:rsidRPr="0017627C">
        <w:rPr>
          <w:rFonts w:ascii="Times New Roman" w:hAnsi="Times New Roman" w:cs="Times New Roman"/>
          <w:sz w:val="24"/>
          <w:szCs w:val="24"/>
        </w:rPr>
        <w:t xml:space="preserve">Хронический (с длительным периодом гиперкоагуляции и/или гиперагрегации тромбоцитов), в том числе при хронических воспалительных и иммунновоспалительных процессах. Многие современные исследователи вместо фаз гемостазиологических изменений (гипер- или гипокоагуляция) предлагают степень компенсации ДВС-синдрома. </w:t>
      </w:r>
    </w:p>
    <w:p w:rsidR="0017627C" w:rsidRDefault="004D12B0" w:rsidP="0017627C">
      <w:pPr>
        <w:pStyle w:val="a3"/>
        <w:numPr>
          <w:ilvl w:val="0"/>
          <w:numId w:val="22"/>
        </w:numPr>
        <w:rPr>
          <w:rFonts w:ascii="Times New Roman" w:hAnsi="Times New Roman" w:cs="Times New Roman"/>
          <w:sz w:val="24"/>
          <w:szCs w:val="24"/>
        </w:rPr>
      </w:pPr>
      <w:r w:rsidRPr="0017627C">
        <w:rPr>
          <w:rFonts w:ascii="Times New Roman" w:hAnsi="Times New Roman" w:cs="Times New Roman"/>
          <w:sz w:val="24"/>
          <w:szCs w:val="24"/>
        </w:rPr>
        <w:t xml:space="preserve">Выделяют компенсированный (лабораторный, хронический) </w:t>
      </w:r>
    </w:p>
    <w:p w:rsidR="004D12B0" w:rsidRPr="0017627C" w:rsidRDefault="004D12B0" w:rsidP="0017627C">
      <w:pPr>
        <w:pStyle w:val="a3"/>
        <w:numPr>
          <w:ilvl w:val="0"/>
          <w:numId w:val="22"/>
        </w:numPr>
        <w:rPr>
          <w:rFonts w:ascii="Times New Roman" w:hAnsi="Times New Roman" w:cs="Times New Roman"/>
          <w:sz w:val="24"/>
          <w:szCs w:val="24"/>
        </w:rPr>
      </w:pPr>
      <w:r w:rsidRPr="0017627C">
        <w:rPr>
          <w:rFonts w:ascii="Times New Roman" w:hAnsi="Times New Roman" w:cs="Times New Roman"/>
          <w:sz w:val="24"/>
          <w:szCs w:val="24"/>
        </w:rPr>
        <w:t>ДВС-синдром, когда нет клинических проявлений, и диагноз ставится только на основании соответствующих лабораторных тестов, и декомпенсированный (клинический, острый), когда присутствуют и лабораторные, и клинические проявления процесса</w:t>
      </w:r>
      <w:r w:rsidRPr="0017627C">
        <w:rPr>
          <w:rFonts w:ascii="Times New Roman" w:hAnsi="Times New Roman" w:cs="Times New Roman"/>
          <w:sz w:val="24"/>
          <w:szCs w:val="24"/>
        </w:rPr>
        <w:t>.</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lastRenderedPageBreak/>
        <w:t xml:space="preserve">Фазы ДВС-синдрома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Патологический процесс при ДВС-синдроме имеет следующие фазы (стадии):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1. Гиперкоагуляционная фаза характеризуется внутрисосудистой активацией факторов прокоагулянтного звена системы гемостаза, повышением функциональной активности тромбоцитов, появлением в крови тромбина, который отщепляет пептиды А и В от молекулы фибриногена, образуя фибрин-мономеры. Тромбин одновременно активирует фибриназу (фактор XIII), под влиянием которой образуется прочный фибринполимер. При дальнейшем поступлении в кровоток тромбопластиновых субстанций в нем начинают образовываться тромбоцитарно-фибриновые сгустки, блокирующие систему микроциркуляции, если плазминовая система не успевает справиться с ними. Такая блокада в первую очередь сказывается на функции печени, почек, легких. На этом этапе могут появляться признаки потребления тромбоцитарных и плазменных факторов. Продолжительность этой фазы зависит от степени активации и интенсивности процесса свертывания крови, скорости генерации тромбина и плазмина. При значительном и быстром поступлении в кровоток тканевого тромбопластина процесс длится несколько минут, реже — несколько часов, в течение которых фибриноген превращается в фибрин с потреблением тромбоцитов. При затяжном и менее интенсивном поступлении в русло крови тромбопластина фаза гиперкоагуляции более продолжительна и не всегда трансформируется в фазу выраженных геморрагических проявлений.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2. Переходная фаза (гипер-, гипокоагуляционная) ДВС-синдрома характеризуется дальнейшим потреблением коагуляционного потенциала крови и в первую очередь тромбоцитов. Хотя количество этих клеток еще не падает до критического уровня, однако, развивается тромбоцитопеническая тромбоцитопатия, укорочение жизни тромбоцитов, ухудшение их адгезивно-агрегационной функции вследствие сорбции на их мембранах РФМК и ПДФ, которые начинают накапливаться в кровотоке. В результате появления в кровотоке активного фактора Хагемана, тромбина, фибринмономеров и фибринопептидов наступает активация калликреин-кининовой и простагландиновой систем, активация протеолиза, белков системы комплемента. Отложение фибрина сразу вызывает освобождение тканевого активатора плазминогена и образование плазмина, действие которого направлено на лизис микросгустков и восстановление сосудистого русла органов и тканей. Под действием плазмина расщепляется не только фибрин, но и фибриноген с образованием ПДФ. В связи со значительно большей, чем в норме активацией гемостаза прогрессивно и невосполнимо расходуются вначале факторы коагуляции, а затем и факторы антикоагулянтной и фибринолитической системы: АТ III, протеины C и S, гепарин, плазминоген, антиплазмины. Наступает истощение всех трех систем (свертывающей, антикоагулянтной и плазминовой), что соответствует третьей фазе.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3. При гипокоагуляционной фазе (коагулопатия потребления) наступает срыв адаптационных механизмов и разбалансирование гемостаза. Плазминогенемия свидетельствует о гиперактивности фибринолиза, ускоренного лизиса сгустков с нарастающим количеством как ранних, так и поздних РФМК и ПДФ, блокирующих полимеризацию фибрин-мономеров. Афибриногенемия говорит о далеко зашедшем ДВС-синдроме, но введение фибриногена не меняет течение и исход болезни, он расходуется на дальнейшее образование микротромбов. На этом фоне возникает коагулопатическое </w:t>
      </w:r>
      <w:r w:rsidRPr="0017627C">
        <w:rPr>
          <w:rFonts w:ascii="Times New Roman" w:hAnsi="Times New Roman" w:cs="Times New Roman"/>
          <w:sz w:val="24"/>
          <w:szCs w:val="24"/>
        </w:rPr>
        <w:lastRenderedPageBreak/>
        <w:t xml:space="preserve">кровотечение, которое не может остановиться, так как нет ни пластического материала, ни ферментативных регуляторов. Блокада микроциркуляции в органах и тканях с их дисфункцией и дистрофией являются важнейшими нарушениями, характерными для IV стадии ДВСсиндрома. </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4. Фаза исхода характеризуется наиболее частым повреждением сосудов легких с развитием сердечно-легочной недостаточности, интерстициальным отеком, инфарктами легкого и дистресс-синдрома. Также поражаются почки и печень с развитием острой почечной недостаточности и паренхиматозной желтухой. Падает диурез, в моче выявляются белок, цилиндры, эритроциты. Нарушается водно-электролитный баланс</w:t>
      </w:r>
      <w:r w:rsidRPr="0017627C">
        <w:rPr>
          <w:rFonts w:ascii="Times New Roman" w:hAnsi="Times New Roman" w:cs="Times New Roman"/>
          <w:sz w:val="24"/>
          <w:szCs w:val="24"/>
        </w:rPr>
        <w:t xml:space="preserve"> </w:t>
      </w:r>
      <w:r w:rsidRPr="0017627C">
        <w:rPr>
          <w:rFonts w:ascii="Times New Roman" w:hAnsi="Times New Roman" w:cs="Times New Roman"/>
          <w:sz w:val="24"/>
          <w:szCs w:val="24"/>
        </w:rPr>
        <w:t>и кислотно-основной гомеостаз. Следует помнить, что ДВС-синдром почти всегда сопровождается глубокой очаговой дистрофией слизистой оболочки желудка и 12-перстной кишки с образованием острых эрозий. Это приводит к профузным кровотечениям, которые поздно диагностируются и дают высокую летальность (35–65 %). В результате поражения надпочечников возникает острая надпочечниковая недостаточность.</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Клиническая картина</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Клиническая картина специфических черт не имеет; характерны длительные кровотечения из мест инъекций, пурпура и экхимозы, артериальная гипотензия, акроцианоз, олигурия или анурия, мелкоочаговая неврологическая симптоматика, признаки разных степеней угнетения ЦНС, дыхательная недостаточность, клинические проявления тромбозов — некрозы кожи, острая почечная недостаточность, спонтанные кровотечения — легочные, кишечные, носовые, гематурия, кровоизлияния во внутренние органы и мозг. Таким образом, у новорожденных с декомпенсированным ДВС-синдромом развивается разной степени выраженности полиорганная недостаточность без или с признаками повышенной кровоточивости. У большинства больных развивается и микроангиопатическая гемолитическая анемия.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Молниеносный ДВС-синдром. Он развивается в течение нескольких десятков минут (шок, терминальное состояние, состояния связанные с деструкцией органов, тканей и клеток, тяжелая родовая травма, острый внутрисосудистый гемолиз). Для такой формы ДВС-синдрома характерно 10 быстрое развитие шокового состояния в связи со стремительным и массивным поступлением в кровоток компонентов тромбопластинового комплекса. В клинической картине преобладает тяжелый геморрагический синдром и клиника шока. </w:t>
      </w:r>
      <w:r w:rsidR="0017627C">
        <w:rPr>
          <w:rFonts w:ascii="Times New Roman" w:hAnsi="Times New Roman" w:cs="Times New Roman"/>
          <w:sz w:val="24"/>
          <w:szCs w:val="24"/>
        </w:rPr>
        <w:br/>
      </w:r>
      <w:r w:rsidRPr="0017627C">
        <w:rPr>
          <w:rFonts w:ascii="Times New Roman" w:hAnsi="Times New Roman" w:cs="Times New Roman"/>
          <w:sz w:val="24"/>
          <w:szCs w:val="24"/>
        </w:rPr>
        <w:t xml:space="preserve">Острый ДВС-синдром. Время развития данной формы синдрома составляет от нескольких часов до суток. Он наблюдается при тяжелой сочетанной родовой травме, тяжелом сепсисе, ожогах, холодовой травме, тяжелой асфиксии, водянке плода, генерализованной герпетической инфекции, врожденной форме краснухи и цитомегалии. Микроциркуляторные нарушения при этой форме ДВС-синдрома выходят на первое место, что обусловливает быстрое формирование полиорганной недостаточности. </w:t>
      </w:r>
      <w:r w:rsidR="0017627C">
        <w:rPr>
          <w:rFonts w:ascii="Times New Roman" w:hAnsi="Times New Roman" w:cs="Times New Roman"/>
          <w:sz w:val="24"/>
          <w:szCs w:val="24"/>
        </w:rPr>
        <w:br/>
      </w:r>
      <w:r w:rsidRPr="0017627C">
        <w:rPr>
          <w:rFonts w:ascii="Times New Roman" w:hAnsi="Times New Roman" w:cs="Times New Roman"/>
          <w:sz w:val="24"/>
          <w:szCs w:val="24"/>
        </w:rPr>
        <w:t xml:space="preserve">Геморрагический синдром также имеет место, но он менее выражен, чем при молниеносной форме. Подострый ДВС-синдром. Длительность течения составляет дни, недели. Подострый ДВС-синдром сопутствует сепсису, деструктивной (синегнойной, стафилококковой) пневмонии, гнойному менингиту, язвенно-некротическому энтероколиту. Клиническая картина подобна таковой при остром ДВС-синдроме, но менее </w:t>
      </w:r>
      <w:r w:rsidRPr="0017627C">
        <w:rPr>
          <w:rFonts w:ascii="Times New Roman" w:hAnsi="Times New Roman" w:cs="Times New Roman"/>
          <w:sz w:val="24"/>
          <w:szCs w:val="24"/>
        </w:rPr>
        <w:lastRenderedPageBreak/>
        <w:t xml:space="preserve">выражена. Протекает более благоприятно, но также может привести к формированию синдрома полиорганной недостаточности. Хронический ДВС-синдром. Он длится недели с хроническими заболеваниями (сепсис, внутриутробные инфекции, пневмония на фоне бронхолегочной дисплазии) с постоянным небольшим поступлением в кровоток активаторов свертывания крови. Клинически хронический ДВС-синдром проявляется медленно нарастающими расстройствами функции внутренних органов. </w:t>
      </w:r>
    </w:p>
    <w:p w:rsid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Диагностика ДВС-синдрома </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Диагностика ДВС-синдрома включает в себя три этапа: – оценка клинической ситуации; – анализ клинических данных; – лабораторные исследования. Оценка клинической ситуации основывается на том, что ДВСсиндром у новорожденных всегда вторичен и является результатом тяжелого течения вышеперечисленных патологических состояний и глубоких нарушений системы свертывания крови. Вследствие этого новорожденные в доклинической стадии ДВС-синдрома уже находятся в отделении реанимации или в палате интенсивной терапии, как правило, на ИВЛ, получают инфузионную и синдромальную терапию. Состояние оценивается как тяжелое или крайне тяжелое. ДВС-синдром при ряде патологических состояний (шок, деструкция органов, тканей и клеток, ожоги, тяжелая родовая травма, острый внутрисосудистый гемолиз) является основной 11 причиной нарушения гемостаза. При данных видах патологии правильно считать наличие ДВС-синдрома свершившимся фактом и немедленно начинать его раннюю терапию. Постановка диагноза при развернутой клинической стадии с наличием тромбозов, геморрагий, патологической кровоточивости часто приводит к полиорганной недостаточности, снижая шансы на выздоровление (анализ клинических данных). Лабораторная диагностика ДВС-синдрома должна быть срочной, основанной на четко построенной системе простых и легко выполнимых тестов. Вместе с тем эти тесты должны отражать стадии (фазы) развития и формы ДВС-синдрома, а также контролировать проводимое лечение</w:t>
      </w:r>
      <w:r w:rsidRPr="0017627C">
        <w:rPr>
          <w:rFonts w:ascii="Times New Roman" w:hAnsi="Times New Roman" w:cs="Times New Roman"/>
          <w:sz w:val="24"/>
          <w:szCs w:val="24"/>
        </w:rPr>
        <w:t>.</w:t>
      </w:r>
    </w:p>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 xml:space="preserve">Лабораторные показатели в динамике ДВС-синдрома (Е. Т. Зубовская, 2009) </w:t>
      </w:r>
    </w:p>
    <w:tbl>
      <w:tblPr>
        <w:tblStyle w:val="aa"/>
        <w:tblW w:w="8648" w:type="dxa"/>
        <w:tblInd w:w="-431" w:type="dxa"/>
        <w:tblLook w:val="04A0" w:firstRow="1" w:lastRow="0" w:firstColumn="1" w:lastColumn="0" w:noHBand="0" w:noVBand="1"/>
      </w:tblPr>
      <w:tblGrid>
        <w:gridCol w:w="1702"/>
        <w:gridCol w:w="1534"/>
        <w:gridCol w:w="1365"/>
        <w:gridCol w:w="1352"/>
        <w:gridCol w:w="1481"/>
        <w:gridCol w:w="1214"/>
      </w:tblGrid>
      <w:tr w:rsidR="004D12B0" w:rsidRPr="0017627C" w:rsidTr="000C4B4A">
        <w:tc>
          <w:tcPr>
            <w:tcW w:w="1702" w:type="dxa"/>
            <w:vMerge w:val="restart"/>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Показатели</w:t>
            </w:r>
          </w:p>
        </w:tc>
        <w:tc>
          <w:tcPr>
            <w:tcW w:w="1534" w:type="dxa"/>
            <w:vMerge w:val="restart"/>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Норма</w:t>
            </w:r>
          </w:p>
        </w:tc>
        <w:tc>
          <w:tcPr>
            <w:tcW w:w="5412" w:type="dxa"/>
            <w:gridSpan w:val="4"/>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Стадии ДВС-синдрома</w:t>
            </w:r>
          </w:p>
        </w:tc>
      </w:tr>
      <w:tr w:rsidR="004D12B0" w:rsidRPr="0017627C" w:rsidTr="000C4B4A">
        <w:tc>
          <w:tcPr>
            <w:tcW w:w="1702" w:type="dxa"/>
            <w:vMerge/>
          </w:tcPr>
          <w:p w:rsidR="004D12B0" w:rsidRPr="0017627C" w:rsidRDefault="004D12B0" w:rsidP="004D12B0">
            <w:pPr>
              <w:rPr>
                <w:rFonts w:ascii="Times New Roman" w:hAnsi="Times New Roman" w:cs="Times New Roman"/>
                <w:sz w:val="24"/>
                <w:szCs w:val="24"/>
              </w:rPr>
            </w:pPr>
          </w:p>
        </w:tc>
        <w:tc>
          <w:tcPr>
            <w:tcW w:w="1534" w:type="dxa"/>
            <w:vMerge/>
          </w:tcPr>
          <w:p w:rsidR="004D12B0" w:rsidRPr="0017627C" w:rsidRDefault="004D12B0" w:rsidP="004D12B0">
            <w:pPr>
              <w:rPr>
                <w:rFonts w:ascii="Times New Roman" w:hAnsi="Times New Roman" w:cs="Times New Roman"/>
                <w:sz w:val="24"/>
                <w:szCs w:val="24"/>
              </w:rPr>
            </w:pPr>
          </w:p>
        </w:tc>
        <w:tc>
          <w:tcPr>
            <w:tcW w:w="1365" w:type="dxa"/>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1-я</w:t>
            </w:r>
          </w:p>
        </w:tc>
        <w:tc>
          <w:tcPr>
            <w:tcW w:w="1352" w:type="dxa"/>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2-я</w:t>
            </w:r>
          </w:p>
        </w:tc>
        <w:tc>
          <w:tcPr>
            <w:tcW w:w="1481" w:type="dxa"/>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3-я</w:t>
            </w:r>
          </w:p>
        </w:tc>
        <w:tc>
          <w:tcPr>
            <w:tcW w:w="1214" w:type="dxa"/>
          </w:tcPr>
          <w:p w:rsidR="004D12B0" w:rsidRPr="0017627C" w:rsidRDefault="004D12B0" w:rsidP="004D12B0">
            <w:pPr>
              <w:rPr>
                <w:rFonts w:ascii="Times New Roman" w:hAnsi="Times New Roman" w:cs="Times New Roman"/>
                <w:sz w:val="24"/>
                <w:szCs w:val="24"/>
              </w:rPr>
            </w:pPr>
            <w:r w:rsidRPr="0017627C">
              <w:rPr>
                <w:rFonts w:ascii="Times New Roman" w:hAnsi="Times New Roman" w:cs="Times New Roman"/>
                <w:sz w:val="24"/>
                <w:szCs w:val="24"/>
              </w:rPr>
              <w:t>4-я</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Число тромбоцитов</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(150–400)109 /л</w:t>
            </w:r>
          </w:p>
        </w:tc>
        <w:tc>
          <w:tcPr>
            <w:tcW w:w="1365"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300</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150</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100</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Менее 200</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Время свертывания крови, мин</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5–10</w:t>
            </w:r>
          </w:p>
        </w:tc>
        <w:tc>
          <w:tcPr>
            <w:tcW w:w="1365"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менее 4</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10–20</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12–20</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7–10</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АЧТВ, с</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45–55</w:t>
            </w:r>
          </w:p>
        </w:tc>
        <w:tc>
          <w:tcPr>
            <w:tcW w:w="1365"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менее 40</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50</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больше 60</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45</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Фибриноген, г/л</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3,0</w:t>
            </w:r>
          </w:p>
        </w:tc>
        <w:tc>
          <w:tcPr>
            <w:tcW w:w="1365"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2–3</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 и менее</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 и менее</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1,5–2</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ТВ, с</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18–20</w:t>
            </w:r>
          </w:p>
        </w:tc>
        <w:tc>
          <w:tcPr>
            <w:tcW w:w="1365"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18 и менее</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25–28</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30–35</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18–22</w:t>
            </w:r>
          </w:p>
        </w:tc>
      </w:tr>
      <w:tr w:rsidR="004D12B0" w:rsidRPr="0017627C" w:rsidTr="000C4B4A">
        <w:tc>
          <w:tcPr>
            <w:tcW w:w="170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Д-димер, мкг/мл</w:t>
            </w:r>
          </w:p>
        </w:tc>
        <w:tc>
          <w:tcPr>
            <w:tcW w:w="153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менее 0,5</w:t>
            </w:r>
          </w:p>
        </w:tc>
        <w:tc>
          <w:tcPr>
            <w:tcW w:w="1365" w:type="dxa"/>
          </w:tcPr>
          <w:p w:rsidR="004D12B0" w:rsidRPr="0017627C" w:rsidRDefault="000C4B4A" w:rsidP="000C4B4A">
            <w:pPr>
              <w:jc w:val="center"/>
              <w:rPr>
                <w:rFonts w:ascii="Times New Roman" w:hAnsi="Times New Roman" w:cs="Times New Roman"/>
                <w:sz w:val="24"/>
                <w:szCs w:val="24"/>
              </w:rPr>
            </w:pPr>
            <w:r w:rsidRPr="0017627C">
              <w:rPr>
                <w:rFonts w:ascii="Times New Roman" w:hAnsi="Times New Roman" w:cs="Times New Roman"/>
                <w:sz w:val="24"/>
                <w:szCs w:val="24"/>
              </w:rPr>
              <w:t>5–10</w:t>
            </w:r>
          </w:p>
        </w:tc>
        <w:tc>
          <w:tcPr>
            <w:tcW w:w="1352"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10–20</w:t>
            </w:r>
          </w:p>
        </w:tc>
        <w:tc>
          <w:tcPr>
            <w:tcW w:w="1481"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10-20</w:t>
            </w:r>
          </w:p>
        </w:tc>
        <w:tc>
          <w:tcPr>
            <w:tcW w:w="1214" w:type="dxa"/>
          </w:tcPr>
          <w:p w:rsidR="004D12B0"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20–30</w:t>
            </w:r>
          </w:p>
        </w:tc>
      </w:tr>
      <w:tr w:rsidR="000C4B4A" w:rsidRPr="0017627C" w:rsidTr="000C4B4A">
        <w:tc>
          <w:tcPr>
            <w:tcW w:w="1702"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ПВ, с</w:t>
            </w:r>
          </w:p>
        </w:tc>
        <w:tc>
          <w:tcPr>
            <w:tcW w:w="1534"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12–15</w:t>
            </w:r>
          </w:p>
        </w:tc>
        <w:tc>
          <w:tcPr>
            <w:tcW w:w="1365"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12 и менее</w:t>
            </w:r>
          </w:p>
        </w:tc>
        <w:tc>
          <w:tcPr>
            <w:tcW w:w="1352"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 и более</w:t>
            </w:r>
          </w:p>
        </w:tc>
        <w:tc>
          <w:tcPr>
            <w:tcW w:w="1481"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18–22</w:t>
            </w:r>
          </w:p>
        </w:tc>
        <w:tc>
          <w:tcPr>
            <w:tcW w:w="1214"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15–18</w:t>
            </w:r>
          </w:p>
        </w:tc>
      </w:tr>
      <w:tr w:rsidR="000C4B4A" w:rsidRPr="0017627C" w:rsidTr="000C4B4A">
        <w:tc>
          <w:tcPr>
            <w:tcW w:w="1702"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ПДФ</w:t>
            </w:r>
            <w:r w:rsidRPr="0017627C">
              <w:rPr>
                <w:rFonts w:ascii="Times New Roman" w:hAnsi="Times New Roman" w:cs="Times New Roman"/>
                <w:sz w:val="24"/>
                <w:szCs w:val="24"/>
              </w:rPr>
              <w:t>, мкг/мл</w:t>
            </w:r>
          </w:p>
        </w:tc>
        <w:tc>
          <w:tcPr>
            <w:tcW w:w="1534"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0–10</w:t>
            </w:r>
          </w:p>
        </w:tc>
        <w:tc>
          <w:tcPr>
            <w:tcW w:w="1365"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20 и более</w:t>
            </w:r>
          </w:p>
        </w:tc>
        <w:tc>
          <w:tcPr>
            <w:tcW w:w="1352"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15 и более</w:t>
            </w:r>
          </w:p>
        </w:tc>
        <w:tc>
          <w:tcPr>
            <w:tcW w:w="1481"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20–25</w:t>
            </w:r>
          </w:p>
        </w:tc>
        <w:tc>
          <w:tcPr>
            <w:tcW w:w="1214" w:type="dxa"/>
          </w:tcPr>
          <w:p w:rsidR="000C4B4A" w:rsidRPr="0017627C" w:rsidRDefault="000C4B4A" w:rsidP="004D12B0">
            <w:pPr>
              <w:rPr>
                <w:rFonts w:ascii="Times New Roman" w:hAnsi="Times New Roman" w:cs="Times New Roman"/>
                <w:sz w:val="24"/>
                <w:szCs w:val="24"/>
              </w:rPr>
            </w:pPr>
            <w:r w:rsidRPr="0017627C">
              <w:rPr>
                <w:rFonts w:ascii="Times New Roman" w:hAnsi="Times New Roman" w:cs="Times New Roman"/>
                <w:sz w:val="24"/>
                <w:szCs w:val="24"/>
              </w:rPr>
              <w:t>30–40</w:t>
            </w:r>
          </w:p>
        </w:tc>
      </w:tr>
    </w:tbl>
    <w:p w:rsidR="004D12B0" w:rsidRPr="0017627C" w:rsidRDefault="004D12B0" w:rsidP="000C4B4A">
      <w:pPr>
        <w:rPr>
          <w:rFonts w:ascii="Times New Roman" w:hAnsi="Times New Roman" w:cs="Times New Roman"/>
          <w:sz w:val="24"/>
          <w:szCs w:val="24"/>
        </w:rPr>
      </w:pPr>
    </w:p>
    <w:p w:rsidR="0017627C" w:rsidRDefault="000C4B4A" w:rsidP="000C4B4A">
      <w:pPr>
        <w:rPr>
          <w:rFonts w:ascii="Times New Roman" w:hAnsi="Times New Roman" w:cs="Times New Roman"/>
          <w:sz w:val="24"/>
          <w:szCs w:val="24"/>
        </w:rPr>
      </w:pPr>
      <w:r w:rsidRPr="0017627C">
        <w:rPr>
          <w:rFonts w:ascii="Times New Roman" w:hAnsi="Times New Roman" w:cs="Times New Roman"/>
          <w:sz w:val="24"/>
          <w:szCs w:val="24"/>
        </w:rPr>
        <w:lastRenderedPageBreak/>
        <w:t xml:space="preserve">Появление лабораторных признаков диссеминированного внутрисосудистого свертывания опережает по времени развитие клинической картины развернутого ДВС-синдрома на 10–15 часов и даже на 1–2 суток. Несомненным достижением последних лет является кардинальный пересмотр диагностических критериев, основанный на использовании ранних лабораторных маркеров ДВС-синдрома. Лабораторная диагностика обычно делится на экспресс-диагностику, позволяющую получить необходимую исходную информацию о состоянии гемостаза в течение 20–30 мин. </w:t>
      </w:r>
    </w:p>
    <w:p w:rsidR="0017627C" w:rsidRDefault="000C4B4A" w:rsidP="000C4B4A">
      <w:pPr>
        <w:rPr>
          <w:rFonts w:ascii="Times New Roman" w:hAnsi="Times New Roman" w:cs="Times New Roman"/>
          <w:sz w:val="24"/>
          <w:szCs w:val="24"/>
        </w:rPr>
      </w:pPr>
      <w:r w:rsidRPr="0017627C">
        <w:rPr>
          <w:rFonts w:ascii="Times New Roman" w:hAnsi="Times New Roman" w:cs="Times New Roman"/>
          <w:sz w:val="24"/>
          <w:szCs w:val="24"/>
        </w:rPr>
        <w:t>Экспресс-диагн</w:t>
      </w:r>
      <w:r w:rsidR="0017627C">
        <w:rPr>
          <w:rFonts w:ascii="Times New Roman" w:hAnsi="Times New Roman" w:cs="Times New Roman"/>
          <w:sz w:val="24"/>
          <w:szCs w:val="24"/>
        </w:rPr>
        <w:t xml:space="preserve">остика ДВС-синдрома включает: </w:t>
      </w:r>
    </w:p>
    <w:p w:rsidR="0017627C" w:rsidRDefault="000C4B4A" w:rsidP="0017627C">
      <w:pPr>
        <w:pStyle w:val="a3"/>
        <w:numPr>
          <w:ilvl w:val="0"/>
          <w:numId w:val="23"/>
        </w:numPr>
        <w:rPr>
          <w:rFonts w:ascii="Times New Roman" w:hAnsi="Times New Roman" w:cs="Times New Roman"/>
          <w:sz w:val="24"/>
          <w:szCs w:val="24"/>
        </w:rPr>
      </w:pPr>
      <w:r w:rsidRPr="0017627C">
        <w:rPr>
          <w:rFonts w:ascii="Times New Roman" w:hAnsi="Times New Roman" w:cs="Times New Roman"/>
          <w:sz w:val="24"/>
          <w:szCs w:val="24"/>
        </w:rPr>
        <w:t>подсчет количества тромбоцитов (если количество тромбоцитов нормальное, то наличие острой или подострой формы ДВС-синдрома маловероят</w:t>
      </w:r>
      <w:r w:rsidR="0017627C">
        <w:rPr>
          <w:rFonts w:ascii="Times New Roman" w:hAnsi="Times New Roman" w:cs="Times New Roman"/>
          <w:sz w:val="24"/>
          <w:szCs w:val="24"/>
        </w:rPr>
        <w:t>но);</w:t>
      </w:r>
    </w:p>
    <w:p w:rsidR="0017627C" w:rsidRDefault="000C4B4A" w:rsidP="0017627C">
      <w:pPr>
        <w:pStyle w:val="a3"/>
        <w:numPr>
          <w:ilvl w:val="0"/>
          <w:numId w:val="23"/>
        </w:numPr>
        <w:rPr>
          <w:rFonts w:ascii="Times New Roman" w:hAnsi="Times New Roman" w:cs="Times New Roman"/>
          <w:sz w:val="24"/>
          <w:szCs w:val="24"/>
        </w:rPr>
      </w:pPr>
      <w:r w:rsidRPr="0017627C">
        <w:rPr>
          <w:rFonts w:ascii="Times New Roman" w:hAnsi="Times New Roman" w:cs="Times New Roman"/>
          <w:sz w:val="24"/>
          <w:szCs w:val="24"/>
        </w:rPr>
        <w:t>время свертывания цельной венозной крови по Ли-Уайту выявляет дефицит всех плазменны</w:t>
      </w:r>
      <w:r w:rsidR="0017627C">
        <w:rPr>
          <w:rFonts w:ascii="Times New Roman" w:hAnsi="Times New Roman" w:cs="Times New Roman"/>
          <w:sz w:val="24"/>
          <w:szCs w:val="24"/>
        </w:rPr>
        <w:t>х факторов, кроме VII и XIII;</w:t>
      </w:r>
    </w:p>
    <w:p w:rsidR="0017627C" w:rsidRDefault="000C4B4A" w:rsidP="0017627C">
      <w:pPr>
        <w:pStyle w:val="a3"/>
        <w:numPr>
          <w:ilvl w:val="0"/>
          <w:numId w:val="23"/>
        </w:numPr>
        <w:rPr>
          <w:rFonts w:ascii="Times New Roman" w:hAnsi="Times New Roman" w:cs="Times New Roman"/>
          <w:sz w:val="24"/>
          <w:szCs w:val="24"/>
        </w:rPr>
      </w:pPr>
      <w:r w:rsidRPr="0017627C">
        <w:rPr>
          <w:rFonts w:ascii="Times New Roman" w:hAnsi="Times New Roman" w:cs="Times New Roman"/>
          <w:sz w:val="24"/>
          <w:szCs w:val="24"/>
        </w:rPr>
        <w:t xml:space="preserve">определение АЧТВ или АПТВ позволяет установить дефицит всех плазменных факторов, кроме VII и XIII; </w:t>
      </w:r>
    </w:p>
    <w:p w:rsidR="0017627C" w:rsidRDefault="000C4B4A" w:rsidP="0017627C">
      <w:pPr>
        <w:pStyle w:val="a3"/>
        <w:numPr>
          <w:ilvl w:val="0"/>
          <w:numId w:val="23"/>
        </w:numPr>
        <w:rPr>
          <w:rFonts w:ascii="Times New Roman" w:hAnsi="Times New Roman" w:cs="Times New Roman"/>
          <w:sz w:val="24"/>
          <w:szCs w:val="24"/>
        </w:rPr>
      </w:pPr>
      <w:r w:rsidRPr="0017627C">
        <w:rPr>
          <w:rFonts w:ascii="Times New Roman" w:hAnsi="Times New Roman" w:cs="Times New Roman"/>
          <w:sz w:val="24"/>
          <w:szCs w:val="24"/>
        </w:rPr>
        <w:t>ТВ удлиняется в зависимости от фазы ДВС-синдром</w:t>
      </w:r>
      <w:r w:rsidR="0017627C">
        <w:rPr>
          <w:rFonts w:ascii="Times New Roman" w:hAnsi="Times New Roman" w:cs="Times New Roman"/>
          <w:sz w:val="24"/>
          <w:szCs w:val="24"/>
        </w:rPr>
        <w:t>а и концентрации фибриногена;</w:t>
      </w:r>
    </w:p>
    <w:p w:rsidR="0017627C" w:rsidRDefault="000C4B4A" w:rsidP="0017627C">
      <w:pPr>
        <w:pStyle w:val="a3"/>
        <w:numPr>
          <w:ilvl w:val="0"/>
          <w:numId w:val="23"/>
        </w:numPr>
        <w:rPr>
          <w:rFonts w:ascii="Times New Roman" w:hAnsi="Times New Roman" w:cs="Times New Roman"/>
          <w:sz w:val="24"/>
          <w:szCs w:val="24"/>
        </w:rPr>
      </w:pPr>
      <w:r w:rsidRPr="0017627C">
        <w:rPr>
          <w:rFonts w:ascii="Times New Roman" w:hAnsi="Times New Roman" w:cs="Times New Roman"/>
          <w:sz w:val="24"/>
          <w:szCs w:val="24"/>
        </w:rPr>
        <w:t xml:space="preserve">определение уровня фибриногена (снижение концентрации фибриногена менее 1,5 г/л свидетельствует о гипофибриногенемии; ниже 0,5 г/л — об афибриногенемии). </w:t>
      </w:r>
    </w:p>
    <w:p w:rsidR="0017627C" w:rsidRDefault="000C4B4A" w:rsidP="0017627C">
      <w:pPr>
        <w:rPr>
          <w:rFonts w:ascii="Times New Roman" w:hAnsi="Times New Roman" w:cs="Times New Roman"/>
          <w:sz w:val="24"/>
          <w:szCs w:val="24"/>
        </w:rPr>
      </w:pPr>
      <w:r w:rsidRPr="0017627C">
        <w:rPr>
          <w:rFonts w:ascii="Times New Roman" w:hAnsi="Times New Roman" w:cs="Times New Roman"/>
          <w:sz w:val="24"/>
          <w:szCs w:val="24"/>
        </w:rPr>
        <w:t xml:space="preserve">Рабочая программа включает обнаружение РФМК, ПДФ и Д-димеров. Для ранней диагностики ДВС-синдрома характерно наличие в плазме крови ПДФ и Д-димеров. Ключевыми реакциями, характеризующими ДВС-синдром, являются тромбинемия и плазминемия. Выявить тромбинемию можно косвенно на основании обнаружения РФМК и ПДФ. Повышенное содержание Д-димеров является подтверждением тромбинемии, так как Д-димеры являются продуктом деградации только фибрина. Плазминемию достаточно точно можно подтвердить с помощью ПВ и ПИ, которые позволяют определить недостаточность факторов II, V, VII и X и снижение фибриногена. Дополнительные тесты позволяют уточнить концентрацию АТ III, протеина С, свободного протеина S, плазминогена, наличие свободного гемоглобина в плазме и моче. Для первой стадии ДВС-синдрома свойственны гиперкоагуляция и гиперагрегация, уменьшается время свертывания крови, АЧТВ, уровень фибриногена повышается или может быть в норме, активируется фибринолиз, этаноловая проба положительна, также может быть положительной протаминсульфатная проба. Ранним признаком является снижение АТ III и протеина С. Количество тромбоцитов остается в пределах нормы или умеренно снижено. Очень важным для ранней диагностики является обнаружение в плазме крови ПДФ и Д-димеров. ПДФ образуются в результате активации системы фибринолиза, которая активируется в ответ на внутрисосудистое фибринообразование, и обладают антитромбопластиновым, антитромбиновым и антиполимеразным действием. Параллельное определение Д-димеров позволяет выяснить отношение между лизисом фибриногена и фибрина. Д-димеры образуются при расщеплении волокон фибрина. Если концентрация Д-димеров меньше 0,5 мкг/мл, то можно с вероятностью до 98 % исключить тромбоз глубоких вен, тромбоэмболию легочной артерии. Наибольшие сдвиги в системе гемостаза отмечаются во 2-й и 3-й стадиях ДВС-синдрома. Во 2-й стадии показатели </w:t>
      </w:r>
      <w:r w:rsidRPr="0017627C">
        <w:rPr>
          <w:rFonts w:ascii="Times New Roman" w:hAnsi="Times New Roman" w:cs="Times New Roman"/>
          <w:sz w:val="24"/>
          <w:szCs w:val="24"/>
        </w:rPr>
        <w:lastRenderedPageBreak/>
        <w:t xml:space="preserve">гемостазиограммы носят разнонаправленный характер; одни тесты свидетельствуют о нарастании гиперкоагуляции, другие показатели наоборот — о снижении активности факторов свертывания и гипокоагуляции. </w:t>
      </w:r>
    </w:p>
    <w:p w:rsidR="000C4B4A" w:rsidRPr="0017627C" w:rsidRDefault="000C4B4A" w:rsidP="0017627C">
      <w:pPr>
        <w:rPr>
          <w:rFonts w:ascii="Times New Roman" w:hAnsi="Times New Roman" w:cs="Times New Roman"/>
          <w:sz w:val="24"/>
          <w:szCs w:val="24"/>
        </w:rPr>
      </w:pPr>
      <w:r w:rsidRPr="0017627C">
        <w:rPr>
          <w:rFonts w:ascii="Times New Roman" w:hAnsi="Times New Roman" w:cs="Times New Roman"/>
          <w:sz w:val="24"/>
          <w:szCs w:val="24"/>
        </w:rPr>
        <w:t>Время свертывания крови и АЧТВ в этой стадии могут оставаться уменьшенными или быть в пределах нормы. ПИ снижается до 50 % и ниже, уровень фибриногена снижается до 0,9–1,1 г/л и ниже. ТВ увеличено, что обусловлено как гипофибриногенемией, так и антитромбиновым и антиполимеразным действием некоторых ПДФ. В плазме повышено содержание ПДФ, концентрация которых превышает 10 мкг/мл и может доходить до 40–120 мкг/мл, что связано с вторичной активацией фибринолитической системы и появлением в крови плазмина. Количество тромбоцитов падает до (100–50)109 /л, изменяется их качество. Отмечается гипоагрегация тромбоцитов под влиянием ПДФ, коллагена, адреналина. Клинически ДВС-синдром проявляется тогда, когда количество фибриногена становится менее 1 г/л, уровень ПИ менее 45 %, а количество тромбоцитов ниже 90 · 109 /л. В результате продолжающегося диссеминированного внутрисосудистого свертывания и образования множественных тромбоцитарно-фибриновых сгустков в системе микроциркуляции наступает 3-я стадия ДВСсиндрома. Для нее характерно истощение всех звеньев гемостаза: значительное снижение фибриногена до 0,5 г/л и ниже, снижение ПИ менее 40 %, нарастает уровень ПДФ, концентрация плазминогена снижена, ТВ резко увеличено, время свертывания крови не определяется или резко увеличено, выраженная тромбоцитопения и тромбоцитопатия, тромбоциты утрачивают способность к агрегации. Клинически эта стадия ДВС</w:t>
      </w:r>
      <w:r w:rsidR="0017627C" w:rsidRPr="0017627C">
        <w:rPr>
          <w:rFonts w:ascii="Times New Roman" w:hAnsi="Times New Roman" w:cs="Times New Roman"/>
          <w:sz w:val="24"/>
          <w:szCs w:val="24"/>
        </w:rPr>
        <w:t xml:space="preserve"> </w:t>
      </w:r>
      <w:r w:rsidRPr="0017627C">
        <w:rPr>
          <w:rFonts w:ascii="Times New Roman" w:hAnsi="Times New Roman" w:cs="Times New Roman"/>
          <w:sz w:val="24"/>
          <w:szCs w:val="24"/>
        </w:rPr>
        <w:t>синдрома проявляется тяжелым геморрагическим синдромом.</w:t>
      </w:r>
    </w:p>
    <w:p w:rsidR="000C4B4A" w:rsidRPr="0017627C" w:rsidRDefault="000C4B4A" w:rsidP="000C4B4A">
      <w:pPr>
        <w:rPr>
          <w:rFonts w:ascii="Times New Roman" w:hAnsi="Times New Roman" w:cs="Times New Roman"/>
          <w:color w:val="000000" w:themeColor="text1"/>
          <w:sz w:val="24"/>
          <w:szCs w:val="24"/>
        </w:rPr>
      </w:pPr>
      <w:r w:rsidRPr="0017627C">
        <w:rPr>
          <w:rFonts w:ascii="Times New Roman" w:hAnsi="Times New Roman" w:cs="Times New Roman"/>
          <w:sz w:val="24"/>
          <w:szCs w:val="24"/>
        </w:rPr>
        <w:t xml:space="preserve"> Если применяемая терапия оказывается успешной, ДВС-синдром купируется и переходит в 4-ю стадию, клиническая картина которой включает симптомы последствий внутрисосудистого свертывания крови: тромбозов, тромбоэмболии, геморрагии и дистрофических изменений в органах и тканях. Показатели коагулограммы постепенно нормализуются. В этой стадии отмечается также разнонаправленность показателей </w:t>
      </w:r>
      <w:bookmarkStart w:id="0" w:name="_GoBack"/>
      <w:bookmarkEnd w:id="0"/>
      <w:r w:rsidRPr="0017627C">
        <w:rPr>
          <w:rFonts w:ascii="Times New Roman" w:hAnsi="Times New Roman" w:cs="Times New Roman"/>
          <w:sz w:val="24"/>
          <w:szCs w:val="24"/>
        </w:rPr>
        <w:t>гемостазиограммы, которая зависит от исхода болезни.</w:t>
      </w:r>
    </w:p>
    <w:sectPr w:rsidR="000C4B4A" w:rsidRPr="0017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74" w:rsidRDefault="00A22474" w:rsidP="008A63D7">
      <w:pPr>
        <w:spacing w:after="0" w:line="240" w:lineRule="auto"/>
      </w:pPr>
      <w:r>
        <w:separator/>
      </w:r>
    </w:p>
  </w:endnote>
  <w:endnote w:type="continuationSeparator" w:id="0">
    <w:p w:rsidR="00A22474" w:rsidRDefault="00A22474" w:rsidP="008A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74" w:rsidRDefault="00A22474" w:rsidP="008A63D7">
      <w:pPr>
        <w:spacing w:after="0" w:line="240" w:lineRule="auto"/>
      </w:pPr>
      <w:r>
        <w:separator/>
      </w:r>
    </w:p>
  </w:footnote>
  <w:footnote w:type="continuationSeparator" w:id="0">
    <w:p w:rsidR="00A22474" w:rsidRDefault="00A22474" w:rsidP="008A6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2B0"/>
    <w:multiLevelType w:val="multilevel"/>
    <w:tmpl w:val="31E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4DC"/>
    <w:multiLevelType w:val="multilevel"/>
    <w:tmpl w:val="81B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1268"/>
    <w:multiLevelType w:val="hybridMultilevel"/>
    <w:tmpl w:val="99CE1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D3708"/>
    <w:multiLevelType w:val="hybridMultilevel"/>
    <w:tmpl w:val="424E3076"/>
    <w:lvl w:ilvl="0" w:tplc="67D863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713BD"/>
    <w:multiLevelType w:val="multilevel"/>
    <w:tmpl w:val="F87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B1C74"/>
    <w:multiLevelType w:val="hybridMultilevel"/>
    <w:tmpl w:val="0C34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239E1"/>
    <w:multiLevelType w:val="hybridMultilevel"/>
    <w:tmpl w:val="7D4A001C"/>
    <w:lvl w:ilvl="0" w:tplc="ABAEC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E759A"/>
    <w:multiLevelType w:val="hybridMultilevel"/>
    <w:tmpl w:val="DF5A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439EA"/>
    <w:multiLevelType w:val="hybridMultilevel"/>
    <w:tmpl w:val="0DC0C5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743330"/>
    <w:multiLevelType w:val="hybridMultilevel"/>
    <w:tmpl w:val="F1109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50FA4"/>
    <w:multiLevelType w:val="hybridMultilevel"/>
    <w:tmpl w:val="87C4E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C37B8B"/>
    <w:multiLevelType w:val="hybridMultilevel"/>
    <w:tmpl w:val="B08466F4"/>
    <w:lvl w:ilvl="0" w:tplc="67D863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D1851"/>
    <w:multiLevelType w:val="hybridMultilevel"/>
    <w:tmpl w:val="02BC3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60520D"/>
    <w:multiLevelType w:val="hybridMultilevel"/>
    <w:tmpl w:val="4318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7D18FB"/>
    <w:multiLevelType w:val="hybridMultilevel"/>
    <w:tmpl w:val="B1AC8B5C"/>
    <w:lvl w:ilvl="0" w:tplc="ABAECFC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59090B"/>
    <w:multiLevelType w:val="hybridMultilevel"/>
    <w:tmpl w:val="5A3E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EA11A4"/>
    <w:multiLevelType w:val="hybridMultilevel"/>
    <w:tmpl w:val="7304BE42"/>
    <w:lvl w:ilvl="0" w:tplc="ABAEC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E87BA3"/>
    <w:multiLevelType w:val="hybridMultilevel"/>
    <w:tmpl w:val="041624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107A7D"/>
    <w:multiLevelType w:val="multilevel"/>
    <w:tmpl w:val="A4B0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54C1A"/>
    <w:multiLevelType w:val="multilevel"/>
    <w:tmpl w:val="7156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00A58"/>
    <w:multiLevelType w:val="hybridMultilevel"/>
    <w:tmpl w:val="B320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FA4F03"/>
    <w:multiLevelType w:val="hybridMultilevel"/>
    <w:tmpl w:val="F594C5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2327BD"/>
    <w:multiLevelType w:val="hybridMultilevel"/>
    <w:tmpl w:val="6FE070A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9"/>
  </w:num>
  <w:num w:numId="3">
    <w:abstractNumId w:val="20"/>
  </w:num>
  <w:num w:numId="4">
    <w:abstractNumId w:val="17"/>
  </w:num>
  <w:num w:numId="5">
    <w:abstractNumId w:val="16"/>
  </w:num>
  <w:num w:numId="6">
    <w:abstractNumId w:val="6"/>
  </w:num>
  <w:num w:numId="7">
    <w:abstractNumId w:val="11"/>
  </w:num>
  <w:num w:numId="8">
    <w:abstractNumId w:val="3"/>
  </w:num>
  <w:num w:numId="9">
    <w:abstractNumId w:val="14"/>
  </w:num>
  <w:num w:numId="10">
    <w:abstractNumId w:val="4"/>
  </w:num>
  <w:num w:numId="11">
    <w:abstractNumId w:val="1"/>
  </w:num>
  <w:num w:numId="12">
    <w:abstractNumId w:val="18"/>
  </w:num>
  <w:num w:numId="13">
    <w:abstractNumId w:val="0"/>
  </w:num>
  <w:num w:numId="14">
    <w:abstractNumId w:val="19"/>
  </w:num>
  <w:num w:numId="15">
    <w:abstractNumId w:val="12"/>
  </w:num>
  <w:num w:numId="16">
    <w:abstractNumId w:val="7"/>
  </w:num>
  <w:num w:numId="17">
    <w:abstractNumId w:val="10"/>
  </w:num>
  <w:num w:numId="18">
    <w:abstractNumId w:val="22"/>
  </w:num>
  <w:num w:numId="19">
    <w:abstractNumId w:val="2"/>
  </w:num>
  <w:num w:numId="20">
    <w:abstractNumId w:val="5"/>
  </w:num>
  <w:num w:numId="21">
    <w:abstractNumId w:val="8"/>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DC"/>
    <w:rsid w:val="000B4D8A"/>
    <w:rsid w:val="000C4B4A"/>
    <w:rsid w:val="0017627C"/>
    <w:rsid w:val="001B4E8D"/>
    <w:rsid w:val="00266489"/>
    <w:rsid w:val="003565DC"/>
    <w:rsid w:val="003B58FC"/>
    <w:rsid w:val="0043009A"/>
    <w:rsid w:val="004C6C91"/>
    <w:rsid w:val="004D12B0"/>
    <w:rsid w:val="004F2BA7"/>
    <w:rsid w:val="00575E1A"/>
    <w:rsid w:val="005C370A"/>
    <w:rsid w:val="006D4BD4"/>
    <w:rsid w:val="008A63D7"/>
    <w:rsid w:val="008D5C69"/>
    <w:rsid w:val="009F0FFA"/>
    <w:rsid w:val="009F4764"/>
    <w:rsid w:val="00A10C0D"/>
    <w:rsid w:val="00A22474"/>
    <w:rsid w:val="00C31385"/>
    <w:rsid w:val="00C836F8"/>
    <w:rsid w:val="00CB630D"/>
    <w:rsid w:val="00D00CE7"/>
    <w:rsid w:val="00EA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5EB8"/>
  <w15:docId w15:val="{09874C67-D9F3-453E-8EFC-6235E951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F8"/>
  </w:style>
  <w:style w:type="paragraph" w:styleId="2">
    <w:name w:val="heading 2"/>
    <w:basedOn w:val="a"/>
    <w:link w:val="20"/>
    <w:uiPriority w:val="9"/>
    <w:qFormat/>
    <w:rsid w:val="000B4D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B4D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F1A"/>
    <w:pPr>
      <w:ind w:left="720"/>
      <w:contextualSpacing/>
    </w:pPr>
  </w:style>
  <w:style w:type="paragraph" w:styleId="a4">
    <w:name w:val="Normal (Web)"/>
    <w:basedOn w:val="a"/>
    <w:uiPriority w:val="99"/>
    <w:semiHidden/>
    <w:unhideWhenUsed/>
    <w:rsid w:val="006D4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A63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3D7"/>
  </w:style>
  <w:style w:type="paragraph" w:styleId="a7">
    <w:name w:val="footer"/>
    <w:basedOn w:val="a"/>
    <w:link w:val="a8"/>
    <w:uiPriority w:val="99"/>
    <w:unhideWhenUsed/>
    <w:rsid w:val="008A63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3D7"/>
  </w:style>
  <w:style w:type="character" w:customStyle="1" w:styleId="smallcaps">
    <w:name w:val="smallcaps"/>
    <w:basedOn w:val="a0"/>
    <w:rsid w:val="000B4D8A"/>
  </w:style>
  <w:style w:type="character" w:styleId="a9">
    <w:name w:val="Hyperlink"/>
    <w:basedOn w:val="a0"/>
    <w:uiPriority w:val="99"/>
    <w:semiHidden/>
    <w:unhideWhenUsed/>
    <w:rsid w:val="000B4D8A"/>
    <w:rPr>
      <w:color w:val="0000FF"/>
      <w:u w:val="single"/>
    </w:rPr>
  </w:style>
  <w:style w:type="character" w:customStyle="1" w:styleId="20">
    <w:name w:val="Заголовок 2 Знак"/>
    <w:basedOn w:val="a0"/>
    <w:link w:val="2"/>
    <w:uiPriority w:val="9"/>
    <w:rsid w:val="000B4D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B4D8A"/>
    <w:rPr>
      <w:rFonts w:asciiTheme="majorHAnsi" w:eastAsiaTheme="majorEastAsia" w:hAnsiTheme="majorHAnsi" w:cstheme="majorBidi"/>
      <w:color w:val="243F60" w:themeColor="accent1" w:themeShade="7F"/>
      <w:sz w:val="24"/>
      <w:szCs w:val="24"/>
    </w:rPr>
  </w:style>
  <w:style w:type="table" w:styleId="aa">
    <w:name w:val="Table Grid"/>
    <w:basedOn w:val="a1"/>
    <w:uiPriority w:val="59"/>
    <w:rsid w:val="004D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4B4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4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195">
      <w:bodyDiv w:val="1"/>
      <w:marLeft w:val="0"/>
      <w:marRight w:val="0"/>
      <w:marTop w:val="0"/>
      <w:marBottom w:val="0"/>
      <w:divBdr>
        <w:top w:val="none" w:sz="0" w:space="0" w:color="auto"/>
        <w:left w:val="none" w:sz="0" w:space="0" w:color="auto"/>
        <w:bottom w:val="none" w:sz="0" w:space="0" w:color="auto"/>
        <w:right w:val="none" w:sz="0" w:space="0" w:color="auto"/>
      </w:divBdr>
    </w:div>
    <w:div w:id="530456116">
      <w:bodyDiv w:val="1"/>
      <w:marLeft w:val="0"/>
      <w:marRight w:val="0"/>
      <w:marTop w:val="0"/>
      <w:marBottom w:val="0"/>
      <w:divBdr>
        <w:top w:val="none" w:sz="0" w:space="0" w:color="auto"/>
        <w:left w:val="none" w:sz="0" w:space="0" w:color="auto"/>
        <w:bottom w:val="none" w:sz="0" w:space="0" w:color="auto"/>
        <w:right w:val="none" w:sz="0" w:space="0" w:color="auto"/>
      </w:divBdr>
      <w:divsChild>
        <w:div w:id="965547434">
          <w:marLeft w:val="0"/>
          <w:marRight w:val="0"/>
          <w:marTop w:val="0"/>
          <w:marBottom w:val="0"/>
          <w:divBdr>
            <w:top w:val="none" w:sz="0" w:space="0" w:color="auto"/>
            <w:left w:val="none" w:sz="0" w:space="0" w:color="auto"/>
            <w:bottom w:val="none" w:sz="0" w:space="0" w:color="auto"/>
            <w:right w:val="none" w:sz="0" w:space="0" w:color="auto"/>
          </w:divBdr>
          <w:divsChild>
            <w:div w:id="193545591">
              <w:marLeft w:val="0"/>
              <w:marRight w:val="0"/>
              <w:marTop w:val="0"/>
              <w:marBottom w:val="0"/>
              <w:divBdr>
                <w:top w:val="none" w:sz="0" w:space="0" w:color="auto"/>
                <w:left w:val="none" w:sz="0" w:space="0" w:color="auto"/>
                <w:bottom w:val="none" w:sz="0" w:space="0" w:color="auto"/>
                <w:right w:val="none" w:sz="0" w:space="0" w:color="auto"/>
              </w:divBdr>
            </w:div>
            <w:div w:id="2947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9669">
      <w:bodyDiv w:val="1"/>
      <w:marLeft w:val="0"/>
      <w:marRight w:val="0"/>
      <w:marTop w:val="0"/>
      <w:marBottom w:val="0"/>
      <w:divBdr>
        <w:top w:val="none" w:sz="0" w:space="0" w:color="auto"/>
        <w:left w:val="none" w:sz="0" w:space="0" w:color="auto"/>
        <w:bottom w:val="none" w:sz="0" w:space="0" w:color="auto"/>
        <w:right w:val="none" w:sz="0" w:space="0" w:color="auto"/>
      </w:divBdr>
      <w:divsChild>
        <w:div w:id="637608743">
          <w:marLeft w:val="0"/>
          <w:marRight w:val="0"/>
          <w:marTop w:val="0"/>
          <w:marBottom w:val="0"/>
          <w:divBdr>
            <w:top w:val="none" w:sz="0" w:space="0" w:color="auto"/>
            <w:left w:val="none" w:sz="0" w:space="0" w:color="auto"/>
            <w:bottom w:val="none" w:sz="0" w:space="0" w:color="auto"/>
            <w:right w:val="none" w:sz="0" w:space="0" w:color="auto"/>
          </w:divBdr>
        </w:div>
        <w:div w:id="1547836339">
          <w:marLeft w:val="0"/>
          <w:marRight w:val="0"/>
          <w:marTop w:val="0"/>
          <w:marBottom w:val="0"/>
          <w:divBdr>
            <w:top w:val="none" w:sz="0" w:space="0" w:color="auto"/>
            <w:left w:val="none" w:sz="0" w:space="0" w:color="auto"/>
            <w:bottom w:val="none" w:sz="0" w:space="0" w:color="auto"/>
            <w:right w:val="none" w:sz="0" w:space="0" w:color="auto"/>
          </w:divBdr>
          <w:divsChild>
            <w:div w:id="1584728260">
              <w:marLeft w:val="0"/>
              <w:marRight w:val="0"/>
              <w:marTop w:val="0"/>
              <w:marBottom w:val="0"/>
              <w:divBdr>
                <w:top w:val="none" w:sz="0" w:space="0" w:color="auto"/>
                <w:left w:val="none" w:sz="0" w:space="0" w:color="auto"/>
                <w:bottom w:val="none" w:sz="0" w:space="0" w:color="auto"/>
                <w:right w:val="none" w:sz="0" w:space="0" w:color="auto"/>
              </w:divBdr>
            </w:div>
            <w:div w:id="1063411102">
              <w:marLeft w:val="0"/>
              <w:marRight w:val="0"/>
              <w:marTop w:val="0"/>
              <w:marBottom w:val="0"/>
              <w:divBdr>
                <w:top w:val="none" w:sz="0" w:space="0" w:color="auto"/>
                <w:left w:val="none" w:sz="0" w:space="0" w:color="auto"/>
                <w:bottom w:val="none" w:sz="0" w:space="0" w:color="auto"/>
                <w:right w:val="none" w:sz="0" w:space="0" w:color="auto"/>
              </w:divBdr>
            </w:div>
            <w:div w:id="720712811">
              <w:marLeft w:val="0"/>
              <w:marRight w:val="0"/>
              <w:marTop w:val="0"/>
              <w:marBottom w:val="0"/>
              <w:divBdr>
                <w:top w:val="none" w:sz="0" w:space="0" w:color="auto"/>
                <w:left w:val="none" w:sz="0" w:space="0" w:color="auto"/>
                <w:bottom w:val="none" w:sz="0" w:space="0" w:color="auto"/>
                <w:right w:val="none" w:sz="0" w:space="0" w:color="auto"/>
              </w:divBdr>
            </w:div>
            <w:div w:id="395053663">
              <w:marLeft w:val="0"/>
              <w:marRight w:val="0"/>
              <w:marTop w:val="0"/>
              <w:marBottom w:val="0"/>
              <w:divBdr>
                <w:top w:val="none" w:sz="0" w:space="0" w:color="auto"/>
                <w:left w:val="none" w:sz="0" w:space="0" w:color="auto"/>
                <w:bottom w:val="none" w:sz="0" w:space="0" w:color="auto"/>
                <w:right w:val="none" w:sz="0" w:space="0" w:color="auto"/>
              </w:divBdr>
            </w:div>
          </w:divsChild>
        </w:div>
        <w:div w:id="599919090">
          <w:marLeft w:val="0"/>
          <w:marRight w:val="0"/>
          <w:marTop w:val="0"/>
          <w:marBottom w:val="0"/>
          <w:divBdr>
            <w:top w:val="none" w:sz="0" w:space="0" w:color="auto"/>
            <w:left w:val="none" w:sz="0" w:space="0" w:color="auto"/>
            <w:bottom w:val="none" w:sz="0" w:space="0" w:color="auto"/>
            <w:right w:val="none" w:sz="0" w:space="0" w:color="auto"/>
          </w:divBdr>
        </w:div>
        <w:div w:id="2062829083">
          <w:marLeft w:val="0"/>
          <w:marRight w:val="0"/>
          <w:marTop w:val="0"/>
          <w:marBottom w:val="0"/>
          <w:divBdr>
            <w:top w:val="none" w:sz="0" w:space="0" w:color="auto"/>
            <w:left w:val="none" w:sz="0" w:space="0" w:color="auto"/>
            <w:bottom w:val="none" w:sz="0" w:space="0" w:color="auto"/>
            <w:right w:val="none" w:sz="0" w:space="0" w:color="auto"/>
          </w:divBdr>
          <w:divsChild>
            <w:div w:id="898400118">
              <w:marLeft w:val="0"/>
              <w:marRight w:val="0"/>
              <w:marTop w:val="0"/>
              <w:marBottom w:val="0"/>
              <w:divBdr>
                <w:top w:val="none" w:sz="0" w:space="0" w:color="auto"/>
                <w:left w:val="none" w:sz="0" w:space="0" w:color="auto"/>
                <w:bottom w:val="none" w:sz="0" w:space="0" w:color="auto"/>
                <w:right w:val="none" w:sz="0" w:space="0" w:color="auto"/>
              </w:divBdr>
            </w:div>
            <w:div w:id="2054888643">
              <w:marLeft w:val="0"/>
              <w:marRight w:val="0"/>
              <w:marTop w:val="0"/>
              <w:marBottom w:val="0"/>
              <w:divBdr>
                <w:top w:val="none" w:sz="0" w:space="0" w:color="auto"/>
                <w:left w:val="none" w:sz="0" w:space="0" w:color="auto"/>
                <w:bottom w:val="none" w:sz="0" w:space="0" w:color="auto"/>
                <w:right w:val="none" w:sz="0" w:space="0" w:color="auto"/>
              </w:divBdr>
            </w:div>
            <w:div w:id="2085444708">
              <w:marLeft w:val="0"/>
              <w:marRight w:val="0"/>
              <w:marTop w:val="0"/>
              <w:marBottom w:val="0"/>
              <w:divBdr>
                <w:top w:val="none" w:sz="0" w:space="0" w:color="auto"/>
                <w:left w:val="none" w:sz="0" w:space="0" w:color="auto"/>
                <w:bottom w:val="none" w:sz="0" w:space="0" w:color="auto"/>
                <w:right w:val="none" w:sz="0" w:space="0" w:color="auto"/>
              </w:divBdr>
            </w:div>
            <w:div w:id="282880009">
              <w:marLeft w:val="0"/>
              <w:marRight w:val="0"/>
              <w:marTop w:val="0"/>
              <w:marBottom w:val="0"/>
              <w:divBdr>
                <w:top w:val="none" w:sz="0" w:space="0" w:color="auto"/>
                <w:left w:val="none" w:sz="0" w:space="0" w:color="auto"/>
                <w:bottom w:val="none" w:sz="0" w:space="0" w:color="auto"/>
                <w:right w:val="none" w:sz="0" w:space="0" w:color="auto"/>
              </w:divBdr>
            </w:div>
            <w:div w:id="996038028">
              <w:marLeft w:val="0"/>
              <w:marRight w:val="0"/>
              <w:marTop w:val="0"/>
              <w:marBottom w:val="0"/>
              <w:divBdr>
                <w:top w:val="none" w:sz="0" w:space="0" w:color="auto"/>
                <w:left w:val="none" w:sz="0" w:space="0" w:color="auto"/>
                <w:bottom w:val="none" w:sz="0" w:space="0" w:color="auto"/>
                <w:right w:val="none" w:sz="0" w:space="0" w:color="auto"/>
              </w:divBdr>
            </w:div>
          </w:divsChild>
        </w:div>
        <w:div w:id="639380714">
          <w:marLeft w:val="0"/>
          <w:marRight w:val="0"/>
          <w:marTop w:val="0"/>
          <w:marBottom w:val="0"/>
          <w:divBdr>
            <w:top w:val="none" w:sz="0" w:space="0" w:color="auto"/>
            <w:left w:val="none" w:sz="0" w:space="0" w:color="auto"/>
            <w:bottom w:val="none" w:sz="0" w:space="0" w:color="auto"/>
            <w:right w:val="none" w:sz="0" w:space="0" w:color="auto"/>
          </w:divBdr>
        </w:div>
      </w:divsChild>
    </w:div>
    <w:div w:id="763109165">
      <w:bodyDiv w:val="1"/>
      <w:marLeft w:val="0"/>
      <w:marRight w:val="0"/>
      <w:marTop w:val="0"/>
      <w:marBottom w:val="0"/>
      <w:divBdr>
        <w:top w:val="none" w:sz="0" w:space="0" w:color="auto"/>
        <w:left w:val="none" w:sz="0" w:space="0" w:color="auto"/>
        <w:bottom w:val="none" w:sz="0" w:space="0" w:color="auto"/>
        <w:right w:val="none" w:sz="0" w:space="0" w:color="auto"/>
      </w:divBdr>
      <w:divsChild>
        <w:div w:id="1286306400">
          <w:marLeft w:val="0"/>
          <w:marRight w:val="0"/>
          <w:marTop w:val="0"/>
          <w:marBottom w:val="0"/>
          <w:divBdr>
            <w:top w:val="none" w:sz="0" w:space="0" w:color="auto"/>
            <w:left w:val="none" w:sz="0" w:space="0" w:color="auto"/>
            <w:bottom w:val="none" w:sz="0" w:space="0" w:color="auto"/>
            <w:right w:val="none" w:sz="0" w:space="0" w:color="auto"/>
          </w:divBdr>
          <w:divsChild>
            <w:div w:id="1982997095">
              <w:marLeft w:val="0"/>
              <w:marRight w:val="0"/>
              <w:marTop w:val="0"/>
              <w:marBottom w:val="0"/>
              <w:divBdr>
                <w:top w:val="none" w:sz="0" w:space="0" w:color="auto"/>
                <w:left w:val="none" w:sz="0" w:space="0" w:color="auto"/>
                <w:bottom w:val="none" w:sz="0" w:space="0" w:color="auto"/>
                <w:right w:val="none" w:sz="0" w:space="0" w:color="auto"/>
              </w:divBdr>
            </w:div>
            <w:div w:id="1605304776">
              <w:marLeft w:val="0"/>
              <w:marRight w:val="0"/>
              <w:marTop w:val="0"/>
              <w:marBottom w:val="0"/>
              <w:divBdr>
                <w:top w:val="none" w:sz="0" w:space="0" w:color="auto"/>
                <w:left w:val="none" w:sz="0" w:space="0" w:color="auto"/>
                <w:bottom w:val="none" w:sz="0" w:space="0" w:color="auto"/>
                <w:right w:val="none" w:sz="0" w:space="0" w:color="auto"/>
              </w:divBdr>
            </w:div>
          </w:divsChild>
        </w:div>
        <w:div w:id="437454983">
          <w:marLeft w:val="0"/>
          <w:marRight w:val="0"/>
          <w:marTop w:val="0"/>
          <w:marBottom w:val="0"/>
          <w:divBdr>
            <w:top w:val="none" w:sz="0" w:space="0" w:color="auto"/>
            <w:left w:val="none" w:sz="0" w:space="0" w:color="auto"/>
            <w:bottom w:val="none" w:sz="0" w:space="0" w:color="auto"/>
            <w:right w:val="none" w:sz="0" w:space="0" w:color="auto"/>
          </w:divBdr>
          <w:divsChild>
            <w:div w:id="8027854">
              <w:marLeft w:val="0"/>
              <w:marRight w:val="0"/>
              <w:marTop w:val="0"/>
              <w:marBottom w:val="0"/>
              <w:divBdr>
                <w:top w:val="none" w:sz="0" w:space="0" w:color="auto"/>
                <w:left w:val="none" w:sz="0" w:space="0" w:color="auto"/>
                <w:bottom w:val="none" w:sz="0" w:space="0" w:color="auto"/>
                <w:right w:val="none" w:sz="0" w:space="0" w:color="auto"/>
              </w:divBdr>
              <w:divsChild>
                <w:div w:id="944776795">
                  <w:marLeft w:val="0"/>
                  <w:marRight w:val="0"/>
                  <w:marTop w:val="0"/>
                  <w:marBottom w:val="0"/>
                  <w:divBdr>
                    <w:top w:val="none" w:sz="0" w:space="0" w:color="auto"/>
                    <w:left w:val="none" w:sz="0" w:space="0" w:color="auto"/>
                    <w:bottom w:val="none" w:sz="0" w:space="0" w:color="auto"/>
                    <w:right w:val="none" w:sz="0" w:space="0" w:color="auto"/>
                  </w:divBdr>
                </w:div>
              </w:divsChild>
            </w:div>
            <w:div w:id="1565795750">
              <w:marLeft w:val="0"/>
              <w:marRight w:val="0"/>
              <w:marTop w:val="0"/>
              <w:marBottom w:val="0"/>
              <w:divBdr>
                <w:top w:val="none" w:sz="0" w:space="0" w:color="auto"/>
                <w:left w:val="none" w:sz="0" w:space="0" w:color="auto"/>
                <w:bottom w:val="none" w:sz="0" w:space="0" w:color="auto"/>
                <w:right w:val="none" w:sz="0" w:space="0" w:color="auto"/>
              </w:divBdr>
            </w:div>
            <w:div w:id="1055810266">
              <w:marLeft w:val="0"/>
              <w:marRight w:val="0"/>
              <w:marTop w:val="0"/>
              <w:marBottom w:val="0"/>
              <w:divBdr>
                <w:top w:val="none" w:sz="0" w:space="0" w:color="auto"/>
                <w:left w:val="none" w:sz="0" w:space="0" w:color="auto"/>
                <w:bottom w:val="none" w:sz="0" w:space="0" w:color="auto"/>
                <w:right w:val="none" w:sz="0" w:space="0" w:color="auto"/>
              </w:divBdr>
              <w:divsChild>
                <w:div w:id="1829400647">
                  <w:marLeft w:val="0"/>
                  <w:marRight w:val="0"/>
                  <w:marTop w:val="0"/>
                  <w:marBottom w:val="0"/>
                  <w:divBdr>
                    <w:top w:val="none" w:sz="0" w:space="0" w:color="auto"/>
                    <w:left w:val="none" w:sz="0" w:space="0" w:color="auto"/>
                    <w:bottom w:val="none" w:sz="0" w:space="0" w:color="auto"/>
                    <w:right w:val="none" w:sz="0" w:space="0" w:color="auto"/>
                  </w:divBdr>
                </w:div>
                <w:div w:id="1656300954">
                  <w:marLeft w:val="0"/>
                  <w:marRight w:val="0"/>
                  <w:marTop w:val="0"/>
                  <w:marBottom w:val="0"/>
                  <w:divBdr>
                    <w:top w:val="none" w:sz="0" w:space="0" w:color="auto"/>
                    <w:left w:val="none" w:sz="0" w:space="0" w:color="auto"/>
                    <w:bottom w:val="none" w:sz="0" w:space="0" w:color="auto"/>
                    <w:right w:val="none" w:sz="0" w:space="0" w:color="auto"/>
                  </w:divBdr>
                  <w:divsChild>
                    <w:div w:id="506215713">
                      <w:marLeft w:val="0"/>
                      <w:marRight w:val="0"/>
                      <w:marTop w:val="0"/>
                      <w:marBottom w:val="0"/>
                      <w:divBdr>
                        <w:top w:val="none" w:sz="0" w:space="0" w:color="auto"/>
                        <w:left w:val="none" w:sz="0" w:space="0" w:color="auto"/>
                        <w:bottom w:val="none" w:sz="0" w:space="0" w:color="auto"/>
                        <w:right w:val="none" w:sz="0" w:space="0" w:color="auto"/>
                      </w:divBdr>
                    </w:div>
                    <w:div w:id="759449153">
                      <w:marLeft w:val="0"/>
                      <w:marRight w:val="0"/>
                      <w:marTop w:val="0"/>
                      <w:marBottom w:val="0"/>
                      <w:divBdr>
                        <w:top w:val="none" w:sz="0" w:space="0" w:color="auto"/>
                        <w:left w:val="none" w:sz="0" w:space="0" w:color="auto"/>
                        <w:bottom w:val="none" w:sz="0" w:space="0" w:color="auto"/>
                        <w:right w:val="none" w:sz="0" w:space="0" w:color="auto"/>
                      </w:divBdr>
                    </w:div>
                    <w:div w:id="1268196932">
                      <w:marLeft w:val="0"/>
                      <w:marRight w:val="0"/>
                      <w:marTop w:val="0"/>
                      <w:marBottom w:val="0"/>
                      <w:divBdr>
                        <w:top w:val="none" w:sz="0" w:space="0" w:color="auto"/>
                        <w:left w:val="none" w:sz="0" w:space="0" w:color="auto"/>
                        <w:bottom w:val="none" w:sz="0" w:space="0" w:color="auto"/>
                        <w:right w:val="none" w:sz="0" w:space="0" w:color="auto"/>
                      </w:divBdr>
                    </w:div>
                    <w:div w:id="549221827">
                      <w:marLeft w:val="0"/>
                      <w:marRight w:val="0"/>
                      <w:marTop w:val="0"/>
                      <w:marBottom w:val="0"/>
                      <w:divBdr>
                        <w:top w:val="none" w:sz="0" w:space="0" w:color="auto"/>
                        <w:left w:val="none" w:sz="0" w:space="0" w:color="auto"/>
                        <w:bottom w:val="none" w:sz="0" w:space="0" w:color="auto"/>
                        <w:right w:val="none" w:sz="0" w:space="0" w:color="auto"/>
                      </w:divBdr>
                    </w:div>
                  </w:divsChild>
                </w:div>
                <w:div w:id="455566812">
                  <w:marLeft w:val="0"/>
                  <w:marRight w:val="0"/>
                  <w:marTop w:val="0"/>
                  <w:marBottom w:val="0"/>
                  <w:divBdr>
                    <w:top w:val="none" w:sz="0" w:space="0" w:color="auto"/>
                    <w:left w:val="none" w:sz="0" w:space="0" w:color="auto"/>
                    <w:bottom w:val="none" w:sz="0" w:space="0" w:color="auto"/>
                    <w:right w:val="none" w:sz="0" w:space="0" w:color="auto"/>
                  </w:divBdr>
                </w:div>
              </w:divsChild>
            </w:div>
            <w:div w:id="1366326989">
              <w:marLeft w:val="0"/>
              <w:marRight w:val="0"/>
              <w:marTop w:val="0"/>
              <w:marBottom w:val="0"/>
              <w:divBdr>
                <w:top w:val="none" w:sz="0" w:space="0" w:color="auto"/>
                <w:left w:val="none" w:sz="0" w:space="0" w:color="auto"/>
                <w:bottom w:val="none" w:sz="0" w:space="0" w:color="auto"/>
                <w:right w:val="none" w:sz="0" w:space="0" w:color="auto"/>
              </w:divBdr>
              <w:divsChild>
                <w:div w:id="1741975423">
                  <w:marLeft w:val="0"/>
                  <w:marRight w:val="0"/>
                  <w:marTop w:val="0"/>
                  <w:marBottom w:val="0"/>
                  <w:divBdr>
                    <w:top w:val="none" w:sz="0" w:space="0" w:color="auto"/>
                    <w:left w:val="none" w:sz="0" w:space="0" w:color="auto"/>
                    <w:bottom w:val="none" w:sz="0" w:space="0" w:color="auto"/>
                    <w:right w:val="none" w:sz="0" w:space="0" w:color="auto"/>
                  </w:divBdr>
                </w:div>
                <w:div w:id="1458988474">
                  <w:marLeft w:val="0"/>
                  <w:marRight w:val="0"/>
                  <w:marTop w:val="0"/>
                  <w:marBottom w:val="0"/>
                  <w:divBdr>
                    <w:top w:val="none" w:sz="0" w:space="0" w:color="auto"/>
                    <w:left w:val="none" w:sz="0" w:space="0" w:color="auto"/>
                    <w:bottom w:val="none" w:sz="0" w:space="0" w:color="auto"/>
                    <w:right w:val="none" w:sz="0" w:space="0" w:color="auto"/>
                  </w:divBdr>
                  <w:divsChild>
                    <w:div w:id="1523589812">
                      <w:marLeft w:val="0"/>
                      <w:marRight w:val="0"/>
                      <w:marTop w:val="0"/>
                      <w:marBottom w:val="0"/>
                      <w:divBdr>
                        <w:top w:val="none" w:sz="0" w:space="0" w:color="auto"/>
                        <w:left w:val="none" w:sz="0" w:space="0" w:color="auto"/>
                        <w:bottom w:val="none" w:sz="0" w:space="0" w:color="auto"/>
                        <w:right w:val="none" w:sz="0" w:space="0" w:color="auto"/>
                      </w:divBdr>
                    </w:div>
                    <w:div w:id="1596404398">
                      <w:marLeft w:val="0"/>
                      <w:marRight w:val="0"/>
                      <w:marTop w:val="0"/>
                      <w:marBottom w:val="0"/>
                      <w:divBdr>
                        <w:top w:val="none" w:sz="0" w:space="0" w:color="auto"/>
                        <w:left w:val="none" w:sz="0" w:space="0" w:color="auto"/>
                        <w:bottom w:val="none" w:sz="0" w:space="0" w:color="auto"/>
                        <w:right w:val="none" w:sz="0" w:space="0" w:color="auto"/>
                      </w:divBdr>
                    </w:div>
                    <w:div w:id="1119302028">
                      <w:marLeft w:val="0"/>
                      <w:marRight w:val="0"/>
                      <w:marTop w:val="0"/>
                      <w:marBottom w:val="0"/>
                      <w:divBdr>
                        <w:top w:val="none" w:sz="0" w:space="0" w:color="auto"/>
                        <w:left w:val="none" w:sz="0" w:space="0" w:color="auto"/>
                        <w:bottom w:val="none" w:sz="0" w:space="0" w:color="auto"/>
                        <w:right w:val="none" w:sz="0" w:space="0" w:color="auto"/>
                      </w:divBdr>
                    </w:div>
                    <w:div w:id="1526020656">
                      <w:marLeft w:val="0"/>
                      <w:marRight w:val="0"/>
                      <w:marTop w:val="0"/>
                      <w:marBottom w:val="0"/>
                      <w:divBdr>
                        <w:top w:val="none" w:sz="0" w:space="0" w:color="auto"/>
                        <w:left w:val="none" w:sz="0" w:space="0" w:color="auto"/>
                        <w:bottom w:val="none" w:sz="0" w:space="0" w:color="auto"/>
                        <w:right w:val="none" w:sz="0" w:space="0" w:color="auto"/>
                      </w:divBdr>
                    </w:div>
                  </w:divsChild>
                </w:div>
                <w:div w:id="11999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0322">
      <w:bodyDiv w:val="1"/>
      <w:marLeft w:val="0"/>
      <w:marRight w:val="0"/>
      <w:marTop w:val="0"/>
      <w:marBottom w:val="0"/>
      <w:divBdr>
        <w:top w:val="none" w:sz="0" w:space="0" w:color="auto"/>
        <w:left w:val="none" w:sz="0" w:space="0" w:color="auto"/>
        <w:bottom w:val="none" w:sz="0" w:space="0" w:color="auto"/>
        <w:right w:val="none" w:sz="0" w:space="0" w:color="auto"/>
      </w:divBdr>
    </w:div>
    <w:div w:id="1057624463">
      <w:bodyDiv w:val="1"/>
      <w:marLeft w:val="0"/>
      <w:marRight w:val="0"/>
      <w:marTop w:val="0"/>
      <w:marBottom w:val="0"/>
      <w:divBdr>
        <w:top w:val="none" w:sz="0" w:space="0" w:color="auto"/>
        <w:left w:val="none" w:sz="0" w:space="0" w:color="auto"/>
        <w:bottom w:val="none" w:sz="0" w:space="0" w:color="auto"/>
        <w:right w:val="none" w:sz="0" w:space="0" w:color="auto"/>
      </w:divBdr>
    </w:div>
    <w:div w:id="1059212459">
      <w:bodyDiv w:val="1"/>
      <w:marLeft w:val="0"/>
      <w:marRight w:val="0"/>
      <w:marTop w:val="0"/>
      <w:marBottom w:val="0"/>
      <w:divBdr>
        <w:top w:val="none" w:sz="0" w:space="0" w:color="auto"/>
        <w:left w:val="none" w:sz="0" w:space="0" w:color="auto"/>
        <w:bottom w:val="none" w:sz="0" w:space="0" w:color="auto"/>
        <w:right w:val="none" w:sz="0" w:space="0" w:color="auto"/>
      </w:divBdr>
    </w:div>
    <w:div w:id="1245413046">
      <w:bodyDiv w:val="1"/>
      <w:marLeft w:val="0"/>
      <w:marRight w:val="0"/>
      <w:marTop w:val="0"/>
      <w:marBottom w:val="0"/>
      <w:divBdr>
        <w:top w:val="none" w:sz="0" w:space="0" w:color="auto"/>
        <w:left w:val="none" w:sz="0" w:space="0" w:color="auto"/>
        <w:bottom w:val="none" w:sz="0" w:space="0" w:color="auto"/>
        <w:right w:val="none" w:sz="0" w:space="0" w:color="auto"/>
      </w:divBdr>
    </w:div>
    <w:div w:id="1449161424">
      <w:bodyDiv w:val="1"/>
      <w:marLeft w:val="0"/>
      <w:marRight w:val="0"/>
      <w:marTop w:val="0"/>
      <w:marBottom w:val="0"/>
      <w:divBdr>
        <w:top w:val="none" w:sz="0" w:space="0" w:color="auto"/>
        <w:left w:val="none" w:sz="0" w:space="0" w:color="auto"/>
        <w:bottom w:val="none" w:sz="0" w:space="0" w:color="auto"/>
        <w:right w:val="none" w:sz="0" w:space="0" w:color="auto"/>
      </w:divBdr>
    </w:div>
    <w:div w:id="1554266606">
      <w:bodyDiv w:val="1"/>
      <w:marLeft w:val="0"/>
      <w:marRight w:val="0"/>
      <w:marTop w:val="0"/>
      <w:marBottom w:val="0"/>
      <w:divBdr>
        <w:top w:val="none" w:sz="0" w:space="0" w:color="auto"/>
        <w:left w:val="none" w:sz="0" w:space="0" w:color="auto"/>
        <w:bottom w:val="none" w:sz="0" w:space="0" w:color="auto"/>
        <w:right w:val="none" w:sz="0" w:space="0" w:color="auto"/>
      </w:divBdr>
    </w:div>
    <w:div w:id="1557668656">
      <w:bodyDiv w:val="1"/>
      <w:marLeft w:val="0"/>
      <w:marRight w:val="0"/>
      <w:marTop w:val="0"/>
      <w:marBottom w:val="0"/>
      <w:divBdr>
        <w:top w:val="none" w:sz="0" w:space="0" w:color="auto"/>
        <w:left w:val="none" w:sz="0" w:space="0" w:color="auto"/>
        <w:bottom w:val="none" w:sz="0" w:space="0" w:color="auto"/>
        <w:right w:val="none" w:sz="0" w:space="0" w:color="auto"/>
      </w:divBdr>
    </w:div>
    <w:div w:id="1758744145">
      <w:bodyDiv w:val="1"/>
      <w:marLeft w:val="0"/>
      <w:marRight w:val="0"/>
      <w:marTop w:val="0"/>
      <w:marBottom w:val="0"/>
      <w:divBdr>
        <w:top w:val="none" w:sz="0" w:space="0" w:color="auto"/>
        <w:left w:val="none" w:sz="0" w:space="0" w:color="auto"/>
        <w:bottom w:val="none" w:sz="0" w:space="0" w:color="auto"/>
        <w:right w:val="none" w:sz="0" w:space="0" w:color="auto"/>
      </w:divBdr>
    </w:div>
    <w:div w:id="20758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2020-05-28T18:15:00Z</cp:lastPrinted>
  <dcterms:created xsi:type="dcterms:W3CDTF">2020-05-28T22:01:00Z</dcterms:created>
  <dcterms:modified xsi:type="dcterms:W3CDTF">2020-05-28T22:01:00Z</dcterms:modified>
</cp:coreProperties>
</file>