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5159" w14:textId="77777777" w:rsidR="001011C7" w:rsidRDefault="001011C7">
      <w:pPr>
        <w:pStyle w:val="a5"/>
        <w:widowControl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Министерство здравоохранения РФ</w:t>
      </w:r>
    </w:p>
    <w:p w14:paraId="3074B214" w14:textId="77777777" w:rsidR="001011C7" w:rsidRDefault="001011C7">
      <w:pPr>
        <w:pStyle w:val="a5"/>
        <w:widowControl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Тюменская государственная медицинская академия</w:t>
      </w:r>
    </w:p>
    <w:p w14:paraId="07E06E94" w14:textId="77777777" w:rsidR="001011C7" w:rsidRDefault="001011C7">
      <w:pPr>
        <w:pStyle w:val="a6"/>
        <w:rPr>
          <w:sz w:val="36"/>
        </w:rPr>
      </w:pPr>
    </w:p>
    <w:p w14:paraId="47FED7EA" w14:textId="77777777" w:rsidR="001011C7" w:rsidRDefault="001011C7">
      <w:pPr>
        <w:widowControl/>
        <w:spacing w:line="360" w:lineRule="auto"/>
        <w:jc w:val="center"/>
        <w:rPr>
          <w:b/>
          <w:sz w:val="36"/>
        </w:rPr>
      </w:pPr>
    </w:p>
    <w:p w14:paraId="16AE1609" w14:textId="77777777" w:rsidR="001011C7" w:rsidRDefault="001011C7">
      <w:pPr>
        <w:widowControl/>
        <w:spacing w:line="360" w:lineRule="auto"/>
        <w:jc w:val="center"/>
        <w:rPr>
          <w:b/>
          <w:sz w:val="36"/>
        </w:rPr>
      </w:pPr>
    </w:p>
    <w:p w14:paraId="2F900B92" w14:textId="77777777" w:rsidR="001011C7" w:rsidRDefault="001011C7">
      <w:pPr>
        <w:widowControl/>
        <w:spacing w:line="360" w:lineRule="auto"/>
        <w:jc w:val="center"/>
        <w:rPr>
          <w:b/>
          <w:sz w:val="36"/>
        </w:rPr>
      </w:pPr>
    </w:p>
    <w:p w14:paraId="4418B1A3" w14:textId="77777777" w:rsidR="001011C7" w:rsidRDefault="001011C7">
      <w:pPr>
        <w:widowControl/>
        <w:spacing w:line="360" w:lineRule="auto"/>
        <w:jc w:val="center"/>
        <w:rPr>
          <w:b/>
          <w:sz w:val="36"/>
        </w:rPr>
      </w:pPr>
    </w:p>
    <w:p w14:paraId="02638CA4" w14:textId="77777777" w:rsidR="001011C7" w:rsidRDefault="001011C7">
      <w:pPr>
        <w:widowControl/>
        <w:spacing w:line="360" w:lineRule="auto"/>
        <w:jc w:val="center"/>
        <w:rPr>
          <w:b/>
          <w:sz w:val="36"/>
        </w:rPr>
      </w:pPr>
    </w:p>
    <w:p w14:paraId="40171B90" w14:textId="77777777" w:rsidR="001011C7" w:rsidRDefault="001011C7">
      <w:pPr>
        <w:widowControl/>
        <w:spacing w:line="360" w:lineRule="auto"/>
        <w:jc w:val="center"/>
        <w:rPr>
          <w:b/>
          <w:sz w:val="36"/>
        </w:rPr>
      </w:pPr>
    </w:p>
    <w:p w14:paraId="51892EB1" w14:textId="77777777" w:rsidR="001011C7" w:rsidRDefault="001011C7">
      <w:pPr>
        <w:pStyle w:val="2"/>
        <w:widowControl/>
        <w:rPr>
          <w:sz w:val="44"/>
        </w:rPr>
      </w:pPr>
      <w:r>
        <w:rPr>
          <w:sz w:val="44"/>
        </w:rPr>
        <w:t xml:space="preserve">Опухоли и кисты средостения </w:t>
      </w:r>
    </w:p>
    <w:p w14:paraId="16D122CE" w14:textId="77777777" w:rsidR="001011C7" w:rsidRDefault="001011C7">
      <w:pPr>
        <w:widowControl/>
        <w:jc w:val="center"/>
        <w:rPr>
          <w:b/>
        </w:rPr>
      </w:pPr>
      <w:r>
        <w:rPr>
          <w:b/>
          <w:sz w:val="28"/>
        </w:rPr>
        <w:t>(методические рекомендации)</w:t>
      </w:r>
    </w:p>
    <w:p w14:paraId="7030FEE4" w14:textId="77777777" w:rsidR="001011C7" w:rsidRDefault="001011C7">
      <w:pPr>
        <w:widowControl/>
        <w:spacing w:line="360" w:lineRule="auto"/>
        <w:ind w:firstLine="709"/>
        <w:rPr>
          <w:b/>
          <w:sz w:val="36"/>
        </w:rPr>
      </w:pPr>
    </w:p>
    <w:p w14:paraId="22AF6AAA" w14:textId="77777777" w:rsidR="001011C7" w:rsidRDefault="001011C7">
      <w:pPr>
        <w:widowControl/>
        <w:spacing w:line="360" w:lineRule="auto"/>
        <w:ind w:firstLine="709"/>
        <w:rPr>
          <w:b/>
          <w:sz w:val="36"/>
        </w:rPr>
      </w:pPr>
    </w:p>
    <w:p w14:paraId="3E9BBCB9" w14:textId="77777777" w:rsidR="001011C7" w:rsidRDefault="001011C7">
      <w:pPr>
        <w:widowControl/>
        <w:spacing w:line="360" w:lineRule="auto"/>
        <w:ind w:firstLine="709"/>
        <w:rPr>
          <w:b/>
          <w:sz w:val="36"/>
        </w:rPr>
      </w:pPr>
    </w:p>
    <w:p w14:paraId="77A3CB30" w14:textId="77777777" w:rsidR="001011C7" w:rsidRDefault="001011C7">
      <w:pPr>
        <w:widowControl/>
        <w:spacing w:line="360" w:lineRule="auto"/>
        <w:ind w:firstLine="709"/>
        <w:rPr>
          <w:b/>
          <w:sz w:val="36"/>
        </w:rPr>
      </w:pPr>
    </w:p>
    <w:p w14:paraId="61B6E34D" w14:textId="77777777" w:rsidR="001011C7" w:rsidRDefault="001011C7">
      <w:pPr>
        <w:widowControl/>
        <w:spacing w:line="360" w:lineRule="auto"/>
        <w:ind w:firstLine="709"/>
        <w:jc w:val="center"/>
        <w:rPr>
          <w:b/>
          <w:sz w:val="36"/>
        </w:rPr>
      </w:pPr>
    </w:p>
    <w:p w14:paraId="403AEC58" w14:textId="77777777" w:rsidR="001011C7" w:rsidRDefault="001011C7">
      <w:pPr>
        <w:widowControl/>
        <w:spacing w:line="360" w:lineRule="auto"/>
        <w:ind w:firstLine="709"/>
        <w:jc w:val="center"/>
        <w:rPr>
          <w:b/>
          <w:sz w:val="36"/>
        </w:rPr>
      </w:pPr>
    </w:p>
    <w:p w14:paraId="2F89D0F9" w14:textId="77777777" w:rsidR="001011C7" w:rsidRDefault="001011C7">
      <w:pPr>
        <w:widowControl/>
        <w:spacing w:line="360" w:lineRule="auto"/>
        <w:ind w:firstLine="709"/>
        <w:jc w:val="center"/>
        <w:rPr>
          <w:b/>
          <w:sz w:val="36"/>
        </w:rPr>
      </w:pPr>
    </w:p>
    <w:p w14:paraId="5522B49A" w14:textId="77777777" w:rsidR="001011C7" w:rsidRDefault="001011C7">
      <w:pPr>
        <w:widowControl/>
        <w:spacing w:line="360" w:lineRule="auto"/>
        <w:ind w:firstLine="709"/>
        <w:jc w:val="center"/>
        <w:rPr>
          <w:b/>
          <w:sz w:val="36"/>
        </w:rPr>
      </w:pPr>
    </w:p>
    <w:p w14:paraId="2F77511C" w14:textId="77777777" w:rsidR="001011C7" w:rsidRDefault="001011C7">
      <w:pPr>
        <w:widowControl/>
        <w:spacing w:line="360" w:lineRule="auto"/>
        <w:ind w:firstLine="709"/>
        <w:jc w:val="center"/>
        <w:rPr>
          <w:b/>
          <w:sz w:val="36"/>
        </w:rPr>
      </w:pPr>
    </w:p>
    <w:p w14:paraId="0F6F7EDC" w14:textId="77777777" w:rsidR="001011C7" w:rsidRDefault="001011C7">
      <w:pPr>
        <w:widowControl/>
        <w:spacing w:line="360" w:lineRule="auto"/>
        <w:ind w:firstLine="709"/>
        <w:jc w:val="center"/>
        <w:rPr>
          <w:b/>
          <w:sz w:val="36"/>
        </w:rPr>
      </w:pPr>
    </w:p>
    <w:p w14:paraId="43626FAD" w14:textId="77777777" w:rsidR="001011C7" w:rsidRDefault="001011C7">
      <w:pPr>
        <w:widowControl/>
        <w:spacing w:line="360" w:lineRule="auto"/>
        <w:ind w:firstLine="709"/>
        <w:jc w:val="center"/>
        <w:rPr>
          <w:b/>
        </w:rPr>
      </w:pPr>
      <w:r>
        <w:rPr>
          <w:b/>
          <w:sz w:val="28"/>
        </w:rPr>
        <w:t xml:space="preserve">Тюмень - </w:t>
      </w:r>
      <w:smartTag w:uri="urn:schemas-microsoft-com:office:smarttags" w:element="metricconverter">
        <w:smartTagPr>
          <w:attr w:name="ProductID" w:val="2005 г"/>
        </w:smartTagPr>
        <w:r w:rsidR="00782A16">
          <w:rPr>
            <w:b/>
            <w:sz w:val="28"/>
            <w:lang w:val="en-US"/>
          </w:rPr>
          <w:t>2005</w:t>
        </w:r>
        <w:r>
          <w:rPr>
            <w:b/>
            <w:sz w:val="28"/>
          </w:rPr>
          <w:t xml:space="preserve"> г</w:t>
        </w:r>
      </w:smartTag>
      <w:r>
        <w:rPr>
          <w:b/>
          <w:sz w:val="28"/>
        </w:rPr>
        <w:t>.</w:t>
      </w:r>
    </w:p>
    <w:p w14:paraId="32630AB4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Методические рекомендации по теме: «Опухоли и кисты средостения». Содержат краткие сведения по структуре содержания темы, системе, форме организации, цели обучения, оснащению занятия. Для самостоятельного изучения, предложены наиболее фундаментальные литературные источники по вопросу диагностики, тактики и лечения опухолей и кист средостения. Предложены ситуационные задачи и тесты для контроля уровня знаний студентов. </w:t>
      </w:r>
    </w:p>
    <w:p w14:paraId="1C9E607A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Полностью соответствуют рекомендациям по составлению методической разработки для преподавателей и студентов, изданным в Тюменской государственной медицинской академии в 1999г.</w:t>
      </w:r>
    </w:p>
    <w:p w14:paraId="02E7EDEF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Предназначены для преподавателей медицинских ВУЗов.</w:t>
      </w:r>
    </w:p>
    <w:p w14:paraId="169F937D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02E9D598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Методические рекомендации составлены к.м.н. А.А. </w:t>
      </w:r>
      <w:proofErr w:type="spellStart"/>
      <w:r>
        <w:rPr>
          <w:sz w:val="28"/>
        </w:rPr>
        <w:t>Аксариным</w:t>
      </w:r>
      <w:proofErr w:type="spellEnd"/>
      <w:r>
        <w:rPr>
          <w:sz w:val="28"/>
        </w:rPr>
        <w:t>.</w:t>
      </w:r>
    </w:p>
    <w:p w14:paraId="5FB3CEA8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100BE3D8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Рецензенты: заведующий кафедрой факультетской хирургии, доктор медицинских наук, профессор Б.К. </w:t>
      </w:r>
      <w:proofErr w:type="spellStart"/>
      <w:r>
        <w:rPr>
          <w:sz w:val="28"/>
        </w:rPr>
        <w:t>Гиберт</w:t>
      </w:r>
      <w:proofErr w:type="spellEnd"/>
      <w:r>
        <w:rPr>
          <w:sz w:val="28"/>
        </w:rPr>
        <w:t>.</w:t>
      </w:r>
    </w:p>
    <w:p w14:paraId="333093A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699D8B17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5BEDE33F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5033C552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6D25C808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Утверждены на заседании ЦКМС </w:t>
      </w:r>
      <w:proofErr w:type="spellStart"/>
      <w:r>
        <w:rPr>
          <w:sz w:val="28"/>
        </w:rPr>
        <w:t>ТюмГМА</w:t>
      </w:r>
      <w:proofErr w:type="spellEnd"/>
      <w:r>
        <w:rPr>
          <w:sz w:val="28"/>
        </w:rPr>
        <w:t xml:space="preserve"> «____»_____________</w:t>
      </w:r>
      <w:r w:rsidR="00782A16" w:rsidRPr="004163F2">
        <w:rPr>
          <w:sz w:val="28"/>
        </w:rPr>
        <w:t xml:space="preserve">2005 </w:t>
      </w:r>
      <w:r>
        <w:rPr>
          <w:sz w:val="28"/>
        </w:rPr>
        <w:t>г.</w:t>
      </w:r>
    </w:p>
    <w:p w14:paraId="5D77D4AA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59265E0A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2FF28F22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0769DB9B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031A6B08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2788BB58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</w:p>
    <w:p w14:paraId="4387E39B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Тема занятия.</w:t>
      </w:r>
      <w:r>
        <w:rPr>
          <w:sz w:val="28"/>
        </w:rPr>
        <w:t xml:space="preserve"> Опухоли и кисты средостения.</w:t>
      </w:r>
    </w:p>
    <w:p w14:paraId="4F338A79" w14:textId="77777777" w:rsidR="001011C7" w:rsidRDefault="001011C7" w:rsidP="004163F2">
      <w:pPr>
        <w:widowControl/>
        <w:spacing w:line="360" w:lineRule="auto"/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Форма организации учебного процесса:</w:t>
      </w:r>
      <w:r>
        <w:rPr>
          <w:sz w:val="28"/>
        </w:rPr>
        <w:t xml:space="preserve"> семинар.</w:t>
      </w:r>
    </w:p>
    <w:p w14:paraId="075423A5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lastRenderedPageBreak/>
        <w:t>Значение изучения темы.</w:t>
      </w:r>
      <w:r>
        <w:rPr>
          <w:sz w:val="28"/>
        </w:rPr>
        <w:t xml:space="preserve"> Стёртость клинического течения, трудность в диагностике опухолей и кист средостения характеризует данную патологию как одну из трудных глав торакальной хирургии. Опухоли и кисты средостения известны хирургам с давних пор, они приносят больным чрезвычайно тяжёлые физические и моральные страдания, и нередко создают угрозу для жизни больных. Ещё в начале 20 века новообразования средостения были фатальными. Но, несмотря на значительные достижения в организации хирургической помощи населению, новообразования средостения нередко заканчиваются летально. Оказание хирургической помощи больным с опухолями и кистами средостения остаётся трудной и не всегда разрешимой задачей, одну из главных ролей в которой играет своевременная диагностика и специализированная хирургическая помощь. </w:t>
      </w:r>
    </w:p>
    <w:p w14:paraId="41E822B2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Цель обучения. </w:t>
      </w:r>
      <w:r>
        <w:rPr>
          <w:sz w:val="28"/>
        </w:rPr>
        <w:t xml:space="preserve"> </w:t>
      </w:r>
    </w:p>
    <w:p w14:paraId="0187D186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А). Достичь знания студентами диагностики, тактики и лечения опухолей и кист средостения.</w:t>
      </w:r>
    </w:p>
    <w:p w14:paraId="527DA066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Б). Изучить диагностику опухолей и кист средостения. Отработать навыки самостоятельного обследования больных данной патологии и тактического решения в лечении больных данной патологии. Знать последовательность и технические особенности при оперативном лечении новообразований средостения.</w:t>
      </w:r>
    </w:p>
    <w:p w14:paraId="387F5507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Место проведения занятия: </w:t>
      </w:r>
      <w:r>
        <w:rPr>
          <w:sz w:val="28"/>
        </w:rPr>
        <w:t>учебная комната, палата.</w:t>
      </w:r>
    </w:p>
    <w:p w14:paraId="07EDC90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Оснащение занятия: </w:t>
      </w:r>
      <w:r>
        <w:rPr>
          <w:sz w:val="28"/>
        </w:rPr>
        <w:t>Таблицы, слайды, рентгенограммы.</w:t>
      </w:r>
    </w:p>
    <w:p w14:paraId="4846096E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Структура содержания темы.</w:t>
      </w:r>
    </w:p>
    <w:p w14:paraId="41E48C6A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Общая продолжительность занятия по теме 180 минут.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"/>
        <w:gridCol w:w="3748"/>
        <w:gridCol w:w="1276"/>
        <w:gridCol w:w="4926"/>
      </w:tblGrid>
      <w:tr w:rsidR="001011C7" w14:paraId="25980C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dxa"/>
          </w:tcPr>
          <w:p w14:paraId="77EB94F9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48" w:type="dxa"/>
          </w:tcPr>
          <w:p w14:paraId="23BF05D3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элементов</w:t>
            </w:r>
          </w:p>
        </w:tc>
        <w:tc>
          <w:tcPr>
            <w:tcW w:w="1276" w:type="dxa"/>
          </w:tcPr>
          <w:p w14:paraId="724F42BF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время (мин)</w:t>
            </w:r>
          </w:p>
        </w:tc>
        <w:tc>
          <w:tcPr>
            <w:tcW w:w="4926" w:type="dxa"/>
          </w:tcPr>
          <w:p w14:paraId="65C08415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Учебные операции</w:t>
            </w:r>
          </w:p>
        </w:tc>
      </w:tr>
      <w:tr w:rsidR="001011C7" w14:paraId="209F0F4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3" w:type="dxa"/>
          </w:tcPr>
          <w:p w14:paraId="5529E8D0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14:paraId="43D5495B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14:paraId="686C0112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127207A7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14:paraId="3B9C4BAA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760F82DC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4C1C2469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14:paraId="6EADBEF6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1A83D603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4EB5E145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328FE60A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5578DC88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18B13183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14:paraId="60C53BD7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09958B5D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4910239C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48" w:type="dxa"/>
          </w:tcPr>
          <w:p w14:paraId="0B32F3B0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Организационная часть.</w:t>
            </w:r>
          </w:p>
          <w:p w14:paraId="3CBB5C83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Этиопатогенез</w:t>
            </w:r>
            <w:proofErr w:type="spellEnd"/>
            <w:r>
              <w:rPr>
                <w:sz w:val="28"/>
              </w:rPr>
              <w:t xml:space="preserve"> опухолей и кист средостения.</w:t>
            </w:r>
          </w:p>
          <w:p w14:paraId="7AD8E28E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Клиника опухолей и кист средостения. </w:t>
            </w:r>
          </w:p>
          <w:p w14:paraId="6D786109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</w:p>
          <w:p w14:paraId="3E2F956C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Овладение методами рентгенодиагностики, при новообразованиях средостения.</w:t>
            </w:r>
          </w:p>
          <w:p w14:paraId="42843384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</w:p>
          <w:p w14:paraId="64B91C47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</w:p>
          <w:p w14:paraId="2C7EBB04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Лечение больных с опухолями и кистами средостения </w:t>
            </w:r>
          </w:p>
          <w:p w14:paraId="14D95F86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Домашнее задание.</w:t>
            </w:r>
          </w:p>
        </w:tc>
        <w:tc>
          <w:tcPr>
            <w:tcW w:w="1276" w:type="dxa"/>
          </w:tcPr>
          <w:p w14:paraId="72324DB3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5 </w:t>
            </w:r>
          </w:p>
          <w:p w14:paraId="0EDBCACF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14:paraId="21002791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1DFA9A47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  <w:p w14:paraId="31FD5CE7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5FE1CBDA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74566467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14:paraId="3156A713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64544DDB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113BAF1E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39B9BC3C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25771554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6479EE96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  <w:p w14:paraId="34C2DDBD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32C16F0E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</w:p>
          <w:p w14:paraId="41CE4C4B" w14:textId="77777777" w:rsidR="001011C7" w:rsidRDefault="001011C7">
            <w:pPr>
              <w:widowControl/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26" w:type="dxa"/>
          </w:tcPr>
          <w:p w14:paraId="2251BBC7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</w:p>
          <w:p w14:paraId="349D95AA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1.Контрольный письменный опрос</w:t>
            </w:r>
          </w:p>
          <w:p w14:paraId="1C836277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2.Демонстрация больного</w:t>
            </w:r>
          </w:p>
          <w:p w14:paraId="7765428C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3.Курация больных в палате</w:t>
            </w:r>
          </w:p>
          <w:p w14:paraId="02B6F477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4.Заключение преподавателя</w:t>
            </w:r>
          </w:p>
          <w:p w14:paraId="3FCD3998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</w:p>
          <w:p w14:paraId="3F27572F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5.Контроль знаний (опрос)</w:t>
            </w:r>
          </w:p>
          <w:p w14:paraId="6348842F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6.Демонстрация рентгенограмм.</w:t>
            </w:r>
          </w:p>
          <w:p w14:paraId="7003DE4E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7.Демонстрация </w:t>
            </w:r>
            <w:proofErr w:type="spellStart"/>
            <w:r>
              <w:rPr>
                <w:sz w:val="28"/>
              </w:rPr>
              <w:t>сканограмм</w:t>
            </w:r>
            <w:proofErr w:type="spellEnd"/>
            <w:r>
              <w:rPr>
                <w:sz w:val="28"/>
              </w:rPr>
              <w:t>.</w:t>
            </w:r>
          </w:p>
          <w:p w14:paraId="5F74515E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7.Контрольный разбор студентом рентгенограмм, </w:t>
            </w:r>
            <w:proofErr w:type="spellStart"/>
            <w:r>
              <w:rPr>
                <w:sz w:val="28"/>
              </w:rPr>
              <w:t>сканограмм</w:t>
            </w:r>
            <w:proofErr w:type="spellEnd"/>
            <w:r>
              <w:rPr>
                <w:sz w:val="28"/>
              </w:rPr>
              <w:t>.</w:t>
            </w:r>
          </w:p>
          <w:p w14:paraId="0C6266E2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8.Заключение преподавателя.</w:t>
            </w:r>
          </w:p>
          <w:p w14:paraId="36119683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9.Решение типовых задач.</w:t>
            </w:r>
          </w:p>
          <w:p w14:paraId="5BC7F216" w14:textId="77777777" w:rsidR="001011C7" w:rsidRDefault="001011C7">
            <w:pPr>
              <w:widowControl/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10.Заключение преподавателя. </w:t>
            </w:r>
          </w:p>
        </w:tc>
      </w:tr>
    </w:tbl>
    <w:p w14:paraId="111B10F6" w14:textId="77777777" w:rsidR="001011C7" w:rsidRDefault="001011C7">
      <w:pPr>
        <w:widowControl/>
        <w:spacing w:after="120" w:line="360" w:lineRule="auto"/>
        <w:ind w:firstLine="709"/>
        <w:jc w:val="both"/>
        <w:rPr>
          <w:sz w:val="28"/>
        </w:rPr>
      </w:pPr>
    </w:p>
    <w:p w14:paraId="566656E0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Задачи.</w:t>
      </w:r>
    </w:p>
    <w:p w14:paraId="2F1FC158" w14:textId="77777777" w:rsidR="001011C7" w:rsidRDefault="001011C7" w:rsidP="004163F2">
      <w:pPr>
        <w:spacing w:after="120"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Задача № 1</w:t>
      </w:r>
    </w:p>
    <w:p w14:paraId="70490B02" w14:textId="77777777" w:rsidR="001011C7" w:rsidRDefault="001011C7" w:rsidP="004163F2">
      <w:pPr>
        <w:pStyle w:val="a7"/>
        <w:spacing w:after="120"/>
      </w:pPr>
      <w:r>
        <w:t xml:space="preserve">Больной </w:t>
      </w:r>
      <w:bookmarkStart w:id="0" w:name="OCRUncertain019"/>
      <w:r>
        <w:t>Д.,</w:t>
      </w:r>
      <w:bookmarkEnd w:id="0"/>
      <w:r>
        <w:t xml:space="preserve"> 23 лет, поступил в клинику с жалобами на периодические интенсивные боли в правой половине грудной клетки, больше спереди, головные боли. </w:t>
      </w:r>
    </w:p>
    <w:p w14:paraId="3D3834DA" w14:textId="77777777" w:rsidR="001011C7" w:rsidRDefault="001011C7" w:rsidP="004163F2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рентгенологическом исследовании справа от второго </w:t>
      </w:r>
      <w:proofErr w:type="spellStart"/>
      <w:r>
        <w:rPr>
          <w:sz w:val="28"/>
        </w:rPr>
        <w:t>межреберья</w:t>
      </w:r>
      <w:proofErr w:type="spellEnd"/>
      <w:r>
        <w:rPr>
          <w:sz w:val="28"/>
        </w:rPr>
        <w:t xml:space="preserve"> до </w:t>
      </w:r>
      <w:r>
        <w:rPr>
          <w:sz w:val="28"/>
          <w:lang w:val="en-US"/>
        </w:rPr>
        <w:t>IV</w:t>
      </w:r>
      <w:r w:rsidRPr="00782A16">
        <w:rPr>
          <w:sz w:val="28"/>
        </w:rPr>
        <w:t xml:space="preserve"> р</w:t>
      </w:r>
      <w:r>
        <w:rPr>
          <w:sz w:val="28"/>
        </w:rPr>
        <w:t xml:space="preserve">ебра (счёт спереди)  определяется округлой формы интенсивная гомогенная тень с чётким наружным контуром, сливающаяся медиальным краем с тенью средостения. Определяется полоска </w:t>
      </w:r>
      <w:proofErr w:type="spellStart"/>
      <w:r>
        <w:rPr>
          <w:sz w:val="28"/>
        </w:rPr>
        <w:t>обизыствления</w:t>
      </w:r>
      <w:proofErr w:type="spellEnd"/>
      <w:r>
        <w:rPr>
          <w:sz w:val="28"/>
        </w:rPr>
        <w:t xml:space="preserve"> в капсуле. </w:t>
      </w:r>
    </w:p>
    <w:p w14:paraId="3050630B" w14:textId="77777777" w:rsidR="001011C7" w:rsidRDefault="001011C7" w:rsidP="004163F2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bookmarkStart w:id="1" w:name="OCRUncertain026"/>
      <w:r>
        <w:rPr>
          <w:sz w:val="28"/>
        </w:rPr>
        <w:t>.</w:t>
      </w:r>
      <w:bookmarkEnd w:id="1"/>
      <w:r>
        <w:rPr>
          <w:sz w:val="28"/>
        </w:rPr>
        <w:t xml:space="preserve"> Диагноз? 2. Тактика?</w:t>
      </w:r>
    </w:p>
    <w:p w14:paraId="16F45A4A" w14:textId="77777777" w:rsidR="001011C7" w:rsidRDefault="001011C7" w:rsidP="004163F2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Ответ: 1. </w:t>
      </w:r>
      <w:bookmarkStart w:id="2" w:name="OCRUncertain131"/>
      <w:r>
        <w:rPr>
          <w:sz w:val="28"/>
        </w:rPr>
        <w:t xml:space="preserve">Рентгенологическая картина характерна для </w:t>
      </w:r>
      <w:proofErr w:type="spellStart"/>
      <w:r>
        <w:rPr>
          <w:sz w:val="28"/>
        </w:rPr>
        <w:t>тератоидных</w:t>
      </w:r>
      <w:proofErr w:type="spellEnd"/>
      <w:r>
        <w:rPr>
          <w:sz w:val="28"/>
        </w:rPr>
        <w:t xml:space="preserve"> образований средостения. </w:t>
      </w:r>
      <w:bookmarkEnd w:id="2"/>
      <w:r>
        <w:rPr>
          <w:sz w:val="28"/>
        </w:rPr>
        <w:t xml:space="preserve">2. В данной ситуации </w:t>
      </w:r>
      <w:proofErr w:type="spellStart"/>
      <w:r>
        <w:rPr>
          <w:sz w:val="28"/>
        </w:rPr>
        <w:t>пневмомедиастинографию</w:t>
      </w:r>
      <w:proofErr w:type="spellEnd"/>
      <w:r>
        <w:rPr>
          <w:sz w:val="28"/>
        </w:rPr>
        <w:t xml:space="preserve"> можно не проводить. Показана </w:t>
      </w:r>
      <w:proofErr w:type="spellStart"/>
      <w:r>
        <w:rPr>
          <w:sz w:val="28"/>
        </w:rPr>
        <w:t>передне-боковая</w:t>
      </w:r>
      <w:proofErr w:type="spellEnd"/>
      <w:r>
        <w:rPr>
          <w:sz w:val="28"/>
        </w:rPr>
        <w:t xml:space="preserve"> торакотомия в </w:t>
      </w:r>
      <w:r>
        <w:rPr>
          <w:sz w:val="28"/>
          <w:lang w:val="en-US"/>
        </w:rPr>
        <w:t>IV</w:t>
      </w:r>
      <w:r w:rsidRPr="00782A16">
        <w:rPr>
          <w:sz w:val="28"/>
        </w:rPr>
        <w:t xml:space="preserve"> </w:t>
      </w:r>
      <w:r>
        <w:rPr>
          <w:sz w:val="28"/>
        </w:rPr>
        <w:t xml:space="preserve">или </w:t>
      </w:r>
      <w:r>
        <w:rPr>
          <w:sz w:val="28"/>
          <w:lang w:val="en-US"/>
        </w:rPr>
        <w:t>V</w:t>
      </w:r>
      <w:r>
        <w:rPr>
          <w:sz w:val="28"/>
        </w:rPr>
        <w:t xml:space="preserve"> межреберье, удаление опухоли с обязательным гистологическим исследованием.</w:t>
      </w:r>
    </w:p>
    <w:p w14:paraId="373892B0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Задача №2</w:t>
      </w:r>
    </w:p>
    <w:p w14:paraId="1060408F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Больной Р., 47 лет, обратился в поликлинику с жалобами на постоянные боли в левой половине грудной клетки с иррадиацией в лопатку, головные боли, одышку, общую слабость.</w:t>
      </w:r>
    </w:p>
    <w:p w14:paraId="57996086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Заболел год назад. На рентгенограммах грудной клетки в верхнемедиальном отделе левого легочного поля в проекции заднего сегмента выявляется интенсивная гомогенная, округлой формы с чётким </w:t>
      </w:r>
      <w:proofErr w:type="spellStart"/>
      <w:r>
        <w:rPr>
          <w:sz w:val="28"/>
        </w:rPr>
        <w:t>нижненаружным</w:t>
      </w:r>
      <w:proofErr w:type="spellEnd"/>
      <w:r>
        <w:rPr>
          <w:sz w:val="28"/>
        </w:rPr>
        <w:t xml:space="preserve"> контуром тень – размеры 6х7 см., которая медиальным краем сливается с тенью </w:t>
      </w:r>
      <w:r>
        <w:rPr>
          <w:sz w:val="28"/>
          <w:lang w:val="en-US"/>
        </w:rPr>
        <w:t>II – III</w:t>
      </w:r>
      <w:r>
        <w:rPr>
          <w:sz w:val="28"/>
        </w:rPr>
        <w:t xml:space="preserve"> грудных позвонков.</w:t>
      </w:r>
    </w:p>
    <w:p w14:paraId="3218E5D3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1. Какой предположительный диагноз? 2. Какие методы исследования нужно провести? 3. Тактика?</w:t>
      </w:r>
    </w:p>
    <w:p w14:paraId="00358DC6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Ответ: 1. Рентгенологическая картина характерна для неврогенных опухолей средостения. 2. Необходимо провести томографию, </w:t>
      </w:r>
      <w:proofErr w:type="spellStart"/>
      <w:r>
        <w:rPr>
          <w:sz w:val="28"/>
        </w:rPr>
        <w:t>пневмомедиастинографию</w:t>
      </w:r>
      <w:proofErr w:type="spellEnd"/>
      <w:r>
        <w:rPr>
          <w:sz w:val="28"/>
        </w:rPr>
        <w:t>, при необходимости – искусственный пневмоторакс. 3. При отсутствии абсолютных противопоказаний необходимо больного оперировать – удалить опухоль.</w:t>
      </w:r>
    </w:p>
    <w:p w14:paraId="218C884C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Задача №3.</w:t>
      </w:r>
    </w:p>
    <w:p w14:paraId="27559B43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Больной В., 43 лет, поступил в больницу с жалобами на периодические приступообразные боли в области сердца, чувство тяжести за грудиной, одышку при физической нагрузке. Болеет в течение двух лет. В районной больнице исключён инфаркт миокарда. На рентгенограмме грудной клетки в правом переднем </w:t>
      </w:r>
      <w:proofErr w:type="spellStart"/>
      <w:r>
        <w:rPr>
          <w:sz w:val="28"/>
        </w:rPr>
        <w:t>кардиодиафрагмальном</w:t>
      </w:r>
      <w:proofErr w:type="spellEnd"/>
      <w:r>
        <w:rPr>
          <w:sz w:val="28"/>
        </w:rPr>
        <w:t xml:space="preserve"> углу определяется полуовальная тень, примыкающая к средостению, куполу диафрагмы. Видимые контуры ткани выпуклые, чёткие, структура однородная.</w:t>
      </w:r>
    </w:p>
    <w:p w14:paraId="1A321E6D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Какой </w:t>
      </w:r>
      <w:proofErr w:type="spellStart"/>
      <w:r>
        <w:rPr>
          <w:sz w:val="28"/>
        </w:rPr>
        <w:t>предворительный</w:t>
      </w:r>
      <w:proofErr w:type="spellEnd"/>
      <w:r>
        <w:rPr>
          <w:sz w:val="28"/>
        </w:rPr>
        <w:t xml:space="preserve"> диагноз? 2. Какие диагностические мероприятия необходимо выполнить? </w:t>
      </w:r>
    </w:p>
    <w:p w14:paraId="0FC60136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Ответ: 1. Рентгенологическая картина характерна для </w:t>
      </w:r>
      <w:proofErr w:type="spellStart"/>
      <w:r>
        <w:rPr>
          <w:sz w:val="28"/>
        </w:rPr>
        <w:t>целомической</w:t>
      </w:r>
      <w:proofErr w:type="spellEnd"/>
      <w:r>
        <w:rPr>
          <w:sz w:val="28"/>
        </w:rPr>
        <w:t xml:space="preserve"> кисты перикарда. 2. Необходимо провести томографию. На томограммах характерно для данной патологии симптом плавного перехода медиастинальной плевры со срединной тени на тень кисты. Затем выполнить диагностический </w:t>
      </w:r>
      <w:proofErr w:type="spellStart"/>
      <w:r>
        <w:rPr>
          <w:sz w:val="28"/>
        </w:rPr>
        <w:t>пневмомедиастинум</w:t>
      </w:r>
      <w:proofErr w:type="spellEnd"/>
      <w:r>
        <w:rPr>
          <w:sz w:val="28"/>
        </w:rPr>
        <w:t xml:space="preserve">. Введённый в средостение газ, как правило, окаймляет </w:t>
      </w:r>
      <w:proofErr w:type="spellStart"/>
      <w:r>
        <w:rPr>
          <w:sz w:val="28"/>
        </w:rPr>
        <w:lastRenderedPageBreak/>
        <w:t>новобразование</w:t>
      </w:r>
      <w:proofErr w:type="spellEnd"/>
      <w:r>
        <w:rPr>
          <w:sz w:val="28"/>
        </w:rPr>
        <w:t xml:space="preserve"> со всех сторон, которое остаётся обычно связанным с тенью сердца.</w:t>
      </w:r>
    </w:p>
    <w:p w14:paraId="3A291E47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i/>
          <w:sz w:val="28"/>
        </w:rPr>
        <w:t>Задача №4.</w:t>
      </w:r>
    </w:p>
    <w:p w14:paraId="567B6355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Больная Ш., 36 лет, поступил в больницу с жалобами на одышку, слабость, иногда затруднение при проглатывании грубой пищи. При осмотре определяется небольшое утолщение основания шеи, больше справа, расширение шейных вен. Над правым грудно-ключичным сочленении прощупывается гладко-эластичное образование, которое при глотании т кашле значительно выпячивается вверх, а в спокойном состоянии почти полностью погружается в грудную полость. Щитовидная железа на шее не увеличена.</w:t>
      </w:r>
    </w:p>
    <w:p w14:paraId="569E900A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1. Диагноз? 2. Какие диагностические мероприятия необходимо выполнить? 3. Тактика?</w:t>
      </w:r>
    </w:p>
    <w:p w14:paraId="1C08B982" w14:textId="77777777" w:rsidR="001011C7" w:rsidRDefault="001011C7" w:rsidP="004163F2">
      <w:pPr>
        <w:widowControl/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Ответ: 1. Клиническая картина и объективные данные характерны для «ныряющего» медиастинального узлового зоба. 2. Необходимо провести рентгенографию и томографию грудной клетки. 3. Показана операция. Воротникообразный разрез над рукояткой грудины. При необходимости – провести частичную продольную </w:t>
      </w:r>
      <w:proofErr w:type="spellStart"/>
      <w:r>
        <w:rPr>
          <w:sz w:val="28"/>
        </w:rPr>
        <w:t>стернотосию</w:t>
      </w:r>
      <w:proofErr w:type="spellEnd"/>
      <w:r>
        <w:rPr>
          <w:sz w:val="28"/>
        </w:rPr>
        <w:t xml:space="preserve">. </w:t>
      </w:r>
    </w:p>
    <w:p w14:paraId="15C17CF5" w14:textId="77777777" w:rsidR="001011C7" w:rsidRDefault="001011C7">
      <w:pPr>
        <w:widowControl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Тесты.</w:t>
      </w:r>
    </w:p>
    <w:p w14:paraId="3AE3767B" w14:textId="77777777" w:rsidR="001011C7" w:rsidRDefault="001011C7" w:rsidP="004163F2">
      <w:pPr>
        <w:ind w:firstLine="709"/>
        <w:jc w:val="both"/>
        <w:rPr>
          <w:sz w:val="28"/>
        </w:rPr>
      </w:pPr>
      <w:bookmarkStart w:id="3" w:name="BITSoft"/>
      <w:bookmarkEnd w:id="3"/>
      <w:r>
        <w:rPr>
          <w:sz w:val="28"/>
        </w:rPr>
        <w:t>1. К злокачественным неврогенным опухолям средостения относятся:</w:t>
      </w:r>
    </w:p>
    <w:p w14:paraId="43451E5B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а) невриномы</w:t>
      </w:r>
    </w:p>
    <w:p w14:paraId="4DAA6273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proofErr w:type="spellStart"/>
      <w:r>
        <w:rPr>
          <w:sz w:val="28"/>
        </w:rPr>
        <w:t>нврофибромы</w:t>
      </w:r>
      <w:proofErr w:type="spellEnd"/>
      <w:r>
        <w:rPr>
          <w:sz w:val="28"/>
        </w:rPr>
        <w:t xml:space="preserve"> </w:t>
      </w:r>
    </w:p>
    <w:p w14:paraId="1C8FA401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" w:name="OCRUncertain013"/>
      <w:proofErr w:type="spellStart"/>
      <w:r>
        <w:rPr>
          <w:sz w:val="28"/>
        </w:rPr>
        <w:t>ганглиневромы</w:t>
      </w:r>
      <w:proofErr w:type="spellEnd"/>
    </w:p>
    <w:p w14:paraId="4D93861E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г)</w:t>
      </w:r>
      <w:bookmarkEnd w:id="4"/>
      <w:r>
        <w:rPr>
          <w:sz w:val="28"/>
        </w:rPr>
        <w:t xml:space="preserve"> </w:t>
      </w:r>
      <w:proofErr w:type="spellStart"/>
      <w:r>
        <w:rPr>
          <w:sz w:val="28"/>
        </w:rPr>
        <w:t>симпатобластомы</w:t>
      </w:r>
      <w:proofErr w:type="spellEnd"/>
    </w:p>
    <w:p w14:paraId="2F8CF8E1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noProof/>
          <w:sz w:val="28"/>
        </w:rPr>
        <w:t>2.</w:t>
      </w:r>
      <w:r>
        <w:rPr>
          <w:sz w:val="28"/>
        </w:rPr>
        <w:t xml:space="preserve"> К опухолям средостения относятся все, кроме :</w:t>
      </w:r>
    </w:p>
    <w:p w14:paraId="4E348A42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а) липомы</w:t>
      </w:r>
    </w:p>
    <w:p w14:paraId="50A8DA7F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б) остеомы</w:t>
      </w:r>
    </w:p>
    <w:p w14:paraId="78D30FC7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 xml:space="preserve">в) саркомы </w:t>
      </w:r>
    </w:p>
    <w:p w14:paraId="541136BC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 xml:space="preserve">г) фибромы </w:t>
      </w:r>
      <w:bookmarkStart w:id="5" w:name="OCRUncertain028"/>
    </w:p>
    <w:p w14:paraId="336DA470" w14:textId="77777777" w:rsidR="001011C7" w:rsidRDefault="001011C7" w:rsidP="004163F2">
      <w:pPr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</w:t>
      </w:r>
      <w:bookmarkEnd w:id="5"/>
      <w:r>
        <w:rPr>
          <w:sz w:val="28"/>
        </w:rPr>
        <w:t xml:space="preserve"> </w:t>
      </w:r>
      <w:proofErr w:type="spellStart"/>
      <w:r>
        <w:rPr>
          <w:sz w:val="28"/>
        </w:rPr>
        <w:t>гемангиомы</w:t>
      </w:r>
      <w:proofErr w:type="spellEnd"/>
    </w:p>
    <w:p w14:paraId="104A23DF" w14:textId="77777777" w:rsidR="001011C7" w:rsidRDefault="001011C7" w:rsidP="004163F2">
      <w:pPr>
        <w:tabs>
          <w:tab w:val="center" w:pos="4480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spellStart"/>
      <w:r>
        <w:rPr>
          <w:sz w:val="28"/>
        </w:rPr>
        <w:t>Целомическая</w:t>
      </w:r>
      <w:proofErr w:type="spellEnd"/>
      <w:r>
        <w:rPr>
          <w:sz w:val="28"/>
        </w:rPr>
        <w:t xml:space="preserve"> киста перикарда возникает в результате: </w:t>
      </w:r>
    </w:p>
    <w:p w14:paraId="074EEAEC" w14:textId="77777777" w:rsidR="001011C7" w:rsidRDefault="001011C7" w:rsidP="004163F2">
      <w:pPr>
        <w:tabs>
          <w:tab w:val="center" w:pos="4480"/>
        </w:tabs>
        <w:ind w:firstLine="709"/>
        <w:jc w:val="both"/>
        <w:rPr>
          <w:sz w:val="28"/>
        </w:rPr>
      </w:pPr>
      <w:bookmarkStart w:id="6" w:name="OCRUncertain032"/>
      <w:r>
        <w:rPr>
          <w:sz w:val="28"/>
        </w:rPr>
        <w:t>а) нарушения процесса его развития</w:t>
      </w:r>
      <w:bookmarkStart w:id="7" w:name="OCRUncertain033"/>
      <w:bookmarkEnd w:id="6"/>
    </w:p>
    <w:p w14:paraId="79970917" w14:textId="77777777" w:rsidR="001011C7" w:rsidRDefault="001011C7" w:rsidP="004163F2">
      <w:pPr>
        <w:tabs>
          <w:tab w:val="center" w:pos="4480"/>
        </w:tabs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bookmarkStart w:id="8" w:name="OCRUncertain034"/>
      <w:bookmarkEnd w:id="7"/>
      <w:r>
        <w:rPr>
          <w:sz w:val="28"/>
        </w:rPr>
        <w:t>ранения перикарда</w:t>
      </w:r>
    </w:p>
    <w:p w14:paraId="3244C1C0" w14:textId="77777777" w:rsidR="001011C7" w:rsidRDefault="001011C7" w:rsidP="004163F2">
      <w:pPr>
        <w:tabs>
          <w:tab w:val="center" w:pos="4480"/>
        </w:tabs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End w:id="8"/>
      <w:r>
        <w:rPr>
          <w:sz w:val="28"/>
        </w:rPr>
        <w:t>перикардита</w:t>
      </w:r>
    </w:p>
    <w:p w14:paraId="12C9A91C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noProof/>
          <w:sz w:val="28"/>
        </w:rPr>
        <w:lastRenderedPageBreak/>
        <w:t>4.</w:t>
      </w:r>
      <w:r>
        <w:rPr>
          <w:sz w:val="28"/>
        </w:rPr>
        <w:t xml:space="preserve"> </w:t>
      </w:r>
      <w:bookmarkStart w:id="9" w:name="OCRUncertain039"/>
      <w:proofErr w:type="spellStart"/>
      <w:r>
        <w:rPr>
          <w:sz w:val="28"/>
        </w:rPr>
        <w:t>Загрудинным</w:t>
      </w:r>
      <w:proofErr w:type="spellEnd"/>
      <w:r>
        <w:rPr>
          <w:sz w:val="28"/>
        </w:rPr>
        <w:t xml:space="preserve"> называют зоб</w:t>
      </w:r>
      <w:bookmarkEnd w:id="9"/>
      <w:r>
        <w:rPr>
          <w:sz w:val="28"/>
        </w:rPr>
        <w:t>:</w:t>
      </w:r>
    </w:p>
    <w:p w14:paraId="5D696027" w14:textId="77777777" w:rsidR="001011C7" w:rsidRDefault="001011C7" w:rsidP="004163F2">
      <w:pPr>
        <w:pStyle w:val="20"/>
        <w:spacing w:after="0"/>
        <w:ind w:left="0" w:firstLine="709"/>
      </w:pPr>
      <w:r>
        <w:t xml:space="preserve">а) верхний полюс которого удаётся </w:t>
      </w:r>
      <w:proofErr w:type="spellStart"/>
      <w:r>
        <w:t>пропальпировать</w:t>
      </w:r>
      <w:proofErr w:type="spellEnd"/>
      <w:r>
        <w:t xml:space="preserve"> со стороны ярёмной ямки </w:t>
      </w:r>
    </w:p>
    <w:p w14:paraId="2E9A8EDD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 xml:space="preserve">б) при пальпации который не выявляется </w:t>
      </w:r>
    </w:p>
    <w:p w14:paraId="7A676DD4" w14:textId="77777777" w:rsidR="001011C7" w:rsidRDefault="001011C7" w:rsidP="004163F2">
      <w:pPr>
        <w:ind w:firstLine="709"/>
        <w:jc w:val="both"/>
        <w:rPr>
          <w:i/>
          <w:sz w:val="28"/>
        </w:rPr>
      </w:pPr>
      <w:r>
        <w:rPr>
          <w:sz w:val="28"/>
        </w:rPr>
        <w:t>в) а и б</w:t>
      </w:r>
    </w:p>
    <w:p w14:paraId="6CED4B09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5</w:t>
      </w:r>
      <w:r>
        <w:rPr>
          <w:noProof/>
          <w:sz w:val="28"/>
        </w:rPr>
        <w:t>. К лимфомам относится</w:t>
      </w:r>
      <w:r>
        <w:rPr>
          <w:sz w:val="28"/>
        </w:rPr>
        <w:t>:</w:t>
      </w:r>
    </w:p>
    <w:p w14:paraId="66647D32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лимфосаркому</w:t>
      </w:r>
      <w:proofErr w:type="spellEnd"/>
    </w:p>
    <w:p w14:paraId="3823DAC7" w14:textId="77777777" w:rsidR="001011C7" w:rsidRDefault="001011C7" w:rsidP="004163F2">
      <w:pPr>
        <w:ind w:firstLine="709"/>
        <w:jc w:val="both"/>
        <w:rPr>
          <w:sz w:val="28"/>
        </w:rPr>
      </w:pPr>
      <w:bookmarkStart w:id="10" w:name="OCRUncertain046"/>
      <w:r>
        <w:rPr>
          <w:sz w:val="28"/>
        </w:rPr>
        <w:t xml:space="preserve">б) </w:t>
      </w:r>
      <w:proofErr w:type="spellStart"/>
      <w:r>
        <w:rPr>
          <w:sz w:val="28"/>
        </w:rPr>
        <w:t>ретикулосаркому</w:t>
      </w:r>
      <w:proofErr w:type="spellEnd"/>
    </w:p>
    <w:p w14:paraId="528CE88C" w14:textId="77777777" w:rsidR="001011C7" w:rsidRDefault="001011C7" w:rsidP="004163F2">
      <w:pPr>
        <w:ind w:firstLine="709"/>
        <w:jc w:val="both"/>
        <w:rPr>
          <w:sz w:val="28"/>
        </w:rPr>
      </w:pPr>
      <w:bookmarkStart w:id="11" w:name="OCRUncertain047"/>
      <w:bookmarkEnd w:id="10"/>
      <w:r>
        <w:rPr>
          <w:sz w:val="28"/>
        </w:rPr>
        <w:t>в) лимфогранулематоз</w:t>
      </w:r>
    </w:p>
    <w:bookmarkEnd w:id="11"/>
    <w:p w14:paraId="02C21E0D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г) все перечисленные</w:t>
      </w:r>
    </w:p>
    <w:p w14:paraId="6C078E5E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6</w:t>
      </w:r>
      <w:r>
        <w:rPr>
          <w:noProof/>
          <w:sz w:val="28"/>
        </w:rPr>
        <w:t>.</w:t>
      </w:r>
      <w:r>
        <w:rPr>
          <w:sz w:val="28"/>
        </w:rPr>
        <w:t xml:space="preserve"> Для рентгенологической диагностики </w:t>
      </w:r>
      <w:proofErr w:type="spellStart"/>
      <w:r>
        <w:rPr>
          <w:sz w:val="28"/>
        </w:rPr>
        <w:t>бронхогенных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энтерогенных</w:t>
      </w:r>
      <w:proofErr w:type="spellEnd"/>
      <w:r>
        <w:rPr>
          <w:sz w:val="28"/>
        </w:rPr>
        <w:t xml:space="preserve"> кист средостения характерна локализация:</w:t>
      </w:r>
    </w:p>
    <w:p w14:paraId="78EDAE73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а) в заднем средостении</w:t>
      </w:r>
    </w:p>
    <w:p w14:paraId="514A5DC0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б) в нижнем отделе переднего средостения</w:t>
      </w:r>
    </w:p>
    <w:p w14:paraId="2CFB5EDA" w14:textId="77777777" w:rsidR="001011C7" w:rsidRDefault="001011C7" w:rsidP="004163F2">
      <w:pPr>
        <w:ind w:firstLine="709"/>
        <w:jc w:val="both"/>
        <w:rPr>
          <w:sz w:val="28"/>
        </w:rPr>
      </w:pPr>
      <w:r>
        <w:rPr>
          <w:sz w:val="28"/>
        </w:rPr>
        <w:t>в) в верхнем отделе переднего средостения</w:t>
      </w:r>
    </w:p>
    <w:p w14:paraId="42728B57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bookmarkStart w:id="12" w:name="OCRUncertain057"/>
      <w:r>
        <w:rPr>
          <w:sz w:val="28"/>
        </w:rPr>
        <w:t>г)</w:t>
      </w:r>
      <w:bookmarkEnd w:id="12"/>
      <w:r>
        <w:rPr>
          <w:sz w:val="28"/>
        </w:rPr>
        <w:t xml:space="preserve"> около позвоночника</w:t>
      </w:r>
    </w:p>
    <w:p w14:paraId="3F5860A6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Какой рентгенологический метод применяется с целью дифференциальной диагностики образований лёгкого и переднего средостения:</w:t>
      </w:r>
    </w:p>
    <w:p w14:paraId="3C808431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ретроксифоидальная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пневмомедиастинография</w:t>
      </w:r>
      <w:proofErr w:type="spellEnd"/>
    </w:p>
    <w:p w14:paraId="295C1502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рентгенография с </w:t>
      </w:r>
      <w:proofErr w:type="spellStart"/>
      <w:r>
        <w:rPr>
          <w:sz w:val="28"/>
        </w:rPr>
        <w:t>пневмоперитонеум</w:t>
      </w:r>
      <w:proofErr w:type="spellEnd"/>
    </w:p>
    <w:p w14:paraId="4C9EB2F6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 </w:t>
      </w:r>
      <w:proofErr w:type="spellStart"/>
      <w:r>
        <w:rPr>
          <w:sz w:val="28"/>
        </w:rPr>
        <w:t>ретроменубриальная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пневмомедиастинография</w:t>
      </w:r>
      <w:proofErr w:type="spellEnd"/>
    </w:p>
    <w:p w14:paraId="7F445AE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пресакральная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пневмомедиастинография</w:t>
      </w:r>
      <w:proofErr w:type="spellEnd"/>
    </w:p>
    <w:p w14:paraId="7C608AC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8. Какой оперативный доступ используется для лечения опухолей заднего средостения:</w:t>
      </w:r>
    </w:p>
    <w:p w14:paraId="1EB941D3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продольная </w:t>
      </w:r>
      <w:proofErr w:type="spellStart"/>
      <w:r>
        <w:rPr>
          <w:sz w:val="28"/>
        </w:rPr>
        <w:t>стернотомия</w:t>
      </w:r>
      <w:proofErr w:type="spellEnd"/>
    </w:p>
    <w:p w14:paraId="441EF86B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б) продольно-поперечная </w:t>
      </w:r>
      <w:proofErr w:type="spellStart"/>
      <w:r>
        <w:rPr>
          <w:sz w:val="28"/>
        </w:rPr>
        <w:t>стернотомия</w:t>
      </w:r>
      <w:proofErr w:type="spellEnd"/>
    </w:p>
    <w:p w14:paraId="732D069F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передне-боковая</w:t>
      </w:r>
      <w:proofErr w:type="spellEnd"/>
      <w:r>
        <w:rPr>
          <w:sz w:val="28"/>
        </w:rPr>
        <w:t xml:space="preserve"> торакотомия</w:t>
      </w:r>
    </w:p>
    <w:p w14:paraId="2163F53A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задняя торакотомия</w:t>
      </w:r>
    </w:p>
    <w:p w14:paraId="12C38877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>) боковая торакотомия</w:t>
      </w:r>
    </w:p>
    <w:p w14:paraId="72570143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9. К первичным опухолям и кистам средостения относятся:</w:t>
      </w:r>
    </w:p>
    <w:p w14:paraId="0ED864D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proofErr w:type="spellStart"/>
      <w:r>
        <w:rPr>
          <w:sz w:val="28"/>
        </w:rPr>
        <w:t>Дермоидные</w:t>
      </w:r>
      <w:proofErr w:type="spellEnd"/>
      <w:r>
        <w:rPr>
          <w:sz w:val="28"/>
        </w:rPr>
        <w:t xml:space="preserve"> кисты и тератомы</w:t>
      </w:r>
    </w:p>
    <w:p w14:paraId="1EA195E7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Неврогенные опухоли</w:t>
      </w:r>
    </w:p>
    <w:p w14:paraId="380073D1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Лимфомы</w:t>
      </w:r>
      <w:proofErr w:type="spellEnd"/>
    </w:p>
    <w:p w14:paraId="0467FBE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Бронхогенные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энтерогенные</w:t>
      </w:r>
      <w:proofErr w:type="spellEnd"/>
      <w:r>
        <w:rPr>
          <w:sz w:val="28"/>
        </w:rPr>
        <w:t xml:space="preserve"> кисты</w:t>
      </w:r>
    </w:p>
    <w:p w14:paraId="2437CB19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proofErr w:type="spellStart"/>
      <w:r>
        <w:rPr>
          <w:sz w:val="28"/>
        </w:rPr>
        <w:t>д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Загрудинный</w:t>
      </w:r>
      <w:proofErr w:type="spellEnd"/>
      <w:r>
        <w:rPr>
          <w:sz w:val="28"/>
        </w:rPr>
        <w:t xml:space="preserve"> и внутригрудной зоб</w:t>
      </w:r>
    </w:p>
    <w:p w14:paraId="0B77536E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е) </w:t>
      </w:r>
      <w:proofErr w:type="spellStart"/>
      <w:r>
        <w:rPr>
          <w:sz w:val="28"/>
        </w:rPr>
        <w:t>Тимомы</w:t>
      </w:r>
      <w:proofErr w:type="spellEnd"/>
    </w:p>
    <w:p w14:paraId="7BC8522A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10. Синдром верхней полой вены характерен для:</w:t>
      </w:r>
    </w:p>
    <w:p w14:paraId="4F04FFBB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а) синдрома </w:t>
      </w:r>
      <w:proofErr w:type="spellStart"/>
      <w:r>
        <w:rPr>
          <w:sz w:val="28"/>
        </w:rPr>
        <w:t>Пертеса</w:t>
      </w:r>
      <w:proofErr w:type="spellEnd"/>
    </w:p>
    <w:p w14:paraId="0DD3871F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синдрома Мендельсона</w:t>
      </w:r>
    </w:p>
    <w:p w14:paraId="06F3701B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proofErr w:type="spellStart"/>
      <w:r>
        <w:rPr>
          <w:sz w:val="28"/>
        </w:rPr>
        <w:t>лимфосаркомы</w:t>
      </w:r>
      <w:proofErr w:type="spellEnd"/>
    </w:p>
    <w:p w14:paraId="442065FE" w14:textId="77777777" w:rsidR="001011C7" w:rsidRDefault="001011C7" w:rsidP="004163F2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г) </w:t>
      </w:r>
      <w:proofErr w:type="spellStart"/>
      <w:r>
        <w:rPr>
          <w:sz w:val="28"/>
        </w:rPr>
        <w:t>целомической</w:t>
      </w:r>
      <w:proofErr w:type="spellEnd"/>
      <w:r>
        <w:rPr>
          <w:sz w:val="28"/>
        </w:rPr>
        <w:t xml:space="preserve"> кисты перикарда</w:t>
      </w:r>
    </w:p>
    <w:p w14:paraId="29F5A53B" w14:textId="77777777" w:rsidR="001011C7" w:rsidRDefault="001011C7">
      <w:pPr>
        <w:widowControl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Ответы на тесты.</w:t>
      </w:r>
    </w:p>
    <w:p w14:paraId="4FD087BF" w14:textId="77777777" w:rsidR="001011C7" w:rsidRDefault="001011C7">
      <w:pPr>
        <w:widowControl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1 - г, 2 - в, 3 - а, 4 - а, 5 - г, 6 - а, 7 – а в, 8 – г </w:t>
      </w:r>
      <w:proofErr w:type="spellStart"/>
      <w:r>
        <w:rPr>
          <w:sz w:val="28"/>
        </w:rPr>
        <w:t>д</w:t>
      </w:r>
      <w:proofErr w:type="spellEnd"/>
      <w:r>
        <w:rPr>
          <w:sz w:val="28"/>
        </w:rPr>
        <w:t>, 9 – а б в г е, 10 – а в.</w:t>
      </w:r>
    </w:p>
    <w:p w14:paraId="0DF496E3" w14:textId="77777777" w:rsidR="001011C7" w:rsidRDefault="001011C7">
      <w:pPr>
        <w:widowControl/>
        <w:spacing w:after="120" w:line="360" w:lineRule="auto"/>
        <w:jc w:val="center"/>
        <w:rPr>
          <w:sz w:val="28"/>
        </w:rPr>
      </w:pPr>
      <w:r>
        <w:rPr>
          <w:sz w:val="28"/>
        </w:rPr>
        <w:t>Литература.</w:t>
      </w:r>
    </w:p>
    <w:p w14:paraId="7B4D3689" w14:textId="77777777" w:rsidR="001011C7" w:rsidRDefault="001011C7" w:rsidP="004163F2">
      <w:pPr>
        <w:widowControl/>
        <w:numPr>
          <w:ilvl w:val="0"/>
          <w:numId w:val="6"/>
        </w:numPr>
        <w:spacing w:after="120" w:line="360" w:lineRule="auto"/>
        <w:ind w:left="0" w:firstLine="709"/>
        <w:jc w:val="both"/>
        <w:rPr>
          <w:sz w:val="28"/>
        </w:rPr>
      </w:pPr>
      <w:proofErr w:type="spellStart"/>
      <w:r>
        <w:rPr>
          <w:sz w:val="28"/>
        </w:rPr>
        <w:t>Гостищев</w:t>
      </w:r>
      <w:proofErr w:type="spellEnd"/>
      <w:r>
        <w:rPr>
          <w:sz w:val="28"/>
        </w:rPr>
        <w:t xml:space="preserve"> В.К. Общая хирургия. М.: Медицина, 1997. - 672с.</w:t>
      </w:r>
    </w:p>
    <w:p w14:paraId="5C322F30" w14:textId="77777777" w:rsidR="001011C7" w:rsidRDefault="001011C7" w:rsidP="004163F2">
      <w:pPr>
        <w:widowControl/>
        <w:numPr>
          <w:ilvl w:val="0"/>
          <w:numId w:val="14"/>
        </w:numPr>
        <w:spacing w:after="120" w:line="360" w:lineRule="auto"/>
        <w:ind w:left="0" w:firstLine="709"/>
        <w:jc w:val="both"/>
        <w:rPr>
          <w:sz w:val="28"/>
        </w:rPr>
      </w:pPr>
      <w:r>
        <w:rPr>
          <w:sz w:val="28"/>
        </w:rPr>
        <w:t>Петровский Б.В. Хирургические болезни. М.: Медицина, 1980. – 584с.</w:t>
      </w:r>
    </w:p>
    <w:p w14:paraId="0C492360" w14:textId="77777777" w:rsidR="001011C7" w:rsidRDefault="001011C7" w:rsidP="004163F2">
      <w:pPr>
        <w:widowControl/>
        <w:numPr>
          <w:ilvl w:val="0"/>
          <w:numId w:val="15"/>
        </w:numPr>
        <w:spacing w:after="120" w:line="360" w:lineRule="auto"/>
        <w:ind w:left="0" w:firstLine="709"/>
        <w:jc w:val="both"/>
      </w:pPr>
      <w:r>
        <w:rPr>
          <w:sz w:val="28"/>
        </w:rPr>
        <w:t>Русаков В.И. Основы частной хирургии. М.: Медицина, 1997. - 512с.</w:t>
      </w:r>
    </w:p>
    <w:sectPr w:rsidR="001011C7" w:rsidSect="004163F2">
      <w:endnotePr>
        <w:numFmt w:val="decimal"/>
      </w:endnotePr>
      <w:pgSz w:w="11907" w:h="16840"/>
      <w:pgMar w:top="1134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2BD2"/>
    <w:multiLevelType w:val="singleLevel"/>
    <w:tmpl w:val="C326141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8"/>
      </w:rPr>
    </w:lvl>
  </w:abstractNum>
  <w:abstractNum w:abstractNumId="1" w15:restartNumberingAfterBreak="0">
    <w:nsid w:val="0CDB6319"/>
    <w:multiLevelType w:val="singleLevel"/>
    <w:tmpl w:val="C326141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8"/>
      </w:rPr>
    </w:lvl>
  </w:abstractNum>
  <w:abstractNum w:abstractNumId="2" w15:restartNumberingAfterBreak="0">
    <w:nsid w:val="6C9A2A2D"/>
    <w:multiLevelType w:val="singleLevel"/>
    <w:tmpl w:val="C326141C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sz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5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6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7">
    <w:abstractNumId w:val="1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8">
    <w:abstractNumId w:val="1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9">
    <w:abstractNumId w:val="1"/>
    <w:lvlOverride w:ilvl="0">
      <w:lvl w:ilvl="0">
        <w:start w:val="7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0">
    <w:abstractNumId w:val="1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1">
    <w:abstractNumId w:val="1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2">
    <w:abstractNumId w:val="1"/>
    <w:lvlOverride w:ilvl="0">
      <w:lvl w:ilvl="0">
        <w:start w:val="10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3">
    <w:abstractNumId w:val="1"/>
    <w:lvlOverride w:ilvl="0">
      <w:lvl w:ilvl="0">
        <w:start w:val="1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4">
    <w:abstractNumId w:val="1"/>
    <w:lvlOverride w:ilvl="0">
      <w:lvl w:ilvl="0">
        <w:start w:val="1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5">
    <w:abstractNumId w:val="1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  <w:num w:numId="16">
    <w:abstractNumId w:val="1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16"/>
    <w:rsid w:val="000020FF"/>
    <w:rsid w:val="001011C7"/>
    <w:rsid w:val="004163F2"/>
    <w:rsid w:val="00782A16"/>
    <w:rsid w:val="00B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44DE30"/>
  <w15:chartTrackingRefBased/>
  <w15:docId w15:val="{F0192268-7BD1-4D7D-AA98-F40F094D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character" w:styleId="a4">
    <w:name w:val="page number"/>
    <w:basedOn w:val="a3"/>
    <w:rPr>
      <w:sz w:val="20"/>
    </w:rPr>
  </w:style>
  <w:style w:type="paragraph" w:styleId="a5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6">
    <w:name w:val="Body Text"/>
    <w:basedOn w:val="a"/>
    <w:pPr>
      <w:spacing w:before="120" w:line="360" w:lineRule="auto"/>
      <w:jc w:val="center"/>
    </w:pPr>
    <w:rPr>
      <w:b/>
      <w:sz w:val="32"/>
    </w:rPr>
  </w:style>
  <w:style w:type="paragraph" w:styleId="a7">
    <w:name w:val="Body Text Indent"/>
    <w:basedOn w:val="a"/>
    <w:pPr>
      <w:spacing w:line="360" w:lineRule="auto"/>
      <w:ind w:firstLine="709"/>
      <w:jc w:val="both"/>
    </w:pPr>
    <w:rPr>
      <w:sz w:val="28"/>
    </w:rPr>
  </w:style>
  <w:style w:type="paragraph" w:styleId="20">
    <w:name w:val="Body Text Indent 2"/>
    <w:basedOn w:val="a"/>
    <w:pPr>
      <w:spacing w:after="120"/>
      <w:ind w:left="284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государственная медицинская академия</vt:lpstr>
    </vt:vector>
  </TitlesOfParts>
  <Company> </Company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государственная медицинская академия</dc:title>
  <dc:subject/>
  <dc:creator>Алексей Александрович Аксарин</dc:creator>
  <cp:keywords/>
  <dc:description/>
  <cp:lastModifiedBy>Igor</cp:lastModifiedBy>
  <cp:revision>2</cp:revision>
  <dcterms:created xsi:type="dcterms:W3CDTF">2024-11-04T12:00:00Z</dcterms:created>
  <dcterms:modified xsi:type="dcterms:W3CDTF">2024-11-04T12:00:00Z</dcterms:modified>
</cp:coreProperties>
</file>