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AD89" w14:textId="77777777" w:rsidR="006E3D7B" w:rsidRPr="00FE4AD6" w:rsidRDefault="006E3D7B" w:rsidP="00FE4AD6">
      <w:pPr>
        <w:pStyle w:val="1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ОСОБЕННОСТИ ЛЕКАРСТВЕННОЙ ТЕРАПИИ У ДЕТЕЙ</w:t>
      </w:r>
      <w:r w:rsidR="00FE4AD6" w:rsidRPr="00FE4AD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FE4AD6">
        <w:rPr>
          <w:rFonts w:ascii="Times New Roman" w:hAnsi="Times New Roman"/>
          <w:snapToGrid w:val="0"/>
          <w:sz w:val="26"/>
          <w:szCs w:val="26"/>
        </w:rPr>
        <w:t>ОБЩИЕ РАССУЖДЕНИЯ</w:t>
      </w:r>
    </w:p>
    <w:p w14:paraId="0D2E58CF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При лечении детей необходимо выделять группу новорожденных (до 4 нед жизни), детей грудного возраста (до 1 года), раннего и школьного возраста (включая подростков). Для новорожденных и недоношенных следует учитывать нарушения адаптации во внеутробном периоде жизни, кроме того, только в грудном возрасте завершаются процессы созревания ферментной и рецепторной систем (например, для спазмолитиков в бронхиальной системе).</w:t>
      </w:r>
    </w:p>
    <w:p w14:paraId="4611B060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Исследования показали, что лекарственные средства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фармакодинамически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действуют одинаково с периода новорожденности до старости. Показания к назначению их принципиально не отличаются у детей и взрослых. Количественные различия связаны прежде всего с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фармакокинетикой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(см. 32.2). Отмечающиеся же различия в силе эффекта обусловлены состоянием целевого органа, однако, здесь важнее всего учитывать токсичность препарата (см. 32.3). Некоторые лекарственные вещества, например (в</w:t>
      </w:r>
      <w:r w:rsidRPr="00FE4AD6">
        <w:rPr>
          <w:rFonts w:ascii="Times New Roman" w:hAnsi="Times New Roman"/>
          <w:snapToGrid w:val="0"/>
          <w:sz w:val="26"/>
          <w:szCs w:val="26"/>
          <w:vertAlign w:val="subscript"/>
        </w:rPr>
        <w:t>2</w:t>
      </w:r>
      <w:r w:rsidRPr="00FE4AD6">
        <w:rPr>
          <w:rFonts w:ascii="Times New Roman" w:hAnsi="Times New Roman"/>
          <w:snapToGrid w:val="0"/>
          <w:sz w:val="26"/>
          <w:szCs w:val="26"/>
        </w:rPr>
        <w:t>-адреномиметики, применяемые для снятия бронхоспазма, у детей грудного возраста не оказывают эффекта). С другой стороны, недостаточное развитие иммунитета у детей при инфекционных заболеваниях требует раннего и высокодозированного введения антибиотиков.</w:t>
      </w:r>
    </w:p>
    <w:p w14:paraId="2FA82F0A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У детей часто отмечается острая картина заболевания с быстрым излечением. Поэтому имеет смысл тщательно наблюдать за ребенком, и в ситуациях, похожих на таковые у взрослых, не спешить с назначением лекарственных средств (например, антибиотиков, антипиретиков).</w:t>
      </w:r>
    </w:p>
    <w:p w14:paraId="62215624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Число групп лекарственных веществ, необходимых для детей, более ограничено, чем для взрослых, однако лекарственных форм требуется больше (соки, капли, таблетки с ограниченным содержанием действующего вещества, суппозитории), так как существуют различия в потребности и путях введения лекарств в зависимости от возраста. Регулярно применяются у детей антибиотики, глюкокортикоиды, анальгетики, антипиретики, отхаркивающие средства (почти всегда секретолитики, как, например, терпены, амброксол, ацетилцистеин), капли от насморка (</w:t>
      </w: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Xylometazolin</w:t>
      </w:r>
      <w:r w:rsidRPr="00FE4AD6">
        <w:rPr>
          <w:rFonts w:ascii="Times New Roman" w:hAnsi="Times New Roman"/>
          <w:snapToGrid w:val="0"/>
          <w:sz w:val="26"/>
          <w:szCs w:val="26"/>
        </w:rPr>
        <w:t>), инсулин, гормоны щитовидной железы, сердечные гликозиды.</w:t>
      </w:r>
    </w:p>
    <w:p w14:paraId="33F2962B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Антидиарейные препараты и кишечные антисептики не показаны из-за необходимости замещать потерю жидкости (внутрь).</w:t>
      </w:r>
    </w:p>
    <w:p w14:paraId="7C77C975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Очень важный и нелегкий вопрос — правильное дозирование лекарственного средства у детей. Не для всех лекарств хорошо известна фармакокинетика их у ребенка, поэтому из-за предосторожности, но во вред ребенку, часто назначается малая доза. Дозированные таблетки в большинстве случаев базируются на статистически обработанных данных, полученных при лечении. Используя новые лекарственные средства во время клинического лечения, измеряют концентрацию их в плазме крови. При фармакокинетических исследованиях для различных возрастных групп кладут в основу объем распределения и значения клиренса.</w:t>
      </w:r>
    </w:p>
    <w:p w14:paraId="1A78858B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</w:p>
    <w:p w14:paraId="1CA7D8AD" w14:textId="77777777" w:rsidR="006E3D7B" w:rsidRPr="00FE4AD6" w:rsidRDefault="006E3D7B" w:rsidP="00FE4AD6">
      <w:pPr>
        <w:spacing w:line="200" w:lineRule="atLeast"/>
        <w:ind w:firstLine="280"/>
        <w:jc w:val="center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br w:type="page"/>
      </w:r>
      <w:r w:rsidRPr="00FE4AD6">
        <w:rPr>
          <w:rFonts w:ascii="Times New Roman" w:hAnsi="Times New Roman"/>
          <w:snapToGrid w:val="0"/>
          <w:sz w:val="26"/>
          <w:szCs w:val="26"/>
        </w:rPr>
        <w:lastRenderedPageBreak/>
        <w:t>ОСОБЕННОСТИ ФАРМАКОКИНЕТИКИ</w:t>
      </w:r>
    </w:p>
    <w:p w14:paraId="6E301AA5" w14:textId="77777777" w:rsidR="006E3D7B" w:rsidRPr="00FE4AD6" w:rsidRDefault="006E3D7B" w:rsidP="00FE4AD6">
      <w:pPr>
        <w:spacing w:line="4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Выведение</w:t>
      </w:r>
    </w:p>
    <w:p w14:paraId="467B15D1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У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зрелых новорожденных, а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тем более у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недоношенных,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способность печени к глюкуронизации, сульфатированию и гидроксилированию чужеродных веществ недостаточно развита. Поэтому периоды полувыведения хорошо жирорастворимых веществ значительно удлинены. Более того, не у всех новорожденных закончен период становления фильтрационного процесса нефронов (что опять-таки зависит от их зрелости), в связи с чем хорошо водорастворимые, ренально элиминирующиеся вещества выводятся в раннем возрасте медленнее. Для некоторых детей грудного возраста печеночная и почечная элиминация совершенно непредсказуема. Созревание практически заканчивается даже у зрелых новорожденных, а тем более у недоношенных детей, через 4—6 нед. Во время этого периода возможно значительное пролонгирование элиминации (см. табл. 32.1), что может привести к относительному передозированию препарата. Так, хлорамфеникол вызывает нарушение кровообращения — коллапс («серый» синдром). Тетрациклины приводят к усиленной выработке ликвора (гидроцефалии). Поэтому «безопасность» детей этого возраста может быть обеспечена только с помощью измерения концентрации лекарственного вещества в плазме крови.</w:t>
      </w:r>
    </w:p>
    <w:p w14:paraId="7B00BFB9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</w:p>
    <w:p w14:paraId="66C82360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Правило объема распределения и поверхности тела</w:t>
      </w:r>
    </w:p>
    <w:p w14:paraId="27020DCA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i/>
          <w:snapToGrid w:val="0"/>
          <w:sz w:val="26"/>
          <w:szCs w:val="26"/>
        </w:rPr>
        <w:t>Константы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элиминации в первый год жизни практически не играют никакой роли и не обусловлены возрастными изменениями. Однако клиренс почти всех лекарственных веществ больше, чем у взрослых, так как объем распределения зависит от возраста. Доза лекарства для детей раннего возраста может быть рассчитана в зависимости от объема распределения по дозе взрослых. Правда, необходимо всегда иметь в виду, что определенные лекарственные средства, например теофиллин, у детей выводятся быстрее.</w:t>
      </w:r>
    </w:p>
    <w:p w14:paraId="14D7D826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Только некоторые вещества, такие как этанол, распределяются в жидкости всего организма. И это пространство распределения является пропорциональным массе тела. Многие же лекарственные препараты распределяются в экстрацеллюлярной жидкости (</w:t>
      </w: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EZR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). Экстрацеллюлярное пространство имеет ламинарную форму с минимальной высотой (расстояние между клетками) и практически определяется только растяжением своей поверхности. Экспериментально установлена его пропорциональность поверхности тела (КО): </w:t>
      </w: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EZR</w:t>
      </w:r>
      <w:r w:rsidRPr="00FE4AD6">
        <w:rPr>
          <w:rFonts w:ascii="Times New Roman" w:hAnsi="Times New Roman"/>
          <w:snapToGrid w:val="0"/>
          <w:sz w:val="26"/>
          <w:szCs w:val="26"/>
        </w:rPr>
        <w:t>= 6,04 х КО</w:t>
      </w:r>
      <w:r w:rsidRPr="00FE4AD6">
        <w:rPr>
          <w:rFonts w:ascii="Times New Roman" w:hAnsi="Times New Roman"/>
          <w:snapToGrid w:val="0"/>
          <w:sz w:val="26"/>
          <w:szCs w:val="26"/>
          <w:vertAlign w:val="superscript"/>
        </w:rPr>
        <w:t>0,998</w:t>
      </w:r>
      <w:r w:rsidRPr="00FE4AD6">
        <w:rPr>
          <w:rFonts w:ascii="Times New Roman" w:hAnsi="Times New Roman"/>
          <w:snapToGrid w:val="0"/>
          <w:sz w:val="26"/>
          <w:szCs w:val="26"/>
        </w:rPr>
        <w:t>. Нарушения в электролитном состоянии (лихорадка, рвота, эксикоз, отеки) изменяют это соотношение, однако у детей это изменение является особо значительным. Хорошо жирорастворимые вещества, которые транспортируются в крови с помощью обратимого связывания с белками, могут откладываться на мембранных структурах и распределяться равным образом одинаково и пропорционально поверхности.</w:t>
      </w:r>
    </w:p>
    <w:p w14:paraId="378BF482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Другие лекарственные вещества с сильными липофильными свойствами, например центрально действующие (фенобарбитал, антиэпилептические средства, анестетики), распределяются в жировой ткани, которая у детей имеет больший объем по сравнению со взрослыми.</w:t>
      </w:r>
    </w:p>
    <w:p w14:paraId="0F2FFCBE" w14:textId="62E5744E" w:rsidR="006E3D7B" w:rsidRPr="00FE4AD6" w:rsidRDefault="00E54914" w:rsidP="00FE4AD6">
      <w:pPr>
        <w:ind w:firstLine="709"/>
        <w:rPr>
          <w:rFonts w:ascii="Times New Roman" w:hAnsi="Times New Roman"/>
          <w:sz w:val="26"/>
          <w:szCs w:val="26"/>
        </w:rPr>
      </w:pPr>
      <w:r w:rsidRPr="00FE4A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0" allowOverlap="1" wp14:anchorId="251D8B84" wp14:editId="4C61E6F0">
            <wp:simplePos x="0" y="0"/>
            <wp:positionH relativeFrom="column">
              <wp:posOffset>1296670</wp:posOffset>
            </wp:positionH>
            <wp:positionV relativeFrom="paragraph">
              <wp:posOffset>424180</wp:posOffset>
            </wp:positionV>
            <wp:extent cx="2638425" cy="3892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D7B" w:rsidRPr="00FE4AD6">
        <w:rPr>
          <w:rFonts w:ascii="Times New Roman" w:hAnsi="Times New Roman"/>
          <w:snapToGrid w:val="0"/>
          <w:sz w:val="26"/>
          <w:szCs w:val="26"/>
        </w:rPr>
        <w:t xml:space="preserve">Эти разъяснения делают понятным правило поверхности тела, которое годится для многих, но все же не для всех лекарственных веществ. Его формула: </w:t>
      </w:r>
    </w:p>
    <w:p w14:paraId="3EFFAC83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</w:p>
    <w:p w14:paraId="7189ECDC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достигает при хорошем питании вида 0,09 х </w:t>
      </w: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W</w:t>
      </w:r>
      <w:r w:rsidRPr="00FE4AD6">
        <w:rPr>
          <w:rFonts w:ascii="Times New Roman" w:hAnsi="Times New Roman"/>
          <w:smallCaps/>
          <w:snapToGrid w:val="0"/>
          <w:sz w:val="26"/>
          <w:szCs w:val="26"/>
        </w:rPr>
        <w:t>(кг)</w:t>
      </w:r>
      <w:r w:rsidRPr="00FE4AD6">
        <w:rPr>
          <w:rFonts w:ascii="Times New Roman" w:hAnsi="Times New Roman"/>
          <w:snapToGrid w:val="0"/>
          <w:sz w:val="26"/>
          <w:szCs w:val="26"/>
          <w:vertAlign w:val="superscript"/>
        </w:rPr>
        <w:t>0,73</w:t>
      </w:r>
      <w:r w:rsidRPr="00FE4AD6">
        <w:rPr>
          <w:rFonts w:ascii="Times New Roman" w:hAnsi="Times New Roman"/>
          <w:smallCaps/>
          <w:snapToGrid w:val="0"/>
          <w:sz w:val="26"/>
          <w:szCs w:val="26"/>
        </w:rPr>
        <w:t xml:space="preserve">, 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где </w:t>
      </w:r>
    </w:p>
    <w:p w14:paraId="5350BADE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lastRenderedPageBreak/>
        <w:t>ND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— нормальная доза; </w:t>
      </w:r>
    </w:p>
    <w:p w14:paraId="5B1DB5BB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W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— масса; </w:t>
      </w:r>
    </w:p>
    <w:p w14:paraId="1DD1B408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КО — поверхность тела.</w:t>
      </w:r>
    </w:p>
    <w:p w14:paraId="10F45C5E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Можно сделать вывод, что органы ребенка «плавают в ванной», размеры которой относительно больше, чем у взрослых.</w:t>
      </w:r>
    </w:p>
    <w:p w14:paraId="0988443D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Если придерживаться правила поверхности тела, то передозирование почти невозможно, а вот малая дозировка вероятна. Это играет роль при назначении противоэпилептических препаратов. Поэтому в таких случаях следует использовать различные приемы расчета, чтобы достичь более высокой точности дозирования (см. табл. 32.2).</w:t>
      </w:r>
    </w:p>
    <w:p w14:paraId="4BAE9394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Для некоторых лекарственных средств правило поверхности не применяется. Так, например, кодеин для любого возраста рассчитывается в зависимости от массы тела, приблизительно 0,5 мг/кг.</w:t>
      </w:r>
    </w:p>
    <w:p w14:paraId="0360702F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</w:p>
    <w:p w14:paraId="25BC5F44" w14:textId="77777777" w:rsidR="006E3D7B" w:rsidRPr="00FE4AD6" w:rsidRDefault="006E3D7B" w:rsidP="00FE4AD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FE4AD6">
        <w:rPr>
          <w:rFonts w:ascii="Times New Roman" w:hAnsi="Times New Roman"/>
          <w:sz w:val="26"/>
          <w:szCs w:val="26"/>
        </w:rPr>
        <w:t>НЕЖЕЛАТЕЛЬНЫЕ ПОБОЧНЫЕ ЭФФЕКТЫ, ОБУСЛОВЛЕННЫЕ НЕЗРЕЛОСТЬЮ И НЕДОРАЗВИТИЕМ ОРГАНИЗМА</w:t>
      </w:r>
    </w:p>
    <w:p w14:paraId="469F8347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Будут обсуждены только такие противопоказания и нежелательные побочные эффекты, которые имеют особое значение для детей. Однако при назначении лекарств детям следует всегда учитывать противопоказания и нежелательные эффекты, описанные для взрослых.</w:t>
      </w:r>
    </w:p>
    <w:p w14:paraId="707C10E2" w14:textId="77777777" w:rsidR="006E3D7B" w:rsidRPr="00FE4AD6" w:rsidRDefault="006E3D7B" w:rsidP="00FE4AD6">
      <w:pPr>
        <w:ind w:firstLine="709"/>
        <w:rPr>
          <w:rFonts w:ascii="Times New Roman" w:hAnsi="Times New Roman"/>
          <w:sz w:val="26"/>
          <w:szCs w:val="26"/>
        </w:rPr>
      </w:pPr>
    </w:p>
    <w:p w14:paraId="62A0A2FD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Новорожденным противопоказаны препараты, обладающие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большой способностью связываться с протеинами,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концентрация которых в крови составляет 1—10 мкг/мл. Эти лекарства связывают значительное количество плазменных альбуминов и увеличивают содержание свободного билирубина, что может привести у детей первых 2 нед жизни, а у незрелых новорожденных и позже, к ядерной желтухе. Значение билирубина около 100 мкг/мл при нормальном разрушении эритроцитов в ретикулоэндотелиальной системе в этом возрасте принимается за физиологическую норму, так как отмечается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 xml:space="preserve">«становление функций". </w:t>
      </w:r>
      <w:r w:rsidRPr="00FE4AD6">
        <w:rPr>
          <w:rFonts w:ascii="Times New Roman" w:hAnsi="Times New Roman"/>
          <w:snapToGrid w:val="0"/>
          <w:sz w:val="26"/>
          <w:szCs w:val="26"/>
        </w:rPr>
        <w:t>Противопоказано назначение сульфаниламидов и производных сульфонилмочевины во время беременности и родов!</w:t>
      </w:r>
    </w:p>
    <w:p w14:paraId="4799AB89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Любое длительное лечение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глюкокортикоидами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приводит к замедлению роста и возникновению карликовости. Об этом следует помнить в тех случаях, когда методы наблюдения не позволяют вовремя распознать гиперкортицизм, чего трудно избежать, например, при заместительной терапии вследствие недостаточности надпочечников (адреногенитальный синдром).</w:t>
      </w:r>
    </w:p>
    <w:p w14:paraId="6D5688A0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Не следует назначать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тетрациклины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детям первых 5 лет жизни и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беременным.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Образование кальциевых комплексов приводит к замедлению роста плода, изменению цвета дентина с поражением кариесом зубов, которые закладывались во время лечения тетрациклином (см. 27.4.4).</w:t>
      </w:r>
    </w:p>
    <w:p w14:paraId="2BC44482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i/>
          <w:snapToGrid w:val="0"/>
          <w:sz w:val="26"/>
          <w:szCs w:val="26"/>
        </w:rPr>
        <w:t>Вещества, тормозящие гиразу,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не следует применять во время всего периода роста, так как опытами на животных доказаны такие тяжелые повреждения хрящей, что повторить подобное исследование на людях совершенно невозможно.</w:t>
      </w:r>
    </w:p>
    <w:p w14:paraId="2384F5BC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i/>
          <w:snapToGrid w:val="0"/>
          <w:sz w:val="26"/>
          <w:szCs w:val="26"/>
        </w:rPr>
        <w:t>Средства, используемые при недостатке гормонов и витаминов: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неэффективны противодиабетические средства внутрь (см. 25.3.1).</w:t>
      </w:r>
    </w:p>
    <w:p w14:paraId="3ED40437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Передозировка витамина А также всегда опасна, когда проводится профилактика рахита мультивитаминными препаратами (неблагоприятные количественные соотношения между витамином </w:t>
      </w:r>
      <w:r w:rsidRPr="00FE4AD6">
        <w:rPr>
          <w:rFonts w:ascii="Times New Roman" w:hAnsi="Times New Roman"/>
          <w:snapToGrid w:val="0"/>
          <w:sz w:val="26"/>
          <w:szCs w:val="26"/>
          <w:lang w:val="en-US"/>
        </w:rPr>
        <w:t>D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и витамином А). Наряду с известными симптомами гипервитаминоза А (кожные изменения, изменения глаз и гастроинтестинального </w:t>
      </w:r>
      <w:r w:rsidRPr="00FE4AD6">
        <w:rPr>
          <w:rFonts w:ascii="Times New Roman" w:hAnsi="Times New Roman"/>
          <w:snapToGrid w:val="0"/>
          <w:sz w:val="26"/>
          <w:szCs w:val="26"/>
        </w:rPr>
        <w:lastRenderedPageBreak/>
        <w:t>тракта) можно назвать еще один, который встречается у детей грудного возраста и обусловлен повышенной выработкой ликвора — увеличение объема головы.</w:t>
      </w:r>
    </w:p>
    <w:p w14:paraId="66B2806E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i/>
          <w:snapToGrid w:val="0"/>
          <w:sz w:val="26"/>
          <w:szCs w:val="26"/>
        </w:rPr>
        <w:t>Индометацин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снижает и без того низкую гломерулярную фильтрацию новорожденных в процентном отношении сильнее, чем у взрослых.</w:t>
      </w:r>
    </w:p>
    <w:p w14:paraId="68F5DC9E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Нейрологическое обследование, а также клинические исследования мозга и вестибулярной функции ребенка чрезвычайно затруднены, поэтому некоторые повреждения иногда становятся необратимыми. С другой стороны, нарушения походки могут быть следствием длительного пребывания в постели. На этом основании следует с особой осторожностью применять потенциально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ототоксичные,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и соответственно </w:t>
      </w:r>
      <w:r w:rsidRPr="00FE4AD6">
        <w:rPr>
          <w:rFonts w:ascii="Times New Roman" w:hAnsi="Times New Roman"/>
          <w:i/>
          <w:snapToGrid w:val="0"/>
          <w:sz w:val="26"/>
          <w:szCs w:val="26"/>
        </w:rPr>
        <w:t>нейротоксичные,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лекарственные вещества, такие, например, как антибиотики аминогликозидового ряда и амфотерицин В.</w:t>
      </w:r>
    </w:p>
    <w:p w14:paraId="3B1D7F60" w14:textId="77777777" w:rsidR="006E3D7B" w:rsidRPr="00FE4AD6" w:rsidRDefault="006E3D7B" w:rsidP="00FE4AD6">
      <w:pPr>
        <w:spacing w:line="18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i/>
          <w:snapToGrid w:val="0"/>
          <w:sz w:val="26"/>
          <w:szCs w:val="26"/>
        </w:rPr>
        <w:t>Фенотиазин</w:t>
      </w:r>
      <w:r w:rsidRPr="00FE4AD6">
        <w:rPr>
          <w:rFonts w:ascii="Times New Roman" w:hAnsi="Times New Roman"/>
          <w:snapToGrid w:val="0"/>
          <w:sz w:val="26"/>
          <w:szCs w:val="26"/>
        </w:rPr>
        <w:t xml:space="preserve"> и некоторые другие лекарственные средства, обладающие сходным нейролептическим действием, приводят к возникновению паркинсоноподобных синдромов. Даже при правильной дозировке именно у детей эти препараты часто вызывают тяжелые дискинезии, тики, гримасы, кривошею. С другой стороны, вышеназванные симптомы имитируют клиническую картину психического заболевания (см. 22.2.4). Подобные признаки наблюдаются также при приеме метоклопрамида, который в детской практике наиболее часто назначают при диспептических нарушениях (см. 15.3.3). В качестве антидота эффективен бипериден — внутривенно медленно.</w:t>
      </w:r>
    </w:p>
    <w:p w14:paraId="75AC67E1" w14:textId="77777777" w:rsidR="00FE4AD6" w:rsidRDefault="00FE4AD6" w:rsidP="00FE4AD6">
      <w:pPr>
        <w:spacing w:line="180" w:lineRule="atLeast"/>
        <w:jc w:val="center"/>
        <w:rPr>
          <w:rFonts w:ascii="Times New Roman" w:hAnsi="Times New Roman"/>
          <w:snapToGrid w:val="0"/>
          <w:sz w:val="26"/>
          <w:szCs w:val="26"/>
        </w:rPr>
      </w:pPr>
    </w:p>
    <w:p w14:paraId="721A130E" w14:textId="77777777" w:rsidR="006E3D7B" w:rsidRDefault="006E3D7B" w:rsidP="00FE4AD6">
      <w:pPr>
        <w:spacing w:line="180" w:lineRule="atLeast"/>
        <w:jc w:val="center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ЛЕКАРСТВЕННЫЕ ФОРМЫ И ИХ ПРИМЕНЕНИЕ</w:t>
      </w:r>
    </w:p>
    <w:p w14:paraId="6D59E4B6" w14:textId="77777777" w:rsidR="00FE4AD6" w:rsidRPr="00FE4AD6" w:rsidRDefault="00FE4AD6" w:rsidP="00FE4AD6">
      <w:pPr>
        <w:spacing w:line="180" w:lineRule="atLeast"/>
        <w:jc w:val="center"/>
        <w:rPr>
          <w:rFonts w:ascii="Times New Roman" w:hAnsi="Times New Roman"/>
          <w:snapToGrid w:val="0"/>
          <w:sz w:val="26"/>
          <w:szCs w:val="26"/>
        </w:rPr>
      </w:pPr>
    </w:p>
    <w:p w14:paraId="2CA81839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Нередко хорошо действующее и показанное лекарственное вещество считается эффективным, если оно назначается в малых дозах. Всем другим моментам часто не придают никакого значения.</w:t>
      </w:r>
    </w:p>
    <w:p w14:paraId="47B61128" w14:textId="77777777" w:rsidR="006E3D7B" w:rsidRPr="00FE4AD6" w:rsidRDefault="006E3D7B" w:rsidP="00FE4AD6">
      <w:pPr>
        <w:spacing w:line="200" w:lineRule="atLeast"/>
        <w:ind w:firstLine="709"/>
        <w:rPr>
          <w:rFonts w:ascii="Times New Roman" w:hAnsi="Times New Roman"/>
          <w:snapToGrid w:val="0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>Иногда ребенок отказывается принимать лекарство внутрь или реагирует рвотой на принудительную дачу его. Причиной этого может быть объем, вкус лекарства (например, открытые капсулы), хотя виноваты в этом, возможно, лица, обслуживающие ребенка. Мать и медсестра могли дать это лекарство и каким-либо безопасным способом, если они знают о риске заболевания и полезности проводимой терапии. Врач должен был передать им эти знания.</w:t>
      </w:r>
    </w:p>
    <w:p w14:paraId="2EBD0C31" w14:textId="77777777" w:rsidR="006E3D7B" w:rsidRPr="00FE4AD6" w:rsidRDefault="006E3D7B" w:rsidP="00FE4AD6">
      <w:pPr>
        <w:ind w:firstLine="709"/>
        <w:rPr>
          <w:rFonts w:ascii="Times New Roman" w:hAnsi="Times New Roman"/>
          <w:sz w:val="26"/>
          <w:szCs w:val="26"/>
        </w:rPr>
      </w:pPr>
      <w:r w:rsidRPr="00FE4AD6">
        <w:rPr>
          <w:rFonts w:ascii="Times New Roman" w:hAnsi="Times New Roman"/>
          <w:snapToGrid w:val="0"/>
          <w:sz w:val="26"/>
          <w:szCs w:val="26"/>
        </w:rPr>
        <w:t xml:space="preserve">Использование суппозиториев допустимо только для тех лекарственных веществ, действие которых хорошо известно, например, для антипиретиков, анальгетиков и седативных препаратов, когда можно дозировать их эффект. Резорбция из суппозиториев в большинстве случаев чрезвычайно ограничена и непостоянна. Поэтому не следует использовать антибиотики или глюкокортикоиды в суппозиториях. Эти лекарственные препараты назначают, ориентируясь на концентрацию в плазме крови. </w:t>
      </w:r>
    </w:p>
    <w:p w14:paraId="2589736B" w14:textId="77777777" w:rsidR="006E3D7B" w:rsidRPr="00FE4AD6" w:rsidRDefault="006E3D7B" w:rsidP="00FE4AD6">
      <w:pPr>
        <w:rPr>
          <w:rFonts w:ascii="Times New Roman" w:hAnsi="Times New Roman"/>
          <w:sz w:val="26"/>
          <w:szCs w:val="26"/>
        </w:rPr>
      </w:pPr>
    </w:p>
    <w:sectPr w:rsidR="006E3D7B" w:rsidRPr="00FE4AD6" w:rsidSect="00554E2F">
      <w:pgSz w:w="11907" w:h="16840" w:code="9"/>
      <w:pgMar w:top="1134" w:right="851" w:bottom="113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6B"/>
    <w:rsid w:val="00554E2F"/>
    <w:rsid w:val="006E3D7B"/>
    <w:rsid w:val="00E54914"/>
    <w:rsid w:val="00EF036B"/>
    <w:rsid w:val="00F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B78D5"/>
  <w15:chartTrackingRefBased/>
  <w15:docId w15:val="{92648B87-3FA3-4557-9602-4C64403B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567"/>
      <w:jc w:val="both"/>
    </w:pPr>
    <w:rPr>
      <w:rFonts w:ascii="Baskerville Win95BT" w:hAnsi="Baskerville Win95BT"/>
      <w:kern w:val="28"/>
      <w:sz w:val="24"/>
    </w:rPr>
  </w:style>
  <w:style w:type="paragraph" w:styleId="1">
    <w:name w:val="heading 1"/>
    <w:basedOn w:val="a"/>
    <w:qFormat/>
    <w:pPr>
      <w:keepNext/>
      <w:ind w:firstLine="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4536" w:firstLine="0"/>
    </w:pPr>
    <w:rPr>
      <w:i/>
      <w:kern w:val="20"/>
    </w:rPr>
  </w:style>
  <w:style w:type="paragraph" w:customStyle="1" w:styleId="10">
    <w:name w:val="Стиль1"/>
    <w:basedOn w:val="a"/>
    <w:rPr>
      <w:rFonts w:ascii="Arial" w:hAnsi="Arial"/>
    </w:rPr>
  </w:style>
  <w:style w:type="paragraph" w:styleId="a3">
    <w:name w:val="Body Text Indent"/>
    <w:basedOn w:val="a"/>
    <w:pPr>
      <w:spacing w:line="200" w:lineRule="atLeast"/>
    </w:pPr>
    <w:rPr>
      <w:rFonts w:ascii="Arial" w:hAnsi="Arial"/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</vt:lpstr>
    </vt:vector>
  </TitlesOfParts>
  <Company>ТГМА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</dc:title>
  <dc:subject/>
  <dc:creator>Бармин Дмитрий</dc:creator>
  <cp:keywords/>
  <cp:lastModifiedBy>Igor</cp:lastModifiedBy>
  <cp:revision>2</cp:revision>
  <dcterms:created xsi:type="dcterms:W3CDTF">2024-11-05T15:57:00Z</dcterms:created>
  <dcterms:modified xsi:type="dcterms:W3CDTF">2024-11-05T15:57:00Z</dcterms:modified>
</cp:coreProperties>
</file>