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A8B7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6FEA2B53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58D0DDC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F596A65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74536461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3E3EC637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946F1E4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1BA7D5E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6A6821D7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37E712C5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36C7DBFF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2C4F839B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1788D1B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8C9F657" w14:textId="77777777" w:rsidR="00EB6EEE" w:rsidRDefault="00EB6EEE">
      <w:pPr>
        <w:pStyle w:val="2"/>
        <w:jc w:val="center"/>
      </w:pPr>
      <w:r>
        <w:t>РЕФЕРАТ</w:t>
      </w:r>
    </w:p>
    <w:p w14:paraId="46FC1D8E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5106AD89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83C33F2" w14:textId="77777777" w:rsidR="00EB6EEE" w:rsidRDefault="00EB6EEE">
      <w:pPr>
        <w:ind w:left="720"/>
        <w:rPr>
          <w:b/>
          <w:bCs/>
          <w:sz w:val="28"/>
          <w:szCs w:val="28"/>
        </w:rPr>
      </w:pPr>
    </w:p>
    <w:p w14:paraId="08A16FDB" w14:textId="77777777" w:rsidR="00EB6EEE" w:rsidRPr="003F21AB" w:rsidRDefault="00EB6EEE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ТЕМА:</w:t>
      </w:r>
      <w:r w:rsidR="002636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Особенности зрения человека</w:t>
      </w:r>
    </w:p>
    <w:p w14:paraId="344CED17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06305E9B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08AA0C38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7EA384C0" w14:textId="77777777" w:rsidR="00EB6EEE" w:rsidRPr="003F21AB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6228B3BB" w14:textId="77777777" w:rsidR="00EB6EEE" w:rsidRPr="003F21AB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4E84020C" w14:textId="77777777" w:rsidR="00EB6EEE" w:rsidRPr="003F21AB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394F5C87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349D7C8A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18BF7747" w14:textId="77777777" w:rsidR="00EB6EEE" w:rsidRDefault="00EB6EEE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Выполнил: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Коробейникова Т. Н.</w:t>
      </w:r>
    </w:p>
    <w:p w14:paraId="044F9AAA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7CED2440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3094A9CE" w14:textId="77777777" w:rsidR="00EB6EEE" w:rsidRDefault="00EB6EEE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Проверил: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6360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Кривеня Е. А.</w:t>
      </w:r>
    </w:p>
    <w:p w14:paraId="524315BB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72A5953A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555ABA4B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14A9C290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4F99D6B1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5BCE2FF9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10133DF9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4D3D3D1E" w14:textId="77777777" w:rsidR="00EB6EEE" w:rsidRDefault="00EB6EEE">
      <w:pPr>
        <w:ind w:left="720"/>
        <w:rPr>
          <w:b/>
          <w:bCs/>
          <w:sz w:val="32"/>
          <w:szCs w:val="32"/>
        </w:rPr>
      </w:pPr>
    </w:p>
    <w:p w14:paraId="415E8290" w14:textId="77777777" w:rsidR="00EB6EEE" w:rsidRPr="003F21AB" w:rsidRDefault="00EB6EEE">
      <w:pPr>
        <w:ind w:left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2002 год</w:t>
      </w:r>
    </w:p>
    <w:p w14:paraId="61C39FE8" w14:textId="77777777"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14:paraId="28DA801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lastRenderedPageBreak/>
        <w:t xml:space="preserve">ПЛАН </w:t>
      </w:r>
    </w:p>
    <w:p w14:paraId="616FDE85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1BB8860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t xml:space="preserve">Введение </w:t>
      </w:r>
    </w:p>
    <w:p w14:paraId="10FBBCF4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248C8567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1. Принцип строения зрительного анализатора </w:t>
      </w:r>
    </w:p>
    <w:p w14:paraId="3DE6931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1A4B41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1.1. Строение глазного яблока</w:t>
      </w:r>
    </w:p>
    <w:p w14:paraId="369CAF3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33F9BB6D" w14:textId="77777777" w:rsidR="00EB6EEE" w:rsidRPr="007D4579" w:rsidRDefault="00EB6EEE" w:rsidP="007D4579">
      <w:pPr>
        <w:numPr>
          <w:ilvl w:val="1"/>
          <w:numId w:val="4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Строение и функции сетчатки глаза </w:t>
      </w:r>
    </w:p>
    <w:p w14:paraId="0E98092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79A42516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1.3. Центры головного мозга, анализирующие восприятие</w:t>
      </w:r>
    </w:p>
    <w:p w14:paraId="292FA9D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4945A47" w14:textId="77777777" w:rsidR="00EB6EEE" w:rsidRPr="007D4579" w:rsidRDefault="003F21AB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2. </w:t>
      </w:r>
      <w:r w:rsidR="00EB6EEE" w:rsidRPr="007D4579">
        <w:rPr>
          <w:sz w:val="24"/>
          <w:szCs w:val="24"/>
        </w:rPr>
        <w:t>Молекулярные механизмы зрения</w:t>
      </w:r>
    </w:p>
    <w:p w14:paraId="6A582B35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37E9327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Са 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зрительный каскад</w:t>
      </w:r>
    </w:p>
    <w:p w14:paraId="39E02585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70C3DC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2.2. Са 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, регуляция зрительного ответа </w:t>
      </w:r>
    </w:p>
    <w:p w14:paraId="5BABBD2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6859A80" w14:textId="77777777" w:rsidR="00EB6EEE" w:rsidRPr="007D4579" w:rsidRDefault="003F21AB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3. </w:t>
      </w:r>
      <w:r w:rsidR="00EB6EEE" w:rsidRPr="007D4579">
        <w:rPr>
          <w:sz w:val="24"/>
          <w:szCs w:val="24"/>
        </w:rPr>
        <w:t xml:space="preserve">Некоторые нарушения зрения </w:t>
      </w:r>
    </w:p>
    <w:p w14:paraId="2E8505F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042393B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Близорукость</w:t>
      </w:r>
    </w:p>
    <w:p w14:paraId="479A733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0B43A6BB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Дальнозоркость</w:t>
      </w:r>
    </w:p>
    <w:p w14:paraId="3D6016E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A5C1E0C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Астигматизм </w:t>
      </w:r>
    </w:p>
    <w:p w14:paraId="2AF982A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11742A0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Косоглазие</w:t>
      </w:r>
    </w:p>
    <w:p w14:paraId="3463BFCE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71C206D8" w14:textId="77777777" w:rsidR="00EB6EEE" w:rsidRPr="007D4579" w:rsidRDefault="00EB6EEE" w:rsidP="007D4579">
      <w:pPr>
        <w:numPr>
          <w:ilvl w:val="1"/>
          <w:numId w:val="5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Дальтонизм</w:t>
      </w:r>
    </w:p>
    <w:p w14:paraId="3B8D717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3C47031A" w14:textId="77777777" w:rsidR="00EB6EEE" w:rsidRPr="007D4579" w:rsidRDefault="00EB6EEE" w:rsidP="007D4579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Профилактика зрения</w:t>
      </w:r>
    </w:p>
    <w:p w14:paraId="0B4ED59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A65A15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Выводы</w:t>
      </w:r>
    </w:p>
    <w:p w14:paraId="57EBF82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129CA13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Используемая литература</w:t>
      </w:r>
    </w:p>
    <w:p w14:paraId="1DE10CF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DBB986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Приложение</w:t>
      </w:r>
    </w:p>
    <w:p w14:paraId="00D383FD" w14:textId="77777777" w:rsidR="00EB6EEE" w:rsidRDefault="00EB6EEE">
      <w:pPr>
        <w:rPr>
          <w:sz w:val="32"/>
          <w:szCs w:val="32"/>
        </w:rPr>
      </w:pPr>
    </w:p>
    <w:p w14:paraId="4D7B3416" w14:textId="77777777" w:rsidR="00EB6EEE" w:rsidRDefault="00EB6EEE">
      <w:pPr>
        <w:rPr>
          <w:sz w:val="32"/>
          <w:szCs w:val="32"/>
        </w:rPr>
      </w:pPr>
    </w:p>
    <w:p w14:paraId="0A8A0C29" w14:textId="77777777" w:rsidR="00EB6EEE" w:rsidRDefault="00EB6EEE">
      <w:pPr>
        <w:rPr>
          <w:sz w:val="32"/>
          <w:szCs w:val="32"/>
        </w:rPr>
      </w:pPr>
    </w:p>
    <w:p w14:paraId="6D012981" w14:textId="77777777" w:rsidR="00EB6EEE" w:rsidRDefault="00EB6EEE">
      <w:pPr>
        <w:rPr>
          <w:sz w:val="32"/>
          <w:szCs w:val="32"/>
        </w:rPr>
      </w:pPr>
    </w:p>
    <w:p w14:paraId="60A224EF" w14:textId="77777777" w:rsidR="00EB6EEE" w:rsidRPr="003F21AB" w:rsidRDefault="00EB6E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14:paraId="476FD464" w14:textId="77777777" w:rsidR="00EB6EEE" w:rsidRDefault="00EB6EEE">
      <w:pPr>
        <w:rPr>
          <w:b/>
          <w:bCs/>
          <w:sz w:val="32"/>
          <w:szCs w:val="32"/>
        </w:rPr>
      </w:pPr>
    </w:p>
    <w:p w14:paraId="2833EBED" w14:textId="77777777" w:rsidR="00EB6EEE" w:rsidRPr="007D4579" w:rsidRDefault="00EB6EEE" w:rsidP="007D4579">
      <w:pPr>
        <w:pStyle w:val="3"/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Взаимодействие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организма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внешней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средой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осуществляется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органами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чувств, или анализаторами. </w:t>
      </w:r>
      <w:r w:rsidRPr="007D4579">
        <w:rPr>
          <w:sz w:val="24"/>
          <w:szCs w:val="24"/>
          <w:lang w:val="en-US"/>
        </w:rPr>
        <w:t>C</w:t>
      </w:r>
      <w:r w:rsidRPr="007D4579">
        <w:rPr>
          <w:sz w:val="24"/>
          <w:szCs w:val="24"/>
        </w:rPr>
        <w:t xml:space="preserve"> помощью них человек не только ощущает внешний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мир, на основе ощущений человек обладает особыми социальными формами – сознание, творчество, самосознание.</w:t>
      </w:r>
    </w:p>
    <w:p w14:paraId="6AEEB6A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2E19FB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Любое ощущение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имеет 4 параметра: пространственный, временной, количественный и качественный. Каждый анализатор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реагирует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только на определенные адекватные стимулы. Для </w:t>
      </w:r>
      <w:r w:rsidRPr="007D4579">
        <w:rPr>
          <w:sz w:val="24"/>
          <w:szCs w:val="24"/>
        </w:rPr>
        <w:lastRenderedPageBreak/>
        <w:t>восприятия важную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роль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играет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предшествующий</w:t>
      </w:r>
      <w:r w:rsidR="003F21AB"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опыт. Раздражения внешней среды анализируются мозгом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учетом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накопленной</w:t>
      </w:r>
      <w:r w:rsidR="003F21AB"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информации.</w:t>
      </w:r>
    </w:p>
    <w:p w14:paraId="04B956A6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53DDAF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Глаз издревле наделялся священными функциями. Поэтому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умершим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сразу</w:t>
      </w:r>
      <w:r w:rsidR="006F6740"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старались закрыть глаза, дабы он «не сглазил».</w:t>
      </w:r>
    </w:p>
    <w:p w14:paraId="4107476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F4BCB75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 любом языке есть много эмоциональных выражений, связанных с органом зрения, различная символика. Наш глаз дает нам возможность видеть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всю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многоцветную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палитру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окружающего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мира, это дано немногим представителям животного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царства,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поэтому знание и правильная профилактика дают возможность как можно дальше полноценно воспринимать окружающую нас среду.</w:t>
      </w:r>
    </w:p>
    <w:p w14:paraId="29C91D73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237B855E" w14:textId="77777777" w:rsidR="00EB6EEE" w:rsidRPr="007D4579" w:rsidRDefault="00EB6EEE" w:rsidP="007D4579">
      <w:pPr>
        <w:numPr>
          <w:ilvl w:val="0"/>
          <w:numId w:val="2"/>
        </w:numPr>
        <w:ind w:left="0" w:firstLine="709"/>
        <w:jc w:val="both"/>
        <w:rPr>
          <w:b/>
          <w:bCs/>
          <w:sz w:val="24"/>
          <w:szCs w:val="24"/>
          <w:lang w:val="en-US"/>
        </w:rPr>
      </w:pPr>
      <w:r w:rsidRPr="007D4579">
        <w:rPr>
          <w:b/>
          <w:bCs/>
          <w:sz w:val="24"/>
          <w:szCs w:val="24"/>
        </w:rPr>
        <w:t>ПРИНЦИП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СТРОЕНИЯ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ЗРИТЕЛЬНОГО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АНАЛИЗАТОРА</w:t>
      </w:r>
    </w:p>
    <w:p w14:paraId="54B830A7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  <w:lang w:val="en-US"/>
        </w:rPr>
      </w:pPr>
    </w:p>
    <w:p w14:paraId="392F57C7" w14:textId="77777777" w:rsidR="00EB6EEE" w:rsidRPr="007D4579" w:rsidRDefault="00EB6EEE" w:rsidP="007D4579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СТРОЕНИЕ ГЛАЗНОГО ЯБЛОКА</w:t>
      </w:r>
    </w:p>
    <w:p w14:paraId="6847305A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0E16DC58" w14:textId="77777777" w:rsidR="00EB6EEE" w:rsidRPr="007D4579" w:rsidRDefault="00EB6EEE" w:rsidP="007D4579">
      <w:pPr>
        <w:pStyle w:val="1"/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Глазное яблоко имеет неправильную шаровидную форму – спереди выпуклость сильнее выражена. Линия, соединяющая передний и задний полюсы глаза, называется осью глаза и соответствует его максимальному размеру (у человека в среднем 22 мм). В глазном яблоке выделяют две основные составляющие: ядро и капсулу.</w:t>
      </w:r>
    </w:p>
    <w:p w14:paraId="1E0FC1C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Ядро глазного яблока включает хрусталик,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водянистую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влагу и стекловидное тело, которые прозрачны и в большей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или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меньшей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степени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способны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преломлять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свет.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Хрусталик имеет вид двояковыпуклой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линзы с большой кривизной задней поверхности. Вещество хрусталика, прозрачное и бесцветное, не содержит сосудов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нервов,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снаружи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облечено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бесструктурную прозрачную капсулу. Хрусталик прозрачен потому, что эпителиальные клетки, из которых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состоит,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процессе дифференцировки утратил свои органеллы и сохранили лишь некоторые продольно расположенные микротрубочки и скопления свободных рибосоли. Волокна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хрусталика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построены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характерного для них белка кристаллина. Водянистая влага представляет собой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текучую прозрачную жидкость, близкую по своему составу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плазме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крови 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содержащую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некоторое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количество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гиалуроновой кислоты. Она заполняет пространство, примыкающее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передней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полусфере хрусталика, тогда как задняя его поверхность соприкасается со стекловидным телом. Стекловидное тело, на которое приходится основная масса глазного яблока, облачено в прозрачную бесструктурную оболочку и большей частью своей поверхности прилегает к сетчатке. Оно представляет собой прозрачное и аморфное вещество, состоящее из белка витреина и гиалуроновой кислоты.</w:t>
      </w:r>
    </w:p>
    <w:p w14:paraId="5D8AF19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36644F48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t>КАПСУЛА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ГЛАЗНОГО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 xml:space="preserve">ЯБЛОКА </w:t>
      </w:r>
      <w:r w:rsidRPr="007D4579">
        <w:rPr>
          <w:sz w:val="24"/>
          <w:szCs w:val="24"/>
        </w:rPr>
        <w:t>(стенка глаза) включает в себя три слоя, по медицинской номенклатуре оболочки. Это (в направлении от периферии к центру глаза) наружный опорный, средний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увгальный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внутренний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сетчатый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слои глазной капсулы.</w:t>
      </w:r>
    </w:p>
    <w:p w14:paraId="414253E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Опорный слой охватывает глаз снаружи и состоит из двух отделов, склеры и роговицы, практически полностью облегающих глазное яблоко (первая сзади, вторая спереди), за исключением тех мест,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где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склеру пронизывают кровеносные сосуды и зрительный нерв. Склера, или</w:t>
      </w:r>
      <w:r w:rsidR="00DD7AB3"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биологическая оболочка, окрашена в белый цвет, непрозрачна,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кровеносных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сосудов имеет мало;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что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обычно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называют белком глаза, и есть видимая снаружи часть склеры.</w:t>
      </w:r>
    </w:p>
    <w:p w14:paraId="289A6B9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Спереди склера резко меняет свою структуру и свойства, и непосредственно переходит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роговицу,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которая покрывает центральный участок глаза с его фронтальной стороны. Роговица, прозрачная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заметно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выпуклая,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состоит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плотной соединительной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ткани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лишена кровеносных сосудов.</w:t>
      </w:r>
    </w:p>
    <w:p w14:paraId="471F289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Увгальный слой, или увга, богат пигментом и кровеносными сосудами, благодаря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чему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его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также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называют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сосудистой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оболочкой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Этот слой в двух задних третях глаза представлен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тонкой,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имеющей бурый цвет собственно сосудистой оболочкой, которая сзади пронизана отверстием для 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нерва. Ближе к передней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части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 увга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утолщается,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образуя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так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называемое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цилиарное (ресничное) тело, расположенное в виде кольца в области перехода склеры в роговицу. Продолжаясь вперёд, цилиарное тело переходит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радужную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оболочку или радужку, которая имеет форму фронтально поставленного диска 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центральным отверстием, известным как зрачок.</w:t>
      </w:r>
    </w:p>
    <w:p w14:paraId="11644E45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Диаметр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изменяется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пределах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3 – 6 мм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помощью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мышц,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заложенных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соединительно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тканной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основе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радужки. Окраска радужки может варьировать (в зависимости от количества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присутствующего в ней пигмента) от светло – серой и светло - голубой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тёмно – коричневой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почти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чёрной. У альбиносов пигмент нацело отсутствует, так что радужка у них имеет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красный цвет благодаря обилию кровеносных сосудов.</w:t>
      </w:r>
    </w:p>
    <w:p w14:paraId="501B6FC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79B0BEA" w14:textId="77777777" w:rsidR="00EB6EEE" w:rsidRPr="007D4579" w:rsidRDefault="00EB6EEE" w:rsidP="007D4579">
      <w:pPr>
        <w:numPr>
          <w:ilvl w:val="1"/>
          <w:numId w:val="2"/>
        </w:numPr>
        <w:ind w:left="0"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СТРОЕНИЕ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И ФУНКЦИИ СЕТЧАТКИ ГЛАЗА</w:t>
      </w:r>
    </w:p>
    <w:p w14:paraId="2224F0D1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7E374F79" w14:textId="77777777" w:rsidR="00EB6EEE" w:rsidRPr="007D4579" w:rsidRDefault="00EB6EEE" w:rsidP="007D4579">
      <w:pPr>
        <w:pStyle w:val="5"/>
        <w:ind w:left="0" w:firstLine="709"/>
        <w:jc w:val="both"/>
      </w:pPr>
      <w:r w:rsidRPr="007D4579">
        <w:t>Сетчатая</w:t>
      </w:r>
      <w:r w:rsidR="00263604">
        <w:t xml:space="preserve"> </w:t>
      </w:r>
      <w:r w:rsidRPr="007D4579">
        <w:t>оболочка</w:t>
      </w:r>
      <w:r w:rsidR="00263604">
        <w:t xml:space="preserve"> </w:t>
      </w:r>
      <w:r w:rsidRPr="007D4579">
        <w:t>(приложение)</w:t>
      </w:r>
      <w:r w:rsidR="00263604">
        <w:t xml:space="preserve"> </w:t>
      </w:r>
      <w:r w:rsidRPr="007D4579">
        <w:t>–</w:t>
      </w:r>
      <w:r w:rsidR="00263604">
        <w:t xml:space="preserve"> </w:t>
      </w:r>
      <w:r w:rsidRPr="007D4579">
        <w:t>сетчатка или ретина – представляет собой по расположению самую внутреннюю, а для световосприятия – самую важную оболочку глаза.</w:t>
      </w:r>
    </w:p>
    <w:p w14:paraId="2AF0D516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Сетчатка,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генетически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функционально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составляющая единое целое со зрительным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нервом,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своей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внутренней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поверхностью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граничит со стекловидным телом и снаружи прилегает к сосудистой оболочке. В передней части сетчатки, контактирующей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цилиарным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телом,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фоточувствительные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элементы отсутствуют, тогда как в большей по размеру её задней, собственно зрительной части содержатся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фоторецепторные клетки, которые и обусловливают важнейшее свойство этого слоя – светочувствительность.</w:t>
      </w:r>
    </w:p>
    <w:p w14:paraId="742B77D8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Сетчатку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иногда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сравнивают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светочувствительным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слоем фотоплёнки, хотя такое сравнение не совсем удачно: функция сетчатки (в отличие от фотоплёнки) не сводится лишь к восприятию света, уже на уровне сетчатки происходит анализ зрительной информации и выделение наиболее существенных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элементов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зрительных образов, например направления 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скорости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движения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объекта, его величины. Зрительная часть сетчатки состоит из двух слоёв, различимых микроскопически: пигментного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слоя,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прилегающего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внутренней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поверхности сосудистой оболочки, и контактирующего со стекловидным телом нервного слоя сетчатки.</w:t>
      </w:r>
    </w:p>
    <w:p w14:paraId="42A184E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974F12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t>ПИГМЕНТНЫЙ СЛОЙ СЕТЧАТКИ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принято включать в её состав, хотя он и не вовлекается в передачу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сигнала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анатомически более тесно связан с сосудистой оболочкой, чем 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нервным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слоем сетчатки. В некоторых случаях, например даже при незначительном вытекании стекловидного тела в результате хирургического вмешательства, может происходить отслоение нервного слоя сетчатки от пигментного эпителия, приводящее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 дегенерации её нервных клеток. Пигментный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получает питательные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вещества из кровеносных сосудов средней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оболочки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 и обеспечивает потребности собственно фоточувствительных клеток. На клетках пигментного эпителия присутствуют микроворсинки,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которые прилегают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фоторецепторным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клеткам,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но не связаны с ними.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Микроворсинки играют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важную роль в обновлении нарушенных сегментов фоторецепторных клеток,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как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бы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слущивая путём эндоцитоза самую крайнюю в данный момент часть фоторецептора.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Кроме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того,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пигментный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эпителий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поглощает ту значительную часть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попавшего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глаз света, которая, проходя через светочувствительный слой сетчатки, не поглотилась им. Здесь уместна аналогия между функциями пигментного эпителия и чёрного покрытия внутренней поверхности фотокамеры, состоящими в поглощении лишнего, рассеянного света.</w:t>
      </w:r>
    </w:p>
    <w:p w14:paraId="26535CF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721A79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t>НЕРВНЫЙ СЛОЙ СЕТЧАТКИ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устроен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очень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сложно и, в свою очередь, состоит из </w:t>
      </w:r>
    </w:p>
    <w:p w14:paraId="11268F5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0F54D2E5" w14:textId="77777777" w:rsidR="00EB6EEE" w:rsidRPr="007D4579" w:rsidRDefault="00EB6EEE" w:rsidP="007D4579">
      <w:pPr>
        <w:pStyle w:val="a5"/>
        <w:ind w:firstLine="709"/>
        <w:jc w:val="both"/>
      </w:pPr>
      <w:r w:rsidRPr="007D4579">
        <w:t>девяти слоёв, то</w:t>
      </w:r>
      <w:r w:rsidR="00263604">
        <w:t xml:space="preserve"> </w:t>
      </w:r>
      <w:r w:rsidRPr="007D4579">
        <w:t>есть</w:t>
      </w:r>
      <w:r w:rsidR="00263604">
        <w:t xml:space="preserve"> </w:t>
      </w:r>
      <w:r w:rsidRPr="007D4579">
        <w:t>сетчатка в целом с учётом пигментного эпителия включает десять слоёв. Следует заметить, однако, что не все они представляют собой истинные</w:t>
      </w:r>
      <w:r w:rsidR="00263604">
        <w:t xml:space="preserve"> </w:t>
      </w:r>
      <w:r w:rsidRPr="007D4579">
        <w:t>слои,</w:t>
      </w:r>
      <w:r w:rsidR="00263604">
        <w:t xml:space="preserve"> </w:t>
      </w:r>
      <w:r w:rsidRPr="007D4579">
        <w:t>которые</w:t>
      </w:r>
      <w:r w:rsidR="00263604">
        <w:t xml:space="preserve"> </w:t>
      </w:r>
      <w:r w:rsidRPr="007D4579">
        <w:t>могут</w:t>
      </w:r>
      <w:r w:rsidR="00263604">
        <w:t xml:space="preserve"> </w:t>
      </w:r>
      <w:r w:rsidRPr="007D4579">
        <w:t>быть физически отделены друг от друга, скорее</w:t>
      </w:r>
      <w:r w:rsidR="00263604">
        <w:t xml:space="preserve"> </w:t>
      </w:r>
      <w:r w:rsidRPr="007D4579">
        <w:t>это</w:t>
      </w:r>
      <w:r w:rsidR="00263604">
        <w:t xml:space="preserve"> </w:t>
      </w:r>
      <w:r w:rsidRPr="007D4579">
        <w:t>микроскопически</w:t>
      </w:r>
      <w:r w:rsidR="00263604">
        <w:t xml:space="preserve"> </w:t>
      </w:r>
      <w:r w:rsidRPr="007D4579">
        <w:t>различимые зоны, отличающиеся друг от друга составляющими элементами.</w:t>
      </w:r>
      <w:r w:rsidR="00263604">
        <w:t xml:space="preserve"> </w:t>
      </w:r>
      <w:r w:rsidRPr="007D4579">
        <w:t>Самый</w:t>
      </w:r>
      <w:r w:rsidR="00263604">
        <w:t xml:space="preserve"> </w:t>
      </w:r>
      <w:r w:rsidRPr="007D4579">
        <w:t>важный</w:t>
      </w:r>
      <w:r w:rsidR="00263604">
        <w:t xml:space="preserve"> </w:t>
      </w:r>
      <w:r w:rsidRPr="007D4579">
        <w:t>элемент нервного слоя сетчатки – фоторецепторные клетки.</w:t>
      </w:r>
    </w:p>
    <w:p w14:paraId="442B651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Фоторецепторные клетки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(приложение</w:t>
      </w:r>
      <w:r w:rsidR="00263604">
        <w:rPr>
          <w:sz w:val="24"/>
          <w:szCs w:val="24"/>
        </w:rPr>
        <w:t xml:space="preserve">) </w:t>
      </w:r>
      <w:r w:rsidRPr="007D4579">
        <w:rPr>
          <w:sz w:val="24"/>
          <w:szCs w:val="24"/>
        </w:rPr>
        <w:t>состоят из палочек и колбочек. Палочек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сетчатке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человека примерно 120 млн, причём расположены они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преимущественно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периферии её зрительной части. Колбочки (их около 7 млн на сетчатку)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концентрируются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центральной её зоне, особенно высока плотность колбочек в центральной ямке (фовса).</w:t>
      </w:r>
    </w:p>
    <w:p w14:paraId="4FD1412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Палочки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отвечают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сумеречное зрение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 низкой освещённости, которое имеет малую разрешающую способность (остроту) и преобладают у животных, ведущих ночной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образ жизни.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Колбочки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эффективно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работают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достаточно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ярком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освещении 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обеспечивают цветное зрение, имеющее высокую остроту; соответственно их больше у животных, активных преимущественно днём.</w:t>
      </w:r>
    </w:p>
    <w:p w14:paraId="29BC3D7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Оба типа фоторецепторов – это длинные, узкие клетки, представляющие собой высокоспециализированные сенсоры нейроны, которые состоят из двух основных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отделов: наружного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внутреннего сегментов.</w:t>
      </w:r>
    </w:p>
    <w:p w14:paraId="358E099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Наружный сегмент фоторецепторных клеток своим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окончанием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вдаётся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пигментный слой сетчатки и, следовательно, он (по отношению к телу клетки) обращён кнаружи глаза.</w:t>
      </w:r>
    </w:p>
    <w:p w14:paraId="2511E0A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Внутренний сегмент содержит ядро митохондрии, рибосомы, другие клеточные организмы и характеризуется очень высокой метаболической активностью.</w:t>
      </w:r>
    </w:p>
    <w:p w14:paraId="39E38257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80C1520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1.3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ЦЕНТРЫ ГОЛОВНОГО МОЗГА, АНАЛИЗИРУЮЩИЕ ВОСПРИЯТИЕ</w:t>
      </w:r>
    </w:p>
    <w:p w14:paraId="32935E7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A9AEB8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Если внимательно присмотреться к строению сетчатки, то скоро можно увидеть, что отростки отдельных нервных клеток – приемников (ганглиозных клеток) собираются вместе и образуют толстый, состоящий из тысяч волокон «кабель». Он покидает дно глаза и уходит внутрь мозга, неся в себе тысячи тончайших потоков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возбуждения,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направляющихся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сетчатки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 к головному мозгу; одновременно он включает в свой состав волокна, которые имеют обратное направление 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несут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импульсы,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идущие от головного мозга к сетчатке глаза. Это зрительный нерв, он идёт по основанию мозга, встречается со зрительным нервом, выходящим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другого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частично обменивается с ним волокнами. Теперь это уже зрительный тракт.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уходит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массу вещества мозга, миновав промежуточную станцию, расположенную в межуточном мозге, волокна 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тракта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расходятся красивым веером; теперь они называются зрительным сиянием.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Волокна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сияния направляются к своей конечной станции – зрительной части коры больших полушарий; некоторые из них принимают сигналы, возникающие в мозговой коре, и доносят их обратно до сетчатки.</w:t>
      </w:r>
    </w:p>
    <w:p w14:paraId="044A185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Что же такое отдел коры больших полушарий? Это станция, куда приходят раздражения, возникающие в чувствительном аппарате глаза, где возникают возбуждения, передающиеся на ближайшие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зоны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мозговой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коры.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Они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вызывают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прослеживающие движения глазных яблок, где, наконец, формируются зрительные образы, с такой чёткостью отражающие внешний мир. Кора головного мозга состоит из шести сложных слоёв нервных клеток.</w:t>
      </w:r>
    </w:p>
    <w:p w14:paraId="2993D4D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757ECEE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2. МОЛЕКУЛЯРНЫЕ МЕХАНИЗМЫ ЗРЕНИЯ</w:t>
      </w:r>
    </w:p>
    <w:p w14:paraId="7329373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0F38CB4C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2.1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Са ²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И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ЗРИТЕЛЬНЫЙ КАСКАД</w:t>
      </w:r>
    </w:p>
    <w:p w14:paraId="10DBD5A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C9F9C7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сигнал для перехода фоторецепторной клетки из возбуждённого состояния в исходное темновое состояние.</w:t>
      </w:r>
    </w:p>
    <w:p w14:paraId="724166C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Родопсин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>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видимо,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единственный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компонент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каскада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родопсин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трансдуцин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CGMP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фосфодиэстераза,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чувствительный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действию Са² 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Механизмы действия катиона на эффективность работы родопсина, однако, принципиально различны при передаче зрительного сигнала и его выключения.</w:t>
      </w:r>
    </w:p>
    <w:p w14:paraId="5211B8D0" w14:textId="4DF646AD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Передача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зрительного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сигнала.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Получены данные о том, что повышение концентрации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 цитоплазме НСП (наружного сегмента палочки) сопровождается увеличением количества активированного трансдуцина,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образующегося в расчёте на одно и тоже количество фотовозбуждённого родопсина. Механизм обнаруженного эффекта остаётся, однако, неустановленным. В частности, неясно, действует ли Са² на каталитическую активность фотовозбуждённого родопсина (</w:t>
      </w:r>
      <w:r w:rsidRPr="007D4579">
        <w:rPr>
          <w:sz w:val="24"/>
          <w:szCs w:val="24"/>
          <w:lang w:val="en-US"/>
        </w:rPr>
        <w:t>Rho</w:t>
      </w:r>
      <w:r w:rsidRPr="007D4579">
        <w:rPr>
          <w:sz w:val="24"/>
          <w:szCs w:val="24"/>
        </w:rPr>
        <w:t xml:space="preserve">*), </w:t>
      </w:r>
      <w:r w:rsidR="00784FE2" w:rsidRPr="007D45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43FA82" wp14:editId="4D4E3FE6">
                <wp:simplePos x="0" y="0"/>
                <wp:positionH relativeFrom="column">
                  <wp:posOffset>5440680</wp:posOffset>
                </wp:positionH>
                <wp:positionV relativeFrom="paragraph">
                  <wp:posOffset>95250</wp:posOffset>
                </wp:positionV>
                <wp:extent cx="18288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001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4pt,7.5pt" to="442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" o:allowincell="f">
                <v:stroke endarrow="block"/>
              </v:line>
            </w:pict>
          </mc:Fallback>
        </mc:AlternateContent>
      </w:r>
      <w:r w:rsidRPr="007D4579">
        <w:rPr>
          <w:sz w:val="24"/>
          <w:szCs w:val="24"/>
        </w:rPr>
        <w:t>или он увеличивает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квантовый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выход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реакции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темновой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родопсин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Rho</w:t>
      </w:r>
      <w:r w:rsidRPr="007D4579">
        <w:rPr>
          <w:sz w:val="24"/>
          <w:szCs w:val="24"/>
        </w:rPr>
        <w:t xml:space="preserve"> при </w:t>
      </w:r>
      <w:r w:rsidR="00784FE2" w:rsidRPr="007D45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EE0BDD" wp14:editId="2A0A100B">
                <wp:simplePos x="0" y="0"/>
                <wp:positionH relativeFrom="column">
                  <wp:posOffset>2697480</wp:posOffset>
                </wp:positionH>
                <wp:positionV relativeFrom="paragraph">
                  <wp:posOffset>108585</wp:posOffset>
                </wp:positionV>
                <wp:extent cx="1828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F5B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8.55pt" to="226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" o:allowincell="f">
                <v:stroke endarrow="block"/>
              </v:line>
            </w:pict>
          </mc:Fallback>
        </mc:AlternateContent>
      </w:r>
      <w:r w:rsidRPr="007D4579">
        <w:rPr>
          <w:sz w:val="24"/>
          <w:szCs w:val="24"/>
        </w:rPr>
        <w:t xml:space="preserve">том, что усиление сигнала на стадии </w:t>
      </w:r>
      <w:r w:rsidRPr="007D4579">
        <w:rPr>
          <w:sz w:val="24"/>
          <w:szCs w:val="24"/>
          <w:lang w:val="en-US"/>
        </w:rPr>
        <w:t>Rho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трансдуцин остаётся неизменным. Видимо, эффект хаотина направлен непосредственно на родопсин, а не опосредован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каким – либо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связывающим белками. Если это действительно так, то можно предположить, что зрительный родопсин позвоночных животных сам по себе обладает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связывающими свойствами.</w:t>
      </w:r>
    </w:p>
    <w:p w14:paraId="0CEBE49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Включение зрительного сигнала. Многочисленные данные говорят о возможности участия кальция в регуляции выключения зрительного каскада опять же на уровне родопсина. Однако, в этом случае действие катиона не является прямым: оно направлено на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связывающий белок реноверин, а через него на активность родоксинкиназы – фермента, катализирующего фосфорилирование родопсина и тем самым снижающего каталитическую эффективность зрительного рецептора.</w:t>
      </w:r>
    </w:p>
    <w:p w14:paraId="50AD7DA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ABB2340" w14:textId="77777777" w:rsidR="00EB6EEE" w:rsidRPr="007D4579" w:rsidRDefault="00EB6EEE" w:rsidP="007D4579">
      <w:pPr>
        <w:numPr>
          <w:ilvl w:val="1"/>
          <w:numId w:val="8"/>
        </w:numPr>
        <w:ind w:left="0"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Са²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, РЕГУЛЯЦИЯ ЗРИТЕЛЬНОГО ОТВЕТА</w:t>
      </w:r>
    </w:p>
    <w:p w14:paraId="68441A13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17A94437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 xml:space="preserve">Фосфорилирование рецепторов, сопряжённых с </w:t>
      </w:r>
      <w:r w:rsidRPr="007D4579">
        <w:rPr>
          <w:sz w:val="24"/>
          <w:szCs w:val="24"/>
          <w:lang w:val="en-US"/>
        </w:rPr>
        <w:t>G</w:t>
      </w:r>
      <w:r w:rsidRPr="007D4579">
        <w:rPr>
          <w:sz w:val="24"/>
          <w:szCs w:val="24"/>
        </w:rPr>
        <w:t xml:space="preserve"> – белками, под действием специфических протеинкиназ снижает их чувствительность к внешним сигналам (такое снижение чувствительности обозначают термином «десенситизация»). Родопсин как типичный представитель сопряжённых с </w:t>
      </w:r>
      <w:r w:rsidRPr="007D4579">
        <w:rPr>
          <w:sz w:val="24"/>
          <w:szCs w:val="24"/>
          <w:lang w:val="en-US"/>
        </w:rPr>
        <w:t>G</w:t>
      </w:r>
      <w:r w:rsidRPr="007D4579">
        <w:rPr>
          <w:sz w:val="24"/>
          <w:szCs w:val="24"/>
        </w:rPr>
        <w:t xml:space="preserve"> – белками рецепторов, ведёт себя подобным же образом: его способность активировать трансдуцин (фоторецепторный </w:t>
      </w:r>
      <w:r w:rsidRPr="007D4579">
        <w:rPr>
          <w:sz w:val="24"/>
          <w:szCs w:val="24"/>
          <w:lang w:val="en-US"/>
        </w:rPr>
        <w:t>G</w:t>
      </w:r>
      <w:r w:rsidRPr="007D4579">
        <w:rPr>
          <w:sz w:val="24"/>
          <w:szCs w:val="24"/>
        </w:rPr>
        <w:t xml:space="preserve"> – белок) уменьшается по мере включения фосфатных остатков в С – концевой фегмент молекулы фотовозбуждённого родопсина.</w:t>
      </w:r>
    </w:p>
    <w:p w14:paraId="53AAA86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 настоящему времени получено большое количество данных о том, что активность родопсинкиназы – фермента, катализирующего фосфорилирование фотовозбуждённого родопсина, регулируется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зависимым образом белком реноверином. При высокой концентрации ионов кальция родопсинкиназа находится в комплексе с рековерином, который действует как ингибитор фермента, при низких концентрациях катиона комплекс родопсинкиназа – рековерин диссоциирует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 игибирование снимается.</w:t>
      </w:r>
    </w:p>
    <w:p w14:paraId="550A662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Рековерин, первоначальное наименование «р 26» (по величине его кажущейся молекулярной массы, равной 26 К), был впервые обнаружен как фоторецепторный белок, способный прочно связываться с родопсином, иммобилизованным (то есть прочно присоединённым) к нерастворимому носителю. Первоначально полагали, что рековерин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зависимым образом моделирует активность гуанилатциклазы, но поздее были получены данные, что мишенью для него в НСП, скорее всего, служит родопсинкиназа.</w:t>
      </w:r>
    </w:p>
    <w:p w14:paraId="0AFCF87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N</w:t>
      </w:r>
      <w:r w:rsidRPr="007D4579">
        <w:rPr>
          <w:sz w:val="24"/>
          <w:szCs w:val="24"/>
        </w:rPr>
        <w:t xml:space="preserve"> – концу рековерина ковалентно присоединён остаток жирной миристиновой кислоты, который благодаря своей гидрофобным придаёт белку способность взаимодействовать с фоторецепторными мембранами, гидрофобными по своей природе. Рековерин обладает тем замечательным свойством, что </w:t>
      </w:r>
      <w:r w:rsidRPr="007D4579">
        <w:rPr>
          <w:sz w:val="24"/>
          <w:szCs w:val="24"/>
          <w:lang w:val="en-US"/>
        </w:rPr>
        <w:t>in</w:t>
      </w:r>
      <w:r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vitro</w:t>
      </w:r>
      <w:r w:rsidRPr="007D4579">
        <w:rPr>
          <w:sz w:val="24"/>
          <w:szCs w:val="24"/>
        </w:rPr>
        <w:t xml:space="preserve"> в суспензии фоторецепторных мембран при отсутствии ионов кальция он находится в растворимом состоянии, а в присутствии катиона переходит из раствора на мембрану. Такое поведение рековерина обусловлено тем, что в бескальциевой среде его миристонированный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N</w:t>
      </w:r>
      <w:r w:rsidRPr="007D4579">
        <w:rPr>
          <w:sz w:val="24"/>
          <w:szCs w:val="24"/>
        </w:rPr>
        <w:t xml:space="preserve"> – конец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спрятан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в так называемом гидрофобном кармане белковой молекулы. Связывание Са² С рековерином изменяет его конформацию таким образом, что миристоилированный </w:t>
      </w:r>
      <w:r w:rsidRPr="007D4579">
        <w:rPr>
          <w:sz w:val="24"/>
          <w:szCs w:val="24"/>
          <w:lang w:val="en-US"/>
        </w:rPr>
        <w:t>N</w:t>
      </w:r>
      <w:r w:rsidRPr="007D4579">
        <w:rPr>
          <w:sz w:val="24"/>
          <w:szCs w:val="24"/>
        </w:rPr>
        <w:t xml:space="preserve"> – конец белка экспонируется наружу и, погружаясь в липидный бислат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фоторецепторной мембраны, заякоривает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рековерин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>. Этот механизм изменения распределения миристоилированного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рековерина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между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двумя фазами (раствор ↔ мембрана) в зависимости от присутствия ионов кальция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получил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название кальций – миристоильного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переключателя (в оригинальной работе </w:t>
      </w:r>
      <w:r w:rsidRPr="007D4579">
        <w:rPr>
          <w:sz w:val="24"/>
          <w:szCs w:val="24"/>
          <w:lang w:val="en-US"/>
        </w:rPr>
        <w:t>calcium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–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myristoy</w:t>
      </w:r>
      <w:r w:rsidRPr="007D4579">
        <w:rPr>
          <w:sz w:val="24"/>
          <w:szCs w:val="24"/>
        </w:rPr>
        <w:t xml:space="preserve"> / </w:t>
      </w:r>
      <w:r w:rsidRPr="007D4579">
        <w:rPr>
          <w:sz w:val="24"/>
          <w:szCs w:val="24"/>
          <w:lang w:val="en-US"/>
        </w:rPr>
        <w:t>switen</w:t>
      </w:r>
      <w:r w:rsidRPr="007D4579">
        <w:rPr>
          <w:sz w:val="24"/>
          <w:szCs w:val="24"/>
        </w:rPr>
        <w:t>). Остаётся неясным, однако, как этот миристоильный переключатель работает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(и работает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ли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он вообще)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условиях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in</w:t>
      </w:r>
      <w:r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  <w:lang w:val="en-US"/>
        </w:rPr>
        <w:t>vivo</w:t>
      </w:r>
      <w:r w:rsidRPr="007D4579">
        <w:rPr>
          <w:sz w:val="24"/>
          <w:szCs w:val="24"/>
        </w:rPr>
        <w:t>. Складывается впечатление, что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только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родопсин, который интегрирован в фоторецепторную мембрану, но и другие компоненты зрительной молекулярной машины 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 xml:space="preserve"> работают в слое цитоплазмы, прилегающим к поверхности дисков, вне зависимости от функционального состояния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палочки.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Если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это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действительно так, то и рековин оперирует в двухмерном пространстве этого слоя, не выходя из него. Но в зависимости от функционального состояния палочки и соответственно концентрации ионов кальция в цитоплазме НСП рековерин может находиться в двух состояниях: либо в комплексе с родопсинкиназой, либо в свободном виде, причём в первом случае активность родопсинкиназы подавлена, а во втором – фермент активен и катализирует фосфорилирование родопсина.</w:t>
      </w:r>
    </w:p>
    <w:p w14:paraId="25D516CC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 настоящему времени в клетках нервной системы, отличных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фоторецепторных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клеток, найдены родственные рековерину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связывающие белки, которые образуют семейство рековерины. Функция этих белков, однако, остаётся неизвестной, хотя по аналогии с рековерином можно предположить, что они участвуют в Са²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- зависимой регуляции фосфорилирования пока не установленных внутриклеточных мишеней.</w:t>
      </w:r>
    </w:p>
    <w:p w14:paraId="7AD8459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5F33FAC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НЕКОТОРЫЕ НАРУШЕНИЯ ЗРЕНИЯ</w:t>
      </w:r>
    </w:p>
    <w:p w14:paraId="6FDE86C4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46E512E0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3.1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БЛИЗОРУКОСТЬ</w:t>
      </w:r>
    </w:p>
    <w:p w14:paraId="5D11F70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153E0D8D" w14:textId="77777777" w:rsidR="00EB6EEE" w:rsidRPr="007D4579" w:rsidRDefault="00EB6EEE" w:rsidP="007D4579">
      <w:pPr>
        <w:pStyle w:val="6"/>
        <w:ind w:firstLine="709"/>
        <w:jc w:val="both"/>
      </w:pPr>
      <w:r w:rsidRPr="007D4579">
        <w:t>Близорукость (приложение</w:t>
      </w:r>
      <w:r w:rsidR="00263604">
        <w:t>)</w:t>
      </w:r>
      <w:r w:rsidRPr="007D4579">
        <w:t xml:space="preserve"> – один из видов рефракции (оптического строения) глаза. В близоруком глазу задний главный фокус его преломляющей системы (то есть точка, в которой собираются</w:t>
      </w:r>
      <w:r w:rsidR="00263604">
        <w:t xml:space="preserve"> </w:t>
      </w:r>
      <w:r w:rsidRPr="007D4579">
        <w:t>прошедшие</w:t>
      </w:r>
      <w:r w:rsidR="00263604">
        <w:t xml:space="preserve"> </w:t>
      </w:r>
      <w:r w:rsidRPr="007D4579">
        <w:t>через</w:t>
      </w:r>
      <w:r w:rsidR="00263604">
        <w:t xml:space="preserve"> </w:t>
      </w:r>
      <w:r w:rsidRPr="007D4579">
        <w:t>неё</w:t>
      </w:r>
      <w:r w:rsidR="00263604">
        <w:t xml:space="preserve"> </w:t>
      </w:r>
      <w:r w:rsidRPr="007D4579">
        <w:t>параллельные</w:t>
      </w:r>
      <w:r w:rsidR="00263604">
        <w:t xml:space="preserve"> </w:t>
      </w:r>
      <w:r w:rsidRPr="007D4579">
        <w:t>лучи)</w:t>
      </w:r>
      <w:r w:rsidR="00263604">
        <w:t xml:space="preserve"> </w:t>
      </w:r>
      <w:r w:rsidRPr="007D4579">
        <w:t>лежит</w:t>
      </w:r>
      <w:r w:rsidR="00263604">
        <w:t xml:space="preserve"> </w:t>
      </w:r>
      <w:r w:rsidRPr="007D4579">
        <w:t>не на</w:t>
      </w:r>
      <w:r w:rsidR="00263604">
        <w:t xml:space="preserve"> </w:t>
      </w:r>
      <w:r w:rsidRPr="007D4579">
        <w:t>сетчатке, а впереди неё, вследствие чего изображение на ней далёкого предмета, от каждой точки которого в глаз попадает</w:t>
      </w:r>
      <w:r w:rsidR="00263604">
        <w:t xml:space="preserve"> </w:t>
      </w:r>
      <w:r w:rsidRPr="007D4579">
        <w:t>пучок</w:t>
      </w:r>
      <w:r w:rsidR="00263604">
        <w:t xml:space="preserve"> </w:t>
      </w:r>
      <w:r w:rsidRPr="007D4579">
        <w:t>параллельных</w:t>
      </w:r>
      <w:r w:rsidR="00263604">
        <w:t xml:space="preserve"> </w:t>
      </w:r>
      <w:r w:rsidRPr="007D4579">
        <w:t>лучей,</w:t>
      </w:r>
      <w:r w:rsidR="00263604">
        <w:t xml:space="preserve"> </w:t>
      </w:r>
      <w:r w:rsidRPr="007D4579">
        <w:t>оказывается неясным; поэтому близорукие плохо видят вдаль.</w:t>
      </w:r>
    </w:p>
    <w:p w14:paraId="089A9D7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Если предмет находится настолько близко, что расходящиеся пучки лучей, испускаемые каждой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его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точкой,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сходятся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как раз на сетчатке, то предмет виден ясно; выраженное в сантиметрах расстояние от глаза точки, имеющей (т.н. дальнейшая точка ясного зрения), определяет степень близорукости. Для получения на сетчатке ясного изображения предмета, стоящего ближе к глазу, чем дальнейшая точка ясного зрения последнего, требуется уже изменение хрусталика – анномодация. Для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определения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степени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близорукости, так же как и других видов рефракции глаза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существуют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различные объективные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(скиаскопия,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призменным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рефрактометром) и субъективные (пробный набор очковых стёкол и таблица для определения остроты зрения) методы.</w:t>
      </w:r>
    </w:p>
    <w:p w14:paraId="2E96828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F1AD27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308A2AE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3.2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ДАЛЬНОЗОРКОСТЬ</w:t>
      </w:r>
    </w:p>
    <w:p w14:paraId="1D55AE5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7B0D7A1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Дальнозоркость – аномалия преломления световых лучей в глазу, сущность которой заключается в том 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 xml:space="preserve">, что параллельные лучи от предмета сходятся в фокусе </w:t>
      </w:r>
      <w:r w:rsidRPr="007D4579">
        <w:rPr>
          <w:sz w:val="24"/>
          <w:szCs w:val="24"/>
          <w:lang w:val="en-US"/>
        </w:rPr>
        <w:t>F</w:t>
      </w:r>
      <w:r w:rsidRPr="007D4579">
        <w:rPr>
          <w:sz w:val="24"/>
          <w:szCs w:val="24"/>
        </w:rPr>
        <w:t>’ позади сетчатой оболочки. Для ясного зрения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вдаль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необходимо, чтобы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фокус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этих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лучей находился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сетчатой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оболочке;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только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таком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случае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 ней получается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чёткое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изображение предмета и зрение будет отчётливое (что имеется в нормальном глазу). Если лучи вышли из одной точки, то при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дальнозоркости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сетчатке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вместо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изображения точки получится расплывчатый кружок, весь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предмет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будет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неясный,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расплывчатый.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Дальнейшая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точка дальнозоркого глаза лежит за глазом. Её положение определяет форму пучков лучей, падающих на глаз сходящихся на сетчатке глаза.</w:t>
      </w:r>
    </w:p>
    <w:p w14:paraId="4F10EF2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Величина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дальнозоркости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характеризуется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величиной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аметропии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глаза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А.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Величина</w:t>
      </w:r>
      <w:r w:rsidR="00E409A0" w:rsidRPr="007D4579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А= 1/а,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где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–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расстояние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 xml:space="preserve">от глаза до дальнейшей точки </w:t>
      </w:r>
      <w:r w:rsidRPr="007D4579">
        <w:rPr>
          <w:sz w:val="24"/>
          <w:szCs w:val="24"/>
          <w:lang w:val="en-US"/>
        </w:rPr>
        <w:t>R</w:t>
      </w:r>
      <w:r w:rsidRPr="007D4579">
        <w:rPr>
          <w:sz w:val="24"/>
          <w:szCs w:val="24"/>
        </w:rPr>
        <w:t xml:space="preserve"> глаза 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>. Дальнозоркость может зависеть от двух причин: или среда глаза (роговая оболочка, хрусталик) преломляет свет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слишком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слабо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(рефракционная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дальнозоркость),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или длина глазного яблока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слишком мала (осевая дальнозоркость), так что сетчатка лежит перед точкой соединения лучей (приложение</w:t>
      </w:r>
      <w:r w:rsidR="00263604">
        <w:rPr>
          <w:sz w:val="24"/>
          <w:szCs w:val="24"/>
        </w:rPr>
        <w:t>)</w:t>
      </w:r>
      <w:r w:rsidRPr="007D4579">
        <w:rPr>
          <w:sz w:val="24"/>
          <w:szCs w:val="24"/>
        </w:rPr>
        <w:t>.</w:t>
      </w:r>
    </w:p>
    <w:p w14:paraId="57B3E40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2B3F4B6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363CF2CE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3.3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АСТИГМАТИЗМ</w:t>
      </w:r>
    </w:p>
    <w:p w14:paraId="5B3BA5B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1A527338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Астигматизм – один из недостатков оптических систем. Если при прохождении оптической системы волна деформируется и перестаёт быть сферичной, то пучок лучей становится сложным;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лучи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пересекаются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не в одной точке, а, вообще говоря, в двух взаимно перпендикулярных отрезков прямой линии, расположенные на некоторм расстоянии друг от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друга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(приложение). Такой пучок называется астигматическим, а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само явление – астигматизмом.</w:t>
      </w:r>
    </w:p>
    <w:p w14:paraId="681AF539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Астигматизм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имеет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место в тех случаях, когда волна проходит через оптические системы, у которых преломляющие или отражающие поверхности не обладают осью симметрии по отношению к оси падающего пучка, например в цилиндрических линзах, а также при падении пучка лучей на обычную сферическую линзу под большим углом к её оптической оси.</w:t>
      </w:r>
    </w:p>
    <w:p w14:paraId="6D3E694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0E5A3711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3.4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КОСОГЛАЗИЕ</w:t>
      </w:r>
    </w:p>
    <w:p w14:paraId="35FF5254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1F06417A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Косоглазие – это постоянное или попеременное отклонение зрительной линии одного или обоих глаз от рассматриваемого объекта.</w:t>
      </w:r>
    </w:p>
    <w:p w14:paraId="4E0A9A72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Косоглазие содружественное – отклонение глаза к носу (сходящееся) или к виску (расходящееся) при полном сохранении функции глазодвигательных мышц обоих глаз, отсутствием двоения и при условии, когда угол отклонения косящего глаза (первичный угол отклонения) равен углу отклонения здорового глаза (вторичный угол отклонения).</w:t>
      </w:r>
    </w:p>
    <w:p w14:paraId="07D3D8F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5363AA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b/>
          <w:bCs/>
          <w:sz w:val="24"/>
          <w:szCs w:val="24"/>
        </w:rPr>
        <w:t xml:space="preserve">ПРОФИЛАКТИКА. </w:t>
      </w:r>
      <w:r w:rsidRPr="007D4579">
        <w:rPr>
          <w:sz w:val="24"/>
          <w:szCs w:val="24"/>
        </w:rPr>
        <w:t>Возможно раннее выявление у детей аномалии рефракций, назначение корригирующих очков и комплексное лечение выявленного косоглазия.</w:t>
      </w:r>
    </w:p>
    <w:p w14:paraId="6C747C0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Косоглазие паралитическое – отклонение глаза в результате пореза или паралича одной или нескольких глазодвигательных мышц. Движение глаза в сторону парализованной мышцы ограничено или отсутствует. Больные жалуются на тягостное двоение.</w:t>
      </w:r>
    </w:p>
    <w:p w14:paraId="4BC7A35D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44D2F9E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CC9176F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3.5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ДАЛЬТОНИЗМ</w:t>
      </w:r>
    </w:p>
    <w:p w14:paraId="7994F056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61D50C8D" w14:textId="77777777" w:rsidR="00EB6EEE" w:rsidRPr="007D4579" w:rsidRDefault="00EB6EEE" w:rsidP="007D4579">
      <w:pPr>
        <w:pStyle w:val="6"/>
        <w:ind w:firstLine="709"/>
        <w:jc w:val="both"/>
      </w:pPr>
      <w:r w:rsidRPr="007D4579">
        <w:t>Дальтонизм – один из видов частичной цветной слепоты, впервые описанной в 1794 году английским учёным Дж. Дальтоном, который сам имел этот недостаток зрения.</w:t>
      </w:r>
    </w:p>
    <w:p w14:paraId="454F5A0F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Лица, страдающие дальтонизмом, видят весь спектр состоящим из двух цветовых тонов: жёлтого и синего. Различия в предметах жёлтой и синей половин спектра воспринимаются лишь по яркости и по насыщенности, а не по цветовому тону.</w:t>
      </w:r>
    </w:p>
    <w:p w14:paraId="103ECD5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4574410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32DAF706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  <w:r w:rsidRPr="007D4579">
        <w:rPr>
          <w:b/>
          <w:bCs/>
          <w:sz w:val="24"/>
          <w:szCs w:val="24"/>
        </w:rPr>
        <w:t>4.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ПРОФИЛАКТИКА ЗРЕНИЯ.</w:t>
      </w:r>
      <w:r w:rsidR="00263604">
        <w:rPr>
          <w:b/>
          <w:bCs/>
          <w:sz w:val="24"/>
          <w:szCs w:val="24"/>
        </w:rPr>
        <w:t xml:space="preserve"> </w:t>
      </w:r>
      <w:r w:rsidRPr="007D4579">
        <w:rPr>
          <w:b/>
          <w:bCs/>
          <w:sz w:val="24"/>
          <w:szCs w:val="24"/>
        </w:rPr>
        <w:t>ВЫВОДЫ</w:t>
      </w:r>
    </w:p>
    <w:p w14:paraId="15437986" w14:textId="77777777" w:rsidR="00EB6EEE" w:rsidRPr="007D4579" w:rsidRDefault="00EB6EEE" w:rsidP="007D4579">
      <w:pPr>
        <w:ind w:firstLine="709"/>
        <w:jc w:val="both"/>
        <w:rPr>
          <w:b/>
          <w:bCs/>
          <w:sz w:val="24"/>
          <w:szCs w:val="24"/>
        </w:rPr>
      </w:pPr>
    </w:p>
    <w:p w14:paraId="5899C313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Зрительный анализатор представлен не только глазами. Он состоит из трёх основных: глазного яблока, проводникового пути и головного мозга. При нарушении одного из этого составного, зрение человека нарушается. Для того, чтобы зрение было в порядке, нужно выполнять простые правила предосторожности с самого рождения:</w:t>
      </w:r>
    </w:p>
    <w:p w14:paraId="1DDD8EFD" w14:textId="77777777" w:rsidR="00EB6EEE" w:rsidRPr="007D4579" w:rsidRDefault="00EB6EEE" w:rsidP="007D4579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родители должны заботиться о зрении своего малыша. Свет не должен быть слишком яркий и падать прямо в глаза;</w:t>
      </w:r>
    </w:p>
    <w:p w14:paraId="57C346A4" w14:textId="77777777" w:rsidR="00EB6EEE" w:rsidRPr="007D4579" w:rsidRDefault="00EB6EEE" w:rsidP="007D4579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для того, чтобы глаза блестели, нужно много витаминов А и В. Они поддерживают на хорошем уровне зрение и предохраняют хрупкую ткань глаза. Витамин А благоприятствует ночному зрению;</w:t>
      </w:r>
    </w:p>
    <w:p w14:paraId="7979ED66" w14:textId="77777777" w:rsidR="00EB6EEE" w:rsidRPr="007D4579" w:rsidRDefault="00EB6EEE" w:rsidP="007D4579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при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врождённой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патологии, такой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как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косоглазие,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дальтонизм,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близорукость,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дальнозоркость и астигматизм необходимо наблюдение врача и соответственно вовремя принятые меры по возможной их если не ликвидации, так стабилизации и поддержания на уровне.</w:t>
      </w:r>
    </w:p>
    <w:p w14:paraId="55954A8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</w:p>
    <w:p w14:paraId="5B5818CB" w14:textId="77777777" w:rsidR="00EB6EEE" w:rsidRPr="007D4579" w:rsidRDefault="00EB6EEE" w:rsidP="007D4579">
      <w:pPr>
        <w:pStyle w:val="4"/>
        <w:ind w:firstLine="709"/>
        <w:jc w:val="both"/>
        <w:rPr>
          <w:sz w:val="24"/>
          <w:szCs w:val="24"/>
        </w:rPr>
      </w:pPr>
    </w:p>
    <w:p w14:paraId="5DBC0D18" w14:textId="77777777" w:rsidR="00EB6EEE" w:rsidRPr="007D4579" w:rsidRDefault="00EB6EEE" w:rsidP="007D4579">
      <w:pPr>
        <w:pStyle w:val="4"/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Используемая литература</w:t>
      </w:r>
    </w:p>
    <w:p w14:paraId="124F3A66" w14:textId="77777777" w:rsidR="00EB6EEE" w:rsidRPr="007D4579" w:rsidRDefault="00EB6EEE" w:rsidP="007D4579">
      <w:pPr>
        <w:numPr>
          <w:ilvl w:val="0"/>
          <w:numId w:val="7"/>
        </w:numPr>
        <w:tabs>
          <w:tab w:val="clear" w:pos="360"/>
          <w:tab w:val="num" w:pos="284"/>
        </w:tabs>
        <w:ind w:left="0"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Г. Былич, Л. Назарова «Популярная медицинская энциклопедия» М.: Вече,1998</w:t>
      </w:r>
    </w:p>
    <w:p w14:paraId="04800505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2) П. Филиппов «Как мы видим» Соросовский образовательный журнал №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2000</w:t>
      </w:r>
    </w:p>
    <w:p w14:paraId="3E4D3981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3) П. Филиппов «Как мы видим» Соросовский образовательный журнал №</w:t>
      </w:r>
      <w:r w:rsidR="00263604">
        <w:rPr>
          <w:sz w:val="24"/>
          <w:szCs w:val="24"/>
        </w:rPr>
        <w:t xml:space="preserve"> </w:t>
      </w:r>
      <w:r w:rsidRPr="007D4579">
        <w:rPr>
          <w:sz w:val="24"/>
          <w:szCs w:val="24"/>
        </w:rPr>
        <w:t>2000</w:t>
      </w:r>
    </w:p>
    <w:p w14:paraId="33A3D58B" w14:textId="77777777" w:rsidR="00EB6EEE" w:rsidRPr="007D4579" w:rsidRDefault="00EB6EEE" w:rsidP="007D4579">
      <w:pPr>
        <w:ind w:firstLine="709"/>
        <w:jc w:val="both"/>
        <w:rPr>
          <w:sz w:val="24"/>
          <w:szCs w:val="24"/>
        </w:rPr>
      </w:pPr>
      <w:r w:rsidRPr="007D4579">
        <w:rPr>
          <w:sz w:val="24"/>
          <w:szCs w:val="24"/>
        </w:rPr>
        <w:t>4) В. Пикеринг «Биология» М.: АСТ-ПРЕСС, 1997</w:t>
      </w:r>
    </w:p>
    <w:sectPr w:rsidR="00EB6EEE" w:rsidRPr="007D4579" w:rsidSect="007D4579">
      <w:footerReference w:type="default" r:id="rId7"/>
      <w:pgSz w:w="12240" w:h="15840"/>
      <w:pgMar w:top="425" w:right="851" w:bottom="42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A915" w14:textId="77777777" w:rsidR="002B4942" w:rsidRDefault="002B4942">
      <w:r>
        <w:separator/>
      </w:r>
    </w:p>
  </w:endnote>
  <w:endnote w:type="continuationSeparator" w:id="0">
    <w:p w14:paraId="063814DB" w14:textId="77777777" w:rsidR="002B4942" w:rsidRDefault="002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32F" w14:textId="77777777" w:rsidR="00636584" w:rsidRDefault="0063658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604">
      <w:rPr>
        <w:rStyle w:val="a4"/>
        <w:noProof/>
      </w:rPr>
      <w:t>7</w:t>
    </w:r>
    <w:r>
      <w:rPr>
        <w:rStyle w:val="a4"/>
      </w:rPr>
      <w:fldChar w:fldCharType="end"/>
    </w:r>
  </w:p>
  <w:p w14:paraId="3C47DEFC" w14:textId="77777777" w:rsidR="00636584" w:rsidRDefault="006365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9D80" w14:textId="77777777" w:rsidR="002B4942" w:rsidRDefault="002B4942">
      <w:r>
        <w:separator/>
      </w:r>
    </w:p>
  </w:footnote>
  <w:footnote w:type="continuationSeparator" w:id="0">
    <w:p w14:paraId="6882C90D" w14:textId="77777777" w:rsidR="002B4942" w:rsidRDefault="002B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87A"/>
    <w:multiLevelType w:val="multilevel"/>
    <w:tmpl w:val="CC58D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 w15:restartNumberingAfterBreak="0">
    <w:nsid w:val="0AB04629"/>
    <w:multiLevelType w:val="multilevel"/>
    <w:tmpl w:val="B1B051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44E065B"/>
    <w:multiLevelType w:val="multilevel"/>
    <w:tmpl w:val="1738289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246031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8E5D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4459D1"/>
    <w:multiLevelType w:val="multilevel"/>
    <w:tmpl w:val="D57C860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B123C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42E06"/>
    <w:multiLevelType w:val="multilevel"/>
    <w:tmpl w:val="CF42B1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4CC75BC"/>
    <w:multiLevelType w:val="multilevel"/>
    <w:tmpl w:val="ED3E0F8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EE"/>
    <w:rsid w:val="0006597A"/>
    <w:rsid w:val="000B7509"/>
    <w:rsid w:val="00150F86"/>
    <w:rsid w:val="00250D30"/>
    <w:rsid w:val="00263604"/>
    <w:rsid w:val="002B4942"/>
    <w:rsid w:val="003F21AB"/>
    <w:rsid w:val="004A1F4B"/>
    <w:rsid w:val="00636584"/>
    <w:rsid w:val="006F6740"/>
    <w:rsid w:val="0072799C"/>
    <w:rsid w:val="00784FE2"/>
    <w:rsid w:val="007D4579"/>
    <w:rsid w:val="00A35257"/>
    <w:rsid w:val="00AC097F"/>
    <w:rsid w:val="00B26134"/>
    <w:rsid w:val="00C56A04"/>
    <w:rsid w:val="00D27616"/>
    <w:rsid w:val="00DD7AB3"/>
    <w:rsid w:val="00E14F84"/>
    <w:rsid w:val="00E409A0"/>
    <w:rsid w:val="00E472A9"/>
    <w:rsid w:val="00EB5BDD"/>
    <w:rsid w:val="00EB6EEE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C7CDE"/>
  <w15:chartTrackingRefBased/>
  <w15:docId w15:val="{AC581A68-DDDF-4013-A211-66F52E46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ind w:left="720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Имя</dc:creator>
  <cp:keywords/>
  <dc:description/>
  <cp:lastModifiedBy>Igor</cp:lastModifiedBy>
  <cp:revision>2</cp:revision>
  <cp:lastPrinted>2002-04-23T16:45:00Z</cp:lastPrinted>
  <dcterms:created xsi:type="dcterms:W3CDTF">2024-11-05T12:21:00Z</dcterms:created>
  <dcterms:modified xsi:type="dcterms:W3CDTF">2024-11-05T12:21:00Z</dcterms:modified>
</cp:coreProperties>
</file>