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B128" w14:textId="77777777" w:rsidR="00470854" w:rsidRPr="00916235" w:rsidRDefault="00470854" w:rsidP="00551767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283410323"/>
      <w:r w:rsidRPr="00916235">
        <w:rPr>
          <w:rFonts w:ascii="Times New Roman" w:hAnsi="Times New Roman"/>
          <w:color w:val="000000"/>
          <w:sz w:val="28"/>
          <w:szCs w:val="28"/>
        </w:rPr>
        <w:t xml:space="preserve">1. Обеспечение необходимой дисперсности и заданных физико-механических свойств материала при использовании различных типов </w:t>
      </w:r>
      <w:r w:rsidR="00B05578" w:rsidRPr="00916235">
        <w:rPr>
          <w:rFonts w:ascii="Times New Roman" w:hAnsi="Times New Roman"/>
          <w:color w:val="000000"/>
          <w:sz w:val="28"/>
          <w:szCs w:val="28"/>
        </w:rPr>
        <w:t>машин</w:t>
      </w:r>
      <w:bookmarkEnd w:id="0"/>
    </w:p>
    <w:p w14:paraId="147C12DE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EC7F20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Для производства лекарственных препаратов использует много способов и в этом процессе могут быть задействованы несколько </w:t>
      </w:r>
      <w:r w:rsidR="00522CDF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производственных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машин одновременно. Дисперсность материала имеет большое значение при выборе способа сушки и конструкции сушильного аппарата; она определяет физические и другие свойства материала.</w:t>
      </w:r>
    </w:p>
    <w:p w14:paraId="69D5DC78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О дисперсности материала достаточно полно можно судить по его удельной поверхности.</w:t>
      </w:r>
      <w:r w:rsidR="00522CDF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Чем выше дисперсность материала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2CDF" w:rsidRPr="00916235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больше контактов между кристаллами.</w:t>
      </w:r>
    </w:p>
    <w:p w14:paraId="4C77CC86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Если степень дисперсности материала невелика, то лишь малая доля его вещества находится в состоянии поверхностных слоев, и она мало влияет на объемные свойства материала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весовой и молекулярный состав, теплоемкость, скорость объемных реакций. Но даже малое количество вещества в поверхностных слоях может сильно влиять на поверхностные свойства материала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внешнее трение, скорость гетерогенных реакций, прилипание, связность элементов структуры, и вообще на изменение дисперсной структуры материала.</w:t>
      </w:r>
    </w:p>
    <w:p w14:paraId="2AEDFDDC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Увеличение относительного объема поверхностных слоев с уменьшением величины частиц. Если степень дисперсности материала невелика, то объем вещества, находящегося в поверхностных слоях и обладающего своеобразными свойствами, мал по сравнению с объемом фазы. Поэтому свойства такого материала обусловлены объемными свойствами его фаз, и границы между ними можно считать геометрическими поверхностями, не имеющими толщины.</w:t>
      </w:r>
    </w:p>
    <w:p w14:paraId="073097D9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С увеличением диспергирования или естественной дисперсности материала подвижность частиц возрастает.</w:t>
      </w:r>
    </w:p>
    <w:p w14:paraId="6E3E18C6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Существует оптимальная вязкость, зависящая от дисперсности материала и вязкости раствора, при которой достигается максимальная прочность.</w:t>
      </w:r>
    </w:p>
    <w:p w14:paraId="5F4965EE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Этапы приготовления препаратов из водной суспензии. Если имеют в виду статистическое определение дисперсности материала, то описанный способ удаления избытка суспензии при помощи фильтровальной бумаги непригоден, так как возможно, что частицы некоторого размера будут предпочтительно удерживаться на пленке. В этом случае необходимо дать возможность капле полностью испариться на пленке. Однако в процессе испарения капли в ней возникают микропотоки (в особенности, когда наиболее крупные частицы или их агрегаты возвышаются над уровнем жидкости и происходит испарение с их поверхности, смачиваемой за счет капиллярных сил), что приводит к взаимному притяжению частиц и образованию агрегатов.</w:t>
      </w:r>
    </w:p>
    <w:p w14:paraId="1DD83AFF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Процесс спекания портландцементного клинкера происходит при постоянном изменении дисперсности материала.</w:t>
      </w:r>
    </w:p>
    <w:p w14:paraId="0B5C12D2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Технологические режимы плазменного напыления определяются: видом и дисперсностью материала, током плазменной струи и его напряжением, видом и расходом плазмообразующего газа, диаметром сопла плазменной горелки и расстоянием от сопла до напыляемой поверхности.</w:t>
      </w:r>
    </w:p>
    <w:p w14:paraId="664AAF05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Оптимальная влажность компостируемой массы варьирует и зависит от природы и дисперсности материала. Различные материалы могут иметь разную влажность до тех пор, пока поддерживается соответствующий объем свободного газового пространства.</w:t>
      </w:r>
    </w:p>
    <w:p w14:paraId="5A293D83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Таким образом, для увеличения поверхности соприкосновения необходимо, во-первых, повысить дисперсность материала или пористость его</w:t>
      </w:r>
      <w:r w:rsidR="008557D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кусков. Второй задачей является создание в аппарате таких условий, при которых вся или большая часть поверхности твердых частичек омывается потоком газа или жидкости.</w:t>
      </w:r>
    </w:p>
    <w:p w14:paraId="7B29BD9A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Измельчение исходных компонентов является необходимой операцией, поскольку она обеспечивает достижение той дисперсности материала, которая соответствует особенностям принятого способа получения катализатора и отвечает требованиям к его свойствам. Измельчение производят в дробилках и помольных машинах.</w:t>
      </w:r>
    </w:p>
    <w:p w14:paraId="0B5BB62F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Химическая устойчивость минералов зависит от состава, строения (конституции) и степени дисперсности материала, а также от характера среды и времени пребывания минералов в этой среде.</w:t>
      </w:r>
    </w:p>
    <w:p w14:paraId="5868D8A7" w14:textId="77777777" w:rsidR="00B05578" w:rsidRPr="00916235" w:rsidRDefault="008557D7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Экстраполяция к (</w:t>
      </w:r>
      <w:r w:rsidR="00B05578" w:rsidRPr="00916235">
        <w:rPr>
          <w:rFonts w:ascii="Times New Roman" w:hAnsi="Times New Roman" w:cs="Times New Roman"/>
          <w:color w:val="000000"/>
          <w:sz w:val="28"/>
          <w:szCs w:val="28"/>
        </w:rPr>
        <w:t>нулевому значению константы скорости деструкции правомерна, поскольку в случае, когда дисперсность материала (возрастает и поверхность интенсивно обновляется, константа деструкции становится а несколько порядков выше, чем при усталостном режиме.</w:t>
      </w:r>
    </w:p>
    <w:p w14:paraId="494C659F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Неправильная, нитеобразная форма целлюлозных частиц не позволяет дать точную оценку размеров частиц, характеризовать дисперсность материала. Максимум кривых распределения приходится на интервал 50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100 мкм, диаметр частиц составляет 15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20 мкм.</w:t>
      </w:r>
    </w:p>
    <w:p w14:paraId="12E34E45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характеристиками дисперсности материалов следует считать удельную поверхность частиц порошка (в расчете на </w:t>
      </w:r>
      <w:smartTag w:uri="urn:schemas-microsoft-com:office:smarttags" w:element="metricconverter">
        <w:smartTagPr>
          <w:attr w:name="ProductID" w:val="1 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1 г</w:t>
        </w:r>
      </w:smartTag>
      <w:r w:rsidRPr="00916235">
        <w:rPr>
          <w:rFonts w:ascii="Times New Roman" w:hAnsi="Times New Roman" w:cs="Times New Roman"/>
          <w:color w:val="000000"/>
          <w:sz w:val="28"/>
          <w:szCs w:val="28"/>
        </w:rPr>
        <w:t>) и гранулометрический состав, который задается обычно в виде функции распределения частиц по фракциям.</w:t>
      </w:r>
    </w:p>
    <w:p w14:paraId="353E67D0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Природа материала (гидрофильность), степень дисперсности, условия изготовления и продолжительность хранения влияют на содержание влаги и летучих. Чем выше степень дисперсности материала, тем более развитой поверхностью он обладает и, следовательно, тем выше его сорбционная способность. Этим объясняется повышенная склонность тонкодисперсных порошков к увлажнению и наличие в них большего количества адсорбированного газа и примесей других веществ, поглощенных из окружающей среды в процессе их изготовления или хранения. Содержание летучих в полимерах зависит от наличия в сырье остаточного мономера и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низкокипящих пластификаторов, которые при температуре переработки переходят в газообразное состояние.</w:t>
      </w:r>
    </w:p>
    <w:p w14:paraId="362159A0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При низких температурах преобладает второй фактор, а при высоких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первый. Очевидно, что чем выше дисперсность материала и, следовательно, чем больше контактов между кристаллами, тем сильнее проявляется второй фактор.</w:t>
      </w:r>
    </w:p>
    <w:p w14:paraId="38781868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механохимической активации повышается не только дисперсность материала, но и реакционная способность, выражаемая в приросте гидравлической активности на 30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40 МПа.</w:t>
      </w:r>
    </w:p>
    <w:p w14:paraId="724D19FB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Для повышения пластичности глин их подвергают вылеживанию во влажном состоянии в помещениях (</w:t>
      </w:r>
      <w:r w:rsidR="00F21FC7" w:rsidRPr="00916235">
        <w:rPr>
          <w:rFonts w:ascii="Times New Roman" w:hAnsi="Times New Roman" w:cs="Times New Roman"/>
          <w:color w:val="000000"/>
          <w:sz w:val="28"/>
          <w:szCs w:val="28"/>
        </w:rPr>
        <w:t>влажных подвалах), на воздухе (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вымораживанию), а также пропариванию. Вылеживание и пропаривание способствуют разрыхлению и увеличению дисперсности материала. Практикуется также добавка к тощим глинам более пластичных глин или же различных коллоидальных веществ (декстрин, крахмал и пр.</w:t>
      </w:r>
      <w:r w:rsidR="00F21FC7" w:rsidRPr="0091623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2EAA7F9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Столь широкие диапазоны колебаний величин, определяющих качественно однозначные понятия, свидетельствуют лишь о том, что классификация измельчителей по дисперсности не учитывает прочности измельчаемого материала. Это является следствием отсутствия физико-механического обоснования классификации измельчителей по дисперсности материала. Аналогичные феноменологические классификации по тому или иному внешнему признаку, не связанному органически с энергетикой, конструкцией и областью применения измельчителя, являются произвольными </w:t>
      </w:r>
      <w:r w:rsidR="00D336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построены в различных вариантах.</w:t>
      </w:r>
    </w:p>
    <w:p w14:paraId="4F3AC39D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Столь широкие диапазоны колебаний величин, определяющих качественно однозначные понятия, свидетельствуют лишь о том, что классификация измельчителей по дисперсности не учитывает прочности измельчаемого материала. Это является следствием отсутствия физико-механического обоснования классификации измельчителей по дисперсности материала. Аналогичные феноменологические классификации по тому или ному внешнему признаку, не связанному органически с энергетикой, конструкцией и областью применения измельчителя, являются произвольными </w:t>
      </w:r>
      <w:r w:rsidR="00F21FC7" w:rsidRPr="0091623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построены в различных вариантах.</w:t>
      </w:r>
    </w:p>
    <w:p w14:paraId="1C6F34CE" w14:textId="77777777" w:rsidR="00B05578" w:rsidRPr="00916235" w:rsidRDefault="00B05578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98359" w14:textId="77777777" w:rsidR="00470854" w:rsidRPr="00916235" w:rsidRDefault="00470854" w:rsidP="00551767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Toc283410273"/>
      <w:bookmarkStart w:id="2" w:name="_Toc283410324"/>
      <w:r w:rsidRPr="00916235">
        <w:rPr>
          <w:rFonts w:ascii="Times New Roman" w:hAnsi="Times New Roman"/>
          <w:color w:val="000000"/>
          <w:sz w:val="28"/>
          <w:szCs w:val="28"/>
        </w:rPr>
        <w:t>2. Опишите технологию с теоретическим обоснованием</w:t>
      </w:r>
      <w:bookmarkEnd w:id="1"/>
      <w:bookmarkEnd w:id="2"/>
    </w:p>
    <w:p w14:paraId="2C40D63C" w14:textId="77777777" w:rsidR="00746119" w:rsidRPr="00916235" w:rsidRDefault="00746119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77AA9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Возьми: Кодеина 0.01</w:t>
      </w:r>
    </w:p>
    <w:p w14:paraId="72D98E71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Натрия гидрокарбоната</w:t>
      </w:r>
    </w:p>
    <w:p w14:paraId="1F3A7838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Терпина гидрата поровну по 0.25</w:t>
      </w:r>
    </w:p>
    <w:p w14:paraId="2122B6DD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Смешай, получи порошок.</w:t>
      </w:r>
    </w:p>
    <w:p w14:paraId="4BCE10CE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Дай таких доз числом 12.</w:t>
      </w:r>
    </w:p>
    <w:p w14:paraId="3B67847B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Обозначь: по 1 порошку 2 раза в день.</w:t>
      </w:r>
    </w:p>
    <w:p w14:paraId="0D522DC4" w14:textId="77777777" w:rsidR="00746119" w:rsidRPr="00916235" w:rsidRDefault="00746119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Процесс изготовления порошков состоит из следующих основных стадий: измельчения и просеивания, смешивания (при изготовлении сложных порошков), дозирования и упаковки. Необходимость выполнения тех или иных технологических стадий или операций зависит от рецептурной прописи, медицинского назначения и вида исходных препаратов. В соответствии с этими факторами к порошкам предъявляются различные требования в отношении степени размельчения, способа приготовления, упаковки и отпуска.</w:t>
      </w:r>
    </w:p>
    <w:p w14:paraId="24B26BD5" w14:textId="77777777" w:rsidR="00746119" w:rsidRPr="00916235" w:rsidRDefault="00746119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Помимо своего состава и способа назначения, порошки отличаются друг от друга также агрегатным состоянием (кристаллические и аморфные), плотностью, твердостью, цветом, запахом и другими свойствами.</w:t>
      </w:r>
    </w:p>
    <w:p w14:paraId="6BDF839F" w14:textId="77777777" w:rsidR="00746119" w:rsidRPr="00916235" w:rsidRDefault="00746119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Порошки животного и растительного происхождения, как правило, являются аморфными и отличаются от порошков минерального происхождения меньшей плотностью.</w:t>
      </w:r>
    </w:p>
    <w:p w14:paraId="78C96245" w14:textId="77777777" w:rsidR="00746119" w:rsidRPr="00916235" w:rsidRDefault="00746119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Некоторые вещества, прописываемые в порошках, изменяются под воздействием света, кислорода, углекислоты и влаги воздуха (аминазин, апоморфина гидрохлорид, ртути окись желтая, кортизона ацетат и др.), гигроскопичны (адреналина гидрохлорид, натрия хлорид, мочевина, гексаметилентетрамин и др.), достаточно легко теряют кристаллизационную воду (натрия сульфат, магния сульфат), летучи (камфора, ментол, хлоралгидрат, фенил салицилат и др.).</w:t>
      </w:r>
    </w:p>
    <w:p w14:paraId="60CBE67A" w14:textId="77777777" w:rsidR="00B05578" w:rsidRPr="00916235" w:rsidRDefault="00746119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Иногда в результате смешивания нескольких порошкообразных веществ могут иметь место химическое взаимодействие между ними, изменение ряда вышеперечисленных физических свойств состава, в некоторых случаях образование взрывоопасных смесей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и т.д.</w:t>
      </w:r>
    </w:p>
    <w:p w14:paraId="0955C871" w14:textId="77777777" w:rsidR="00A50F5E" w:rsidRPr="00916235" w:rsidRDefault="00A50F5E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Основной целью стадии измельчения является достижение более быстрого и полного терапевтического эффекта за счет уменьшения размера частиц и увеличения их количества. Кроме того, тонкоизмельченные вещества лучше смешиваются, меньше расслаиваются при дозировании, а при рассматривании невооруженным глазом в смеси таких веществ не обнаруживаются отдельные частицы ингредиентов, наличие которых в соответствии с указаниями ГФ недопустимо. Скорость и полнота всасывания лекарственного вещества, его концентрация и время пребывания в организме в значительной мере зависят от размера частиц.</w:t>
      </w:r>
    </w:p>
    <w:p w14:paraId="3AF73CAA" w14:textId="77777777" w:rsidR="00A50F5E" w:rsidRPr="00916235" w:rsidRDefault="00A50F5E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Если порошки содержат частицы разного размера, то являются полидисперсными, если частицы имеют одинаковый размер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монодисперсными. Монодисперсных порошков практически не существует, имеются лишь некоторые препараты, по составу приближающиеся к таковым (например, ликоподий (споры плауна)).</w:t>
      </w:r>
    </w:p>
    <w:p w14:paraId="39DF26A4" w14:textId="77777777" w:rsidR="00A50F5E" w:rsidRPr="00916235" w:rsidRDefault="00A50F5E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просеивания является получение продукта с как можно более сходным размером частиц. В аптечной практике эта технологическая стадия используется крайне редко. В большинстве случаев просеивают лишь измельченное лекарственное растительное сырье. Для этих целей чаще всего используют сита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1 (0,1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 мм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) и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8 (0,16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 мм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). Первое применяют в основном при просеивании материала для глазных порошков, присыпок и порошков для вдуваний, второе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для большинства остальных порошков. До 0,16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 мм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(сито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8) измельчают вещества, для которых не указана степень дисперсности. Для просеивания используют стандартные наборы сит с ободками диаметром 150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 мм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. Сита могут закрываються крышками, что особенно важно при работе с ядовитыми и легко</w:t>
      </w:r>
      <w:r w:rsidR="00916235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распыляющимися веществами. Крышку рекомендуется открывать не сразу после просеивания, а спустя 20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30 с, так как за это время пыль внутри сита успевает осесть.</w:t>
      </w:r>
    </w:p>
    <w:p w14:paraId="40DA3619" w14:textId="77777777" w:rsidR="0010745B" w:rsidRPr="00916235" w:rsidRDefault="0010745B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Смешивание осуществляют для получения однородной порошковой смеси.</w:t>
      </w:r>
    </w:p>
    <w:p w14:paraId="0E5A32BA" w14:textId="77777777" w:rsidR="0010745B" w:rsidRPr="00916235" w:rsidRDefault="0010745B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Его, как правило, производят одновременно с измельчением в ступке, аппарате М.X. Исламгулова или других аппаратах, используемых для этой цели.</w:t>
      </w:r>
    </w:p>
    <w:p w14:paraId="3558D4A6" w14:textId="77777777" w:rsidR="00A50F5E" w:rsidRPr="00916235" w:rsidRDefault="0010745B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При смешивании измельченных лекарственных веществ (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при производстве сложных порошков) вращение пестика должно осуществляться с меньшим давлением на дно и стенки ступки, чем при порошковании. Процесс следует производить при частом собирании порошка со стенок ступки и пестика пластмассовой пластинкой до получения однородной смеси. Однородность проверяется следующим образом: при надавливании пестиком на смесь не должно обнаруживаться отдельных частиц. Если ингредиенты сложного порошка выписаны в равных или приблизительно равных количествах, в зависимости от свойств лекарственных веществ возможны несколько вариантов порядка их смешивания. В случае, когда составные части порошковой смеси имеют приблизительно одинаковые физические свойства (плотность, кристаллическую структуру и др.) при их смешивании следует учитывать, какое из веществ больше втирается в поры ступки.</w:t>
      </w:r>
    </w:p>
    <w:p w14:paraId="2BE2BE4C" w14:textId="77777777" w:rsidR="00E6532D" w:rsidRPr="00916235" w:rsidRDefault="00E6532D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Дозирование порошковых смесей осуществляют либо по массе, либо по объему.</w:t>
      </w:r>
    </w:p>
    <w:p w14:paraId="34AB22DB" w14:textId="77777777" w:rsidR="00E6532D" w:rsidRPr="00916235" w:rsidRDefault="00E6532D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распространено дозирование по массе. Этот метод более точен, чем дозирование по объему. Необходимы ручные аптечные весы, чашки которых до начала работы протирают ватой, смоченной этанолом или смесью этанола с эфиром. Процесс дозирования заключается в следующем: порошок из ступки насыпают на чашку весов с помощью ложечки из пластмассы. После развешивания его высыпают из чашки в капсулу. По завершении работы чашки весов вытирают стерильными марлевыми салфетками или ватными тампонами.</w:t>
      </w:r>
    </w:p>
    <w:p w14:paraId="2464FCB5" w14:textId="77777777" w:rsidR="0010745B" w:rsidRPr="00916235" w:rsidRDefault="00E6532D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Дозирование по объему менее точно, однако отличается большей производительностью. Используют специальные дозаторы, предназначенные для объемного дозирования сыпучих лекарственных веществ в дозах от 0,1 до </w:t>
      </w:r>
      <w:smartTag w:uri="urn:schemas-microsoft-com:office:smarttags" w:element="metricconverter">
        <w:smartTagPr>
          <w:attr w:name="ProductID" w:val="2,0 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2,0 г</w:t>
        </w:r>
      </w:smartTag>
      <w:r w:rsidRPr="00916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3F7ABA" w14:textId="77777777" w:rsidR="004838BE" w:rsidRPr="00916235" w:rsidRDefault="004838BE" w:rsidP="00551767">
      <w:pPr>
        <w:widowControl/>
        <w:shd w:val="clear" w:color="auto" w:fill="FFFFFF"/>
        <w:tabs>
          <w:tab w:val="left" w:pos="0"/>
          <w:tab w:val="left" w:pos="30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Возьми: Кодеина 0.01</w:t>
      </w:r>
    </w:p>
    <w:p w14:paraId="0B541CA5" w14:textId="77777777" w:rsidR="004838BE" w:rsidRPr="00916235" w:rsidRDefault="004838BE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Натрия гидрокарбоната</w:t>
      </w:r>
    </w:p>
    <w:p w14:paraId="34DBAF13" w14:textId="77777777" w:rsidR="004838BE" w:rsidRPr="00916235" w:rsidRDefault="004838BE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Терпина гидрата поровну по 0.25</w:t>
      </w:r>
    </w:p>
    <w:p w14:paraId="6AD82A2A" w14:textId="77777777" w:rsidR="004838BE" w:rsidRPr="00916235" w:rsidRDefault="004838BE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Смешай, получи порошок.</w:t>
      </w:r>
    </w:p>
    <w:p w14:paraId="01D68B4B" w14:textId="77777777" w:rsidR="004838BE" w:rsidRPr="00916235" w:rsidRDefault="004838BE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Дай таких доз числом 12.</w:t>
      </w:r>
    </w:p>
    <w:p w14:paraId="1EAA5D71" w14:textId="77777777" w:rsidR="004838BE" w:rsidRPr="00916235" w:rsidRDefault="004838BE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Обозначь: по 1 порошку 2 раза в день.</w:t>
      </w:r>
    </w:p>
    <w:p w14:paraId="08CF7D71" w14:textId="77777777" w:rsidR="0010745B" w:rsidRPr="00D33617" w:rsidRDefault="0010745B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Rp.: Codeini 0,01</w:t>
      </w:r>
    </w:p>
    <w:p w14:paraId="1B0C03D0" w14:textId="77777777" w:rsidR="0010745B" w:rsidRPr="00D33617" w:rsidRDefault="00587B17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Natrii hydrocarbonas</w:t>
      </w:r>
      <w:r w:rsidR="0010745B"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0,</w:t>
      </w: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25</w:t>
      </w:r>
    </w:p>
    <w:p w14:paraId="36FAF909" w14:textId="77777777" w:rsidR="0010745B" w:rsidRPr="00D33617" w:rsidRDefault="00F658F0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Turpin Hydrate 0,25</w:t>
      </w:r>
    </w:p>
    <w:p w14:paraId="5530AA21" w14:textId="77777777" w:rsidR="0010745B" w:rsidRPr="00D33617" w:rsidRDefault="0010745B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M. f. pulvis</w:t>
      </w:r>
    </w:p>
    <w:p w14:paraId="46FBA85A" w14:textId="77777777" w:rsidR="0010745B" w:rsidRPr="00D33617" w:rsidRDefault="0010745B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Divide in partes aequales </w:t>
      </w:r>
      <w:r w:rsidR="00916235"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№</w:t>
      </w:r>
      <w:r w:rsidR="00551767"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F658F0"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</w:p>
    <w:p w14:paraId="3F7661E8" w14:textId="77777777" w:rsidR="0010745B" w:rsidRPr="00916235" w:rsidRDefault="0010745B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S. По 1 порошку 2 раза в день.</w:t>
      </w:r>
    </w:p>
    <w:p w14:paraId="3B96D99F" w14:textId="77777777" w:rsidR="0010745B" w:rsidRPr="00916235" w:rsidRDefault="0010745B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Потери кодеина в незатертых ступках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составляют </w:t>
      </w:r>
      <w:r w:rsidR="00B94B7E" w:rsidRPr="00916235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4 мг (приблизительно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). В максимальном количестве в данном рецепте выписан </w:t>
      </w:r>
      <w:r w:rsidR="00B94B7E" w:rsidRPr="00916235">
        <w:rPr>
          <w:rFonts w:ascii="Times New Roman" w:hAnsi="Times New Roman" w:cs="Times New Roman"/>
          <w:color w:val="000000"/>
          <w:sz w:val="28"/>
          <w:szCs w:val="28"/>
        </w:rPr>
        <w:t>натрия гидрокарбонат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, потери которого составляют около 3,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278886" w14:textId="77777777" w:rsidR="00746119" w:rsidRPr="00916235" w:rsidRDefault="0010745B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Поэтому вначале в ступке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измельчают </w:t>
      </w:r>
      <w:smartTag w:uri="urn:schemas-microsoft-com:office:smarttags" w:element="metricconverter">
        <w:smartTagPr>
          <w:attr w:name="ProductID" w:val="1,8 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1,8 г</w:t>
        </w:r>
      </w:smartTag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4B7E" w:rsidRPr="00916235">
        <w:rPr>
          <w:rFonts w:ascii="Times New Roman" w:hAnsi="Times New Roman" w:cs="Times New Roman"/>
          <w:color w:val="000000"/>
          <w:sz w:val="28"/>
          <w:szCs w:val="28"/>
        </w:rPr>
        <w:t>натрия гидрокарбонат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, высыпают его в капсулу, оставив столько, сколько примерно равно массе ингредиента, выписанного в рецепте в наименьшем количестве,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кодеина. В ступку помещают </w:t>
      </w:r>
      <w:smartTag w:uri="urn:schemas-microsoft-com:office:smarttags" w:element="metricconverter">
        <w:smartTagPr>
          <w:attr w:name="ProductID" w:val="0,01 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0,</w:t>
        </w:r>
        <w:r w:rsidR="00551767" w:rsidRPr="00916235">
          <w:rPr>
            <w:rFonts w:ascii="Times New Roman" w:hAnsi="Times New Roman" w:cs="Times New Roman"/>
            <w:color w:val="000000"/>
            <w:sz w:val="28"/>
            <w:szCs w:val="28"/>
          </w:rPr>
          <w:t>01 г</w:t>
        </w:r>
      </w:smartTag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кодеина, перемешивают, добавляют </w:t>
      </w:r>
      <w:smartTag w:uri="urn:schemas-microsoft-com:office:smarttags" w:element="metricconverter">
        <w:smartTagPr>
          <w:attr w:name="ProductID" w:val="0,25 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0,</w:t>
        </w:r>
        <w:r w:rsidR="00551767" w:rsidRPr="00916235">
          <w:rPr>
            <w:rFonts w:ascii="Times New Roman" w:hAnsi="Times New Roman" w:cs="Times New Roman"/>
            <w:color w:val="000000"/>
            <w:sz w:val="28"/>
            <w:szCs w:val="28"/>
          </w:rPr>
          <w:t>25 г</w:t>
        </w:r>
      </w:smartTag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E673C" w:rsidRPr="00916235">
        <w:rPr>
          <w:rFonts w:ascii="Times New Roman" w:hAnsi="Times New Roman" w:cs="Times New Roman"/>
          <w:color w:val="000000"/>
          <w:sz w:val="28"/>
          <w:szCs w:val="28"/>
        </w:rPr>
        <w:t>терпина гидрата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и дробно </w:t>
      </w:r>
      <w:smartTag w:uri="urn:schemas-microsoft-com:office:smarttags" w:element="metricconverter">
        <w:smartTagPr>
          <w:attr w:name="ProductID" w:val="0,25 г"/>
        </w:smartTagPr>
        <w:r w:rsidR="005E673C" w:rsidRPr="00916235">
          <w:rPr>
            <w:rFonts w:ascii="Times New Roman" w:hAnsi="Times New Roman" w:cs="Times New Roman"/>
            <w:color w:val="000000"/>
            <w:sz w:val="28"/>
            <w:szCs w:val="28"/>
          </w:rPr>
          <w:t>0,</w:t>
        </w:r>
        <w:r w:rsidR="00551767" w:rsidRPr="00916235">
          <w:rPr>
            <w:rFonts w:ascii="Times New Roman" w:hAnsi="Times New Roman" w:cs="Times New Roman"/>
            <w:color w:val="000000"/>
            <w:sz w:val="28"/>
            <w:szCs w:val="28"/>
          </w:rPr>
          <w:t>25 г</w:t>
        </w:r>
      </w:smartTag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E673C" w:rsidRPr="00916235">
        <w:rPr>
          <w:rFonts w:ascii="Times New Roman" w:hAnsi="Times New Roman" w:cs="Times New Roman"/>
          <w:color w:val="000000"/>
          <w:sz w:val="28"/>
          <w:szCs w:val="28"/>
        </w:rPr>
        <w:t>натрия гидрокарбоната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. Перемешивают, дозируют по </w:t>
      </w:r>
      <w:smartTag w:uri="urn:schemas-microsoft-com:office:smarttags" w:element="metricconverter">
        <w:smartTagPr>
          <w:attr w:name="ProductID" w:val="0,1 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0,</w:t>
        </w:r>
        <w:r w:rsidR="00A963EE" w:rsidRPr="00916235"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</w:t>
        </w:r>
      </w:smartTag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в вощеные капсулы.</w:t>
      </w:r>
    </w:p>
    <w:p w14:paraId="78AD3566" w14:textId="77777777" w:rsidR="00470854" w:rsidRPr="00916235" w:rsidRDefault="00916235" w:rsidP="00551767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283410274"/>
      <w:bookmarkStart w:id="4" w:name="_Toc283410325"/>
      <w:r w:rsidRPr="00916235">
        <w:rPr>
          <w:rFonts w:ascii="Times New Roman" w:hAnsi="Times New Roman"/>
          <w:color w:val="000000"/>
          <w:sz w:val="28"/>
          <w:szCs w:val="28"/>
        </w:rPr>
        <w:br w:type="page"/>
      </w:r>
      <w:r w:rsidR="00470854" w:rsidRPr="00916235">
        <w:rPr>
          <w:rFonts w:ascii="Times New Roman" w:hAnsi="Times New Roman"/>
          <w:color w:val="000000"/>
          <w:sz w:val="28"/>
          <w:szCs w:val="28"/>
        </w:rPr>
        <w:t>3. Дать характеристику, составить паспорт письменного контроля, указать оптимальный вариант технологии с оценк</w:t>
      </w:r>
      <w:r w:rsidR="00ED0675" w:rsidRPr="00916235">
        <w:rPr>
          <w:rFonts w:ascii="Times New Roman" w:hAnsi="Times New Roman"/>
          <w:color w:val="000000"/>
          <w:sz w:val="28"/>
          <w:szCs w:val="28"/>
        </w:rPr>
        <w:t>ой качества лекарственной формы</w:t>
      </w:r>
      <w:bookmarkEnd w:id="3"/>
      <w:bookmarkEnd w:id="4"/>
    </w:p>
    <w:p w14:paraId="27E67727" w14:textId="77777777" w:rsidR="00ED0675" w:rsidRPr="00916235" w:rsidRDefault="00ED0675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75D8A0" w14:textId="77777777" w:rsidR="00470854" w:rsidRPr="00916235" w:rsidRDefault="00470854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Возьми: Глюкозы</w:t>
      </w:r>
      <w:r w:rsidR="00746119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4,0</w:t>
      </w:r>
    </w:p>
    <w:p w14:paraId="77045A92" w14:textId="77777777" w:rsidR="00470854" w:rsidRPr="00916235" w:rsidRDefault="00470854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Натрия бромида</w:t>
      </w:r>
      <w:r w:rsidR="00746119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2,0</w:t>
      </w:r>
    </w:p>
    <w:p w14:paraId="7D139B2E" w14:textId="77777777" w:rsidR="00470854" w:rsidRPr="00916235" w:rsidRDefault="00470854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Настойки пустырника</w:t>
      </w:r>
      <w:r w:rsidR="00746119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64C30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мл</w:t>
      </w:r>
    </w:p>
    <w:p w14:paraId="7435358F" w14:textId="77777777" w:rsidR="00470854" w:rsidRPr="00916235" w:rsidRDefault="00746119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Воды мятной </w:t>
      </w:r>
      <w:r w:rsidR="00470854" w:rsidRPr="00916235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="00E64C30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854" w:rsidRPr="00916235">
        <w:rPr>
          <w:rFonts w:ascii="Times New Roman" w:hAnsi="Times New Roman" w:cs="Times New Roman"/>
          <w:color w:val="000000"/>
          <w:sz w:val="28"/>
          <w:szCs w:val="28"/>
        </w:rPr>
        <w:t>мл</w:t>
      </w:r>
    </w:p>
    <w:p w14:paraId="3854A6E9" w14:textId="77777777" w:rsidR="00470854" w:rsidRPr="00916235" w:rsidRDefault="00470854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Смешай. Дай. Обозначь. По 1 дес. ложке 3 раза в день</w:t>
      </w:r>
    </w:p>
    <w:p w14:paraId="22940B25" w14:textId="77777777" w:rsidR="00C16D87" w:rsidRPr="00916235" w:rsidRDefault="00C16D87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В процессе приготовления растворов путем разведения концентратов следует проводить быстрые и безошибочные подсчеты необходимого количества исходного концентрата и растворителя, объединяемых в один раствор.</w:t>
      </w:r>
    </w:p>
    <w:p w14:paraId="247C3D65" w14:textId="77777777" w:rsidR="00C16D87" w:rsidRPr="00916235" w:rsidRDefault="00C16D87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При подсчетах разведения концентратов, в которых концентрация обозначена в виде отношения количества растворимого вещества к количеству раствора, необходимое количество сухого вещества множат на величину разведения, то есть на друге цифру концентрационного отношения.</w:t>
      </w:r>
    </w:p>
    <w:p w14:paraId="4D4C12F3" w14:textId="77777777" w:rsidR="00470854" w:rsidRPr="00916235" w:rsidRDefault="00C16D87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Для приготовления раствора в подставку, предварительно промытую водой дистиллированной, отмеривают 200 мл воды м’ятний, отвешивают </w:t>
      </w:r>
      <w:smartTag w:uri="urn:schemas-microsoft-com:office:smarttags" w:element="metricconverter">
        <w:smartTagPr>
          <w:attr w:name="ProductID" w:val="4,0 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4,0 г</w:t>
        </w:r>
      </w:smartTag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глюкозы, </w:t>
      </w:r>
      <w:r w:rsidR="00B73C9C" w:rsidRPr="00916235">
        <w:rPr>
          <w:rFonts w:ascii="Times New Roman" w:hAnsi="Times New Roman" w:cs="Times New Roman"/>
          <w:color w:val="000000"/>
          <w:sz w:val="28"/>
          <w:szCs w:val="28"/>
        </w:rPr>
        <w:t>4,0 мл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C9C" w:rsidRPr="00916235">
        <w:rPr>
          <w:rFonts w:ascii="Times New Roman" w:hAnsi="Times New Roman" w:cs="Times New Roman"/>
          <w:color w:val="000000"/>
          <w:sz w:val="28"/>
          <w:szCs w:val="28"/>
        </w:rPr>
        <w:t>настойки пустырника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. Тщательно перемешивают. Прибавляют </w:t>
      </w:r>
      <w:smartTag w:uri="urn:schemas-microsoft-com:office:smarttags" w:element="metricconverter">
        <w:smartTagPr>
          <w:attr w:name="ProductID" w:val="2,0 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2,0 г</w:t>
        </w:r>
      </w:smartTag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натрия бромида. Растворяют, процеживают в флакон, оформляют для отпуска.</w:t>
      </w:r>
    </w:p>
    <w:p w14:paraId="7A7FC426" w14:textId="77777777" w:rsidR="00602A8C" w:rsidRPr="00D33617" w:rsidRDefault="00602A8C" w:rsidP="0055176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Rp.: Glucosum 4,0</w:t>
      </w:r>
    </w:p>
    <w:p w14:paraId="1294D7C6" w14:textId="77777777" w:rsidR="00602A8C" w:rsidRPr="00D33617" w:rsidRDefault="00602A8C" w:rsidP="0055176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Natrii bromidum 2,0</w:t>
      </w:r>
    </w:p>
    <w:p w14:paraId="7326850B" w14:textId="77777777" w:rsidR="00602A8C" w:rsidRPr="00D33617" w:rsidRDefault="00096433" w:rsidP="0055176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Tinctura Leonuri 4.0 ml</w:t>
      </w:r>
    </w:p>
    <w:p w14:paraId="27CAE717" w14:textId="77777777" w:rsidR="00602A8C" w:rsidRPr="00D33617" w:rsidRDefault="00602A8C" w:rsidP="0055176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Aqua mentes 200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мл</w:t>
      </w:r>
    </w:p>
    <w:p w14:paraId="2E102D01" w14:textId="77777777" w:rsidR="00602A8C" w:rsidRDefault="00602A8C" w:rsidP="0055176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Misce. Da. Signa.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По 1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дес. л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ожке 3 раза в день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9B5C6D" w14:textId="77777777" w:rsidR="00F0615F" w:rsidRPr="00916235" w:rsidRDefault="00F0615F" w:rsidP="0055176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16235">
        <w:rPr>
          <w:color w:val="000000"/>
          <w:sz w:val="28"/>
          <w:szCs w:val="28"/>
          <w:lang w:val="ru-RU"/>
        </w:rPr>
        <w:t>Анализ документации. Имеющийся рецепт, сигнатура, паспорт письменного контроля и номер лекарственной формы соответствуют. Ингредиенты совместимы, расчеты сделаны, верно.</w:t>
      </w:r>
    </w:p>
    <w:p w14:paraId="0C358C01" w14:textId="77777777" w:rsidR="00F0615F" w:rsidRPr="00916235" w:rsidRDefault="00F0615F" w:rsidP="0055176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16235">
        <w:rPr>
          <w:color w:val="000000"/>
          <w:sz w:val="28"/>
          <w:szCs w:val="28"/>
          <w:lang w:val="ru-RU"/>
        </w:rPr>
        <w:t>– Правильность упаковки и оформления.</w:t>
      </w:r>
    </w:p>
    <w:p w14:paraId="7D48C3FF" w14:textId="77777777" w:rsidR="00F0615F" w:rsidRPr="00916235" w:rsidRDefault="00F0615F" w:rsidP="0055176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16235">
        <w:rPr>
          <w:color w:val="000000"/>
          <w:sz w:val="28"/>
          <w:szCs w:val="28"/>
          <w:lang w:val="ru-RU"/>
        </w:rPr>
        <w:t xml:space="preserve">Объем флакона оранжевого стекла соответствует объему лекарственной формы. Оформление соответствует МУ «Единые правила оформления лекарств» от 24.07.97. – МЗ РФ. и </w:t>
      </w:r>
      <w:r w:rsidR="00916235">
        <w:rPr>
          <w:color w:val="000000"/>
          <w:sz w:val="28"/>
          <w:szCs w:val="28"/>
          <w:lang w:val="ru-RU"/>
        </w:rPr>
        <w:t>№</w:t>
      </w:r>
      <w:r w:rsidR="00551767" w:rsidRPr="00916235">
        <w:rPr>
          <w:color w:val="000000"/>
          <w:sz w:val="28"/>
          <w:szCs w:val="28"/>
          <w:lang w:val="ru-RU"/>
        </w:rPr>
        <w:t>3</w:t>
      </w:r>
      <w:r w:rsidRPr="00916235">
        <w:rPr>
          <w:color w:val="000000"/>
          <w:sz w:val="28"/>
          <w:szCs w:val="28"/>
          <w:lang w:val="ru-RU"/>
        </w:rPr>
        <w:t>08 от 23.08.99</w:t>
      </w:r>
      <w:r w:rsidR="00551767" w:rsidRPr="00916235">
        <w:rPr>
          <w:color w:val="000000"/>
          <w:sz w:val="28"/>
          <w:szCs w:val="28"/>
          <w:lang w:val="ru-RU"/>
        </w:rPr>
        <w:t> г</w:t>
      </w:r>
      <w:r w:rsidRPr="00916235">
        <w:rPr>
          <w:color w:val="000000"/>
          <w:sz w:val="28"/>
          <w:szCs w:val="28"/>
          <w:lang w:val="ru-RU"/>
        </w:rPr>
        <w:t>.</w:t>
      </w:r>
    </w:p>
    <w:p w14:paraId="6B941255" w14:textId="77777777" w:rsidR="00F0615F" w:rsidRPr="00916235" w:rsidRDefault="00F0615F" w:rsidP="0055176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16235">
        <w:rPr>
          <w:color w:val="000000"/>
          <w:sz w:val="28"/>
          <w:szCs w:val="28"/>
          <w:lang w:val="ru-RU"/>
        </w:rPr>
        <w:t>– Цвет, запах. Раствор бесцветный, запах специфический – мяты и спирта.</w:t>
      </w:r>
    </w:p>
    <w:p w14:paraId="2A903B18" w14:textId="77777777" w:rsidR="00F0615F" w:rsidRPr="00916235" w:rsidRDefault="00F0615F" w:rsidP="00551767">
      <w:pPr>
        <w:pStyle w:val="Iauiue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916235">
        <w:rPr>
          <w:color w:val="000000"/>
          <w:sz w:val="28"/>
          <w:szCs w:val="28"/>
          <w:lang w:val="ru-RU"/>
        </w:rPr>
        <w:t xml:space="preserve">– Механические включения </w:t>
      </w:r>
      <w:r w:rsidR="00916235" w:rsidRPr="00916235">
        <w:rPr>
          <w:color w:val="000000"/>
          <w:sz w:val="28"/>
          <w:szCs w:val="28"/>
          <w:lang w:val="ru-RU"/>
        </w:rPr>
        <w:t>отсутствуют</w:t>
      </w:r>
      <w:r w:rsidRPr="00916235">
        <w:rPr>
          <w:color w:val="000000"/>
          <w:sz w:val="28"/>
          <w:szCs w:val="28"/>
          <w:lang w:val="ru-RU"/>
        </w:rPr>
        <w:t>.</w:t>
      </w:r>
    </w:p>
    <w:p w14:paraId="7A37D711" w14:textId="77777777" w:rsidR="00C16D87" w:rsidRPr="00916235" w:rsidRDefault="00F0615F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Объем 200 + 4 мл, что соответствует нормам допустимых отклонений (+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) по приказу МЗ РФ 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05 от 16.10.97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 г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428EBA" w14:textId="77777777" w:rsidR="00F0615F" w:rsidRPr="00916235" w:rsidRDefault="00F0615F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6A509B" w14:textId="77777777" w:rsidR="00746119" w:rsidRPr="00916235" w:rsidRDefault="00470854" w:rsidP="00551767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en-US"/>
        </w:rPr>
      </w:pPr>
      <w:bookmarkStart w:id="5" w:name="_Toc283410275"/>
      <w:bookmarkStart w:id="6" w:name="_Toc283410326"/>
      <w:r w:rsidRPr="00916235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4.</w:t>
      </w:r>
      <w:r w:rsidR="00746119" w:rsidRPr="00916235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 w:rsidRPr="00916235">
        <w:rPr>
          <w:rFonts w:ascii="Times New Roman" w:eastAsia="Times New Roman" w:hAnsi="Times New Roman"/>
          <w:color w:val="000000"/>
          <w:sz w:val="28"/>
          <w:szCs w:val="28"/>
          <w:lang w:eastAsia="en-US"/>
        </w:rPr>
        <w:t>Дать критическую оценку приготовления лекарственной формы</w:t>
      </w:r>
      <w:bookmarkEnd w:id="5"/>
      <w:bookmarkEnd w:id="6"/>
    </w:p>
    <w:p w14:paraId="30A33EC0" w14:textId="77777777" w:rsidR="00916235" w:rsidRDefault="00916235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01AB0992" w14:textId="77777777" w:rsidR="00470854" w:rsidRPr="00916235" w:rsidRDefault="00470854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Возьми: Серы осажденной 5,0</w:t>
      </w:r>
    </w:p>
    <w:p w14:paraId="199AD3E6" w14:textId="77777777" w:rsidR="00470854" w:rsidRPr="00916235" w:rsidRDefault="00470854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Глицерина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15,0</w:t>
      </w:r>
    </w:p>
    <w:p w14:paraId="63BFD853" w14:textId="77777777" w:rsidR="00470854" w:rsidRPr="00916235" w:rsidRDefault="00470854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Воды свинцовой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170</w:t>
      </w:r>
      <w:r w:rsidR="00E64C30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мл</w:t>
      </w:r>
    </w:p>
    <w:p w14:paraId="51DADAB8" w14:textId="77777777" w:rsidR="00470854" w:rsidRPr="00916235" w:rsidRDefault="00470854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Смешай. </w:t>
      </w:r>
      <w:r w:rsidR="00746119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Дай. Обозначь. Протирать кожу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головы.</w:t>
      </w:r>
    </w:p>
    <w:p w14:paraId="54059444" w14:textId="77777777" w:rsidR="00F71456" w:rsidRPr="00916235" w:rsidRDefault="00F71456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данном случае получают суспензию</w:t>
      </w:r>
    </w:p>
    <w:p w14:paraId="7515E338" w14:textId="77777777" w:rsidR="00F71456" w:rsidRPr="00916235" w:rsidRDefault="00F71456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Суспензия (suspensіum) 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редкая врачебная форма, которая представляет собою дисперсную систему, в которой твердое вещество взвешенная в жидкости. Суспензии состоят из дисперсионной среды (воды, растительных масел, глицерина </w:t>
      </w:r>
      <w:r w:rsid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т.п.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) и дисперсной фазы (частиц твердых врачебных веществ, практически нерастворимых в данной жидкости). От коллоидных растворов суспензии отличаются большими размерами взвешенных частиц (более 0,1 мкм). Поперечник частиц дисперсной фазы в суспензии находится в границах 0,1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–1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00 мкм. В зависимости от величины частиц различают тонкие (0,1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–1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мкм) и грубые (более 1 мкм) суспензии. Суспензии образуются в случае, если вещество не растворяется в данной среде (например, магния окис, цинка окис нерастворимые в воде), вводится в количества, которое превышает границу его растворимости (например, гидрокортизон в концентрации выше 0,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%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) или при взаимодействии веществ, растворимых порознь, но образующие нерастворимые соединения (например, при растворении бензилпенициллина раствором новокаина образуется нерастворимая новокаиновая соль бензилпенициллина). Кроме того, суспензии могут возникать и при замене растворителя, то есть редкой среды (например, при разведении спиртовых растворов водой или наоборот). Назначают суспензии для внутреннего и внешнего употребления; реже 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внутримышечно или в пустоте тела, то есть в брюшную или грудную пустоты.</w:t>
      </w:r>
    </w:p>
    <w:p w14:paraId="63BAD879" w14:textId="77777777" w:rsidR="00F71456" w:rsidRPr="00916235" w:rsidRDefault="00F71456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 фармацевтической практике в форме суспензий чаще всего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назначают вещества для внутреннего употребления 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микстуры-суспензии. Взвешенные частицы часто являются компонентами примочек, микстур, составов для спринцеваний, полосканий, ка</w:t>
      </w:r>
      <w:r w:rsidR="00A26633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пли, линиментов </w:t>
      </w:r>
      <w:r w:rsid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 т.п.</w:t>
      </w:r>
      <w:r w:rsidR="00A26633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Пастообразные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суспензии с вязкой дисперсионной средой (например, с вазелином) широко применяются как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мази. Суспензия, введенная больному в виде инъекций, увеличивает период терапевтического действия врачебного вещества. С точки зрения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эффективности действия суспензии занимают промежуточное положение между растворами и тонкими порошками.</w:t>
      </w:r>
    </w:p>
    <w:p w14:paraId="120F80FD" w14:textId="77777777" w:rsidR="00B05578" w:rsidRPr="00916235" w:rsidRDefault="00F71456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Суспензии готовят двумя способами: дисперсионным, при котором делают измельчения относительно больших частиц нерастворимых веществ, и конденсационным. Это укрупнения исходных частиц (ионов, молекул) раскрытого вещества к нерастворимым частицам.</w:t>
      </w:r>
    </w:p>
    <w:p w14:paraId="77D41404" w14:textId="77777777" w:rsidR="00DF5597" w:rsidRPr="00D33617" w:rsidRDefault="00DF5597" w:rsidP="0055176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Rp.: </w:t>
      </w:r>
      <w:r w:rsidRPr="00D336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Sulfur praecipitatum </w:t>
      </w: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5,0</w:t>
      </w:r>
    </w:p>
    <w:p w14:paraId="1E10E0CE" w14:textId="77777777" w:rsidR="00DF5597" w:rsidRPr="00D33617" w:rsidRDefault="00DF5597" w:rsidP="0055176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Hlytseryn 15,0</w:t>
      </w:r>
    </w:p>
    <w:p w14:paraId="088D025A" w14:textId="77777777" w:rsidR="00DF5597" w:rsidRPr="00D33617" w:rsidRDefault="00DF5597" w:rsidP="0055176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Aqua svyntsovaya 170.0 ml</w:t>
      </w:r>
    </w:p>
    <w:p w14:paraId="249FDD10" w14:textId="77777777" w:rsidR="00DF5597" w:rsidRPr="00916235" w:rsidRDefault="00DF5597" w:rsidP="0055176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Misce. Da. Signa.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Протирать кожу</w:t>
      </w:r>
      <w:r w:rsidR="00551767"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1623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головы</w:t>
      </w:r>
    </w:p>
    <w:p w14:paraId="23F0624A" w14:textId="77777777" w:rsidR="00B05578" w:rsidRPr="00916235" w:rsidRDefault="00B05578" w:rsidP="00551767">
      <w:pPr>
        <w:widowControl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57F7828E" w14:textId="77777777" w:rsidR="00470854" w:rsidRPr="00916235" w:rsidRDefault="00916235" w:rsidP="00551767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_Toc283410276"/>
      <w:bookmarkStart w:id="8" w:name="_Toc283410327"/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70854" w:rsidRPr="00916235">
        <w:rPr>
          <w:rFonts w:ascii="Times New Roman" w:hAnsi="Times New Roman"/>
          <w:color w:val="000000"/>
          <w:sz w:val="28"/>
          <w:szCs w:val="28"/>
        </w:rPr>
        <w:t xml:space="preserve">5. Составить регламент производства </w:t>
      </w:r>
      <w:smartTag w:uri="urn:schemas-microsoft-com:office:smarttags" w:element="metricconverter">
        <w:smartTagPr>
          <w:attr w:name="ProductID" w:val="200 кг"/>
        </w:smartTagPr>
        <w:r w:rsidR="00470854" w:rsidRPr="00916235">
          <w:rPr>
            <w:rFonts w:ascii="Times New Roman" w:hAnsi="Times New Roman"/>
            <w:color w:val="000000"/>
            <w:sz w:val="28"/>
            <w:szCs w:val="28"/>
          </w:rPr>
          <w:t>200 кг</w:t>
        </w:r>
      </w:smartTag>
      <w:r w:rsidR="00470854" w:rsidRPr="00916235">
        <w:rPr>
          <w:rFonts w:ascii="Times New Roman" w:hAnsi="Times New Roman"/>
          <w:color w:val="000000"/>
          <w:sz w:val="28"/>
          <w:szCs w:val="28"/>
        </w:rPr>
        <w:t xml:space="preserve"> раствора аммония ацетата основного электрохимическим способом! Составьте ТЭБ получения раствора, если получено </w:t>
      </w:r>
      <w:smartTag w:uri="urn:schemas-microsoft-com:office:smarttags" w:element="metricconverter">
        <w:smartTagPr>
          <w:attr w:name="ProductID" w:val="196 кг"/>
        </w:smartTagPr>
        <w:r w:rsidR="00470854" w:rsidRPr="00916235">
          <w:rPr>
            <w:rFonts w:ascii="Times New Roman" w:hAnsi="Times New Roman"/>
            <w:color w:val="000000"/>
            <w:sz w:val="28"/>
            <w:szCs w:val="28"/>
          </w:rPr>
          <w:t>196 кг</w:t>
        </w:r>
      </w:smartTag>
      <w:r w:rsidR="00470854" w:rsidRPr="00916235">
        <w:rPr>
          <w:rFonts w:ascii="Times New Roman" w:hAnsi="Times New Roman"/>
          <w:color w:val="000000"/>
          <w:sz w:val="28"/>
          <w:szCs w:val="28"/>
        </w:rPr>
        <w:t xml:space="preserve"> готового продукта, найдите выход</w:t>
      </w:r>
      <w:r w:rsidR="00965F4D" w:rsidRPr="00916235">
        <w:rPr>
          <w:rFonts w:ascii="Times New Roman" w:hAnsi="Times New Roman"/>
          <w:color w:val="000000"/>
          <w:sz w:val="28"/>
          <w:szCs w:val="28"/>
        </w:rPr>
        <w:t>, трату и расходный коэффициент</w:t>
      </w:r>
      <w:bookmarkEnd w:id="7"/>
      <w:bookmarkEnd w:id="8"/>
    </w:p>
    <w:p w14:paraId="4D585AFA" w14:textId="77777777" w:rsidR="00916235" w:rsidRDefault="00916235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A6F70B" w14:textId="77777777" w:rsidR="000D4B9A" w:rsidRPr="00916235" w:rsidRDefault="000D4B9A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Ацетат аммония (Ammonium acetate, E264)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белые или прозрачные кристаллы, которые могут быть получены при реакции уксусной кислоты с аммонием. Он легко доступен, относительно дёшев и широко применяется.</w:t>
      </w:r>
    </w:p>
    <w:p w14:paraId="0D60531E" w14:textId="77777777" w:rsidR="000D4B9A" w:rsidRPr="00916235" w:rsidRDefault="000D4B9A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Химическая формула NH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614B83" w14:textId="77777777" w:rsidR="000D4B9A" w:rsidRPr="00916235" w:rsidRDefault="000D4B9A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В пищевой промышленности используется как консервант.</w:t>
      </w:r>
    </w:p>
    <w:p w14:paraId="069AC17A" w14:textId="77777777" w:rsidR="00E156C5" w:rsidRDefault="00E156C5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Бесцветная кристаллическая масса, состоящая из чрезвычайно гигроскопичных кристалликов в форме игл. Пл. </w:t>
      </w:r>
      <w:smartTag w:uri="urn:schemas-microsoft-com:office:smarttags" w:element="metricconverter">
        <w:smartTagPr>
          <w:attr w:name="ProductID" w:val="1,073 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1,</w:t>
        </w:r>
        <w:r w:rsidR="00551767" w:rsidRPr="00916235">
          <w:rPr>
            <w:rFonts w:ascii="Times New Roman" w:hAnsi="Times New Roman" w:cs="Times New Roman"/>
            <w:color w:val="000000"/>
            <w:sz w:val="28"/>
            <w:szCs w:val="28"/>
          </w:rPr>
          <w:t>073 г</w:t>
        </w:r>
      </w:smartTag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./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см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. Т. пл. 144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 °С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, при более высокой температуре реактив разлагается с образованием ацетамида:</w:t>
      </w:r>
    </w:p>
    <w:p w14:paraId="79FD1379" w14:textId="77777777" w:rsidR="00916235" w:rsidRPr="00916235" w:rsidRDefault="00916235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E104F6" w14:textId="77777777" w:rsidR="00E156C5" w:rsidRPr="00916235" w:rsidRDefault="00E156C5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NH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CH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COO = CH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CONH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+ H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O</w:t>
      </w:r>
    </w:p>
    <w:p w14:paraId="5F8842E2" w14:textId="77777777" w:rsidR="00916235" w:rsidRDefault="00916235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7AB923" w14:textId="77777777" w:rsidR="00E156C5" w:rsidRPr="00916235" w:rsidRDefault="00E156C5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В воде растворяется чрезвычайно легко (58,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при 4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 °С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), растворим в этиловом спирте.</w:t>
      </w:r>
    </w:p>
    <w:p w14:paraId="441D2FCF" w14:textId="77777777" w:rsidR="001F46ED" w:rsidRPr="00916235" w:rsidRDefault="001F46ED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К 8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-ной CH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COOH при охлаждении водой и энергичном перемешивании добавляют 1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-ный раствор NH</w:t>
      </w:r>
      <w:r w:rsidRPr="00916235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OH до тех пор, пока жидкость станет сильно пахнуть аммиаком. Раствор фильтруют, если надо, и выпаривают на водяной бане до появления пленки кристаллов. Выпавшие кристаллы отсасывают на воронке Бюхнера и сразу же помещают в плотно закрывающуюся банку.</w:t>
      </w:r>
    </w:p>
    <w:p w14:paraId="2EBFE59A" w14:textId="77777777" w:rsidR="00965F4D" w:rsidRPr="00916235" w:rsidRDefault="000D4B9A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Растворенный в </w:t>
      </w:r>
      <w:r w:rsidR="00B759E1" w:rsidRPr="00916235">
        <w:rPr>
          <w:rFonts w:ascii="Times New Roman" w:hAnsi="Times New Roman" w:cs="Times New Roman"/>
          <w:color w:val="000000"/>
          <w:sz w:val="28"/>
          <w:szCs w:val="28"/>
        </w:rPr>
        <w:t>дистиллированной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воде используется как коагулянт, осаждающий белки из раствора.</w:t>
      </w:r>
    </w:p>
    <w:p w14:paraId="12D810C7" w14:textId="77777777" w:rsidR="00E64C30" w:rsidRPr="00916235" w:rsidRDefault="00B759E1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ω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= 196/200 * 10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= 9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14:paraId="06084EE1" w14:textId="77777777" w:rsidR="00B759E1" w:rsidRPr="00916235" w:rsidRDefault="00B759E1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потери составляют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smartTag w:uri="urn:schemas-microsoft-com:office:smarttags" w:element="metricconverter">
        <w:smartTagPr>
          <w:attr w:name="ProductID" w:val="2 кг"/>
        </w:smartTagPr>
        <w:r w:rsidRPr="00916235">
          <w:rPr>
            <w:rFonts w:ascii="Times New Roman" w:hAnsi="Times New Roman" w:cs="Times New Roman"/>
            <w:color w:val="000000"/>
            <w:sz w:val="28"/>
            <w:szCs w:val="28"/>
          </w:rPr>
          <w:t>2 кг</w:t>
        </w:r>
      </w:smartTag>
      <w:r w:rsidRPr="00916235">
        <w:rPr>
          <w:rFonts w:ascii="Times New Roman" w:hAnsi="Times New Roman" w:cs="Times New Roman"/>
          <w:color w:val="000000"/>
          <w:sz w:val="28"/>
          <w:szCs w:val="28"/>
        </w:rPr>
        <w:t>, расходный коэффициент составляет</w:t>
      </w:r>
    </w:p>
    <w:p w14:paraId="07C6C424" w14:textId="77777777" w:rsidR="00B759E1" w:rsidRPr="00916235" w:rsidRDefault="00B759E1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2/200 * 10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14:paraId="6F5F479B" w14:textId="77777777" w:rsidR="00470854" w:rsidRPr="00916235" w:rsidRDefault="00916235" w:rsidP="00551767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Toc283410277"/>
      <w:bookmarkStart w:id="10" w:name="_Toc283410328"/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70854" w:rsidRPr="00916235">
        <w:rPr>
          <w:rFonts w:ascii="Times New Roman" w:hAnsi="Times New Roman"/>
          <w:color w:val="000000"/>
          <w:sz w:val="28"/>
          <w:szCs w:val="28"/>
        </w:rPr>
        <w:t>6. Приготовить 1000 мл 8,</w:t>
      </w:r>
      <w:r w:rsidR="00551767" w:rsidRPr="0091623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470854" w:rsidRPr="00916235">
        <w:rPr>
          <w:rFonts w:ascii="Times New Roman" w:hAnsi="Times New Roman"/>
          <w:color w:val="000000"/>
          <w:sz w:val="28"/>
          <w:szCs w:val="28"/>
        </w:rPr>
        <w:t xml:space="preserve"> раствора соляной кислоты из 25,5</w:t>
      </w:r>
      <w:r w:rsidR="00551767" w:rsidRPr="0091623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470854" w:rsidRPr="0091623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51767" w:rsidRPr="00916235">
        <w:rPr>
          <w:rFonts w:ascii="Times New Roman" w:hAnsi="Times New Roman"/>
          <w:color w:val="000000"/>
          <w:sz w:val="28"/>
          <w:szCs w:val="28"/>
        </w:rPr>
        <w:t xml:space="preserve"> 5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70D02" w:rsidRPr="00916235">
        <w:rPr>
          <w:rFonts w:ascii="Times New Roman" w:hAnsi="Times New Roman"/>
          <w:color w:val="000000"/>
          <w:sz w:val="28"/>
          <w:szCs w:val="28"/>
        </w:rPr>
        <w:t xml:space="preserve"> растворов</w:t>
      </w:r>
      <w:bookmarkEnd w:id="9"/>
      <w:bookmarkEnd w:id="10"/>
    </w:p>
    <w:p w14:paraId="354AFDCB" w14:textId="77777777" w:rsidR="00D70D02" w:rsidRPr="00916235" w:rsidRDefault="00D70D02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73196" w14:textId="77777777" w:rsidR="00B05578" w:rsidRPr="00916235" w:rsidRDefault="000A7C27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Определим количество кислоты которое содержится в растворе с концентрацией 8,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14:paraId="5E35FCFD" w14:textId="77777777" w:rsidR="00551767" w:rsidRPr="00916235" w:rsidRDefault="000A7C27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m(HCl) = 1000 * 8.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/ 10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3 г"/>
        </w:smartTagPr>
        <w:r w:rsidR="00551767" w:rsidRPr="00916235">
          <w:rPr>
            <w:rFonts w:ascii="Times New Roman" w:hAnsi="Times New Roman" w:cs="Times New Roman"/>
            <w:color w:val="000000"/>
            <w:sz w:val="28"/>
            <w:szCs w:val="28"/>
          </w:rPr>
          <w:t>83 г</w:t>
        </w:r>
      </w:smartTag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376A46" w14:textId="77777777" w:rsidR="00B05578" w:rsidRPr="00916235" w:rsidRDefault="00D70D02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Определим сколько </w:t>
      </w:r>
      <w:r w:rsidR="003F1068" w:rsidRPr="0091623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еобходимо каждого из растворов определенной концентрации:</w:t>
      </w:r>
    </w:p>
    <w:p w14:paraId="60F4DCA4" w14:textId="77777777" w:rsidR="00551767" w:rsidRPr="00916235" w:rsidRDefault="006537EB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1 (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HCl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) р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-ра = 83 *10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/ 25,5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25 г"/>
        </w:smartTagPr>
        <w:r w:rsidR="00551767" w:rsidRPr="00916235">
          <w:rPr>
            <w:rFonts w:ascii="Times New Roman" w:hAnsi="Times New Roman" w:cs="Times New Roman"/>
            <w:color w:val="000000"/>
            <w:sz w:val="28"/>
            <w:szCs w:val="28"/>
          </w:rPr>
          <w:t>325 г</w:t>
        </w:r>
      </w:smartTag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C157EC" w14:textId="77777777" w:rsidR="00551767" w:rsidRPr="00916235" w:rsidRDefault="006537EB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1 (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HCl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) р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-ра = 83 *10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60 г"/>
        </w:smartTagPr>
        <w:r w:rsidR="00551767" w:rsidRPr="00916235">
          <w:rPr>
            <w:rFonts w:ascii="Times New Roman" w:hAnsi="Times New Roman" w:cs="Times New Roman"/>
            <w:color w:val="000000"/>
            <w:sz w:val="28"/>
            <w:szCs w:val="28"/>
          </w:rPr>
          <w:t>1660 г</w:t>
        </w:r>
      </w:smartTag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56B222" w14:textId="77777777" w:rsidR="006537EB" w:rsidRPr="00916235" w:rsidRDefault="006537EB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FC7B12" w14:textId="77777777" w:rsidR="00470854" w:rsidRPr="00916235" w:rsidRDefault="008F7AF0" w:rsidP="00551767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1" w:name="_Toc283410278"/>
      <w:bookmarkStart w:id="12" w:name="_Toc283410329"/>
      <w:r w:rsidRPr="00916235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470854" w:rsidRPr="00916235">
        <w:rPr>
          <w:rFonts w:ascii="Times New Roman" w:hAnsi="Times New Roman"/>
          <w:color w:val="000000"/>
          <w:sz w:val="28"/>
          <w:szCs w:val="28"/>
        </w:rPr>
        <w:t>Дать характеристику, составить паспорт письменного контроля, указать оптимальный вариант технологии с оценко</w:t>
      </w:r>
      <w:r w:rsidR="00CE5A39" w:rsidRPr="00916235">
        <w:rPr>
          <w:rFonts w:ascii="Times New Roman" w:hAnsi="Times New Roman"/>
          <w:color w:val="000000"/>
          <w:sz w:val="28"/>
          <w:szCs w:val="28"/>
        </w:rPr>
        <w:t>й качества лекарственной формы</w:t>
      </w:r>
      <w:bookmarkEnd w:id="11"/>
      <w:bookmarkEnd w:id="12"/>
    </w:p>
    <w:p w14:paraId="390A4EA3" w14:textId="77777777" w:rsidR="00D33617" w:rsidRDefault="00D33617" w:rsidP="00551767">
      <w:pPr>
        <w:widowControl/>
        <w:shd w:val="clear" w:color="auto" w:fill="FFFFFF"/>
        <w:tabs>
          <w:tab w:val="left" w:pos="0"/>
          <w:tab w:val="left" w:pos="4099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7788AC" w14:textId="77777777" w:rsidR="00470854" w:rsidRPr="00916235" w:rsidRDefault="008F7AF0" w:rsidP="00551767">
      <w:pPr>
        <w:widowControl/>
        <w:shd w:val="clear" w:color="auto" w:fill="FFFFFF"/>
        <w:tabs>
          <w:tab w:val="left" w:pos="0"/>
          <w:tab w:val="left" w:pos="4099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Возьми: Экстракта белладонны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0854" w:rsidRPr="00916235">
        <w:rPr>
          <w:rFonts w:ascii="Times New Roman" w:hAnsi="Times New Roman" w:cs="Times New Roman"/>
          <w:color w:val="000000"/>
          <w:sz w:val="28"/>
          <w:szCs w:val="28"/>
        </w:rPr>
        <w:t>0,1</w:t>
      </w:r>
    </w:p>
    <w:p w14:paraId="13C316F0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4128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Калия бромида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ab/>
        <w:t>1,0</w:t>
      </w:r>
    </w:p>
    <w:p w14:paraId="3E53B09B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4013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Настойки пустырника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ab/>
        <w:t>10 мл</w:t>
      </w:r>
    </w:p>
    <w:p w14:paraId="2BAB05B9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3672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Воды укропной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100 мл</w:t>
      </w:r>
    </w:p>
    <w:p w14:paraId="5B0754C2" w14:textId="77777777" w:rsidR="00470854" w:rsidRPr="00916235" w:rsidRDefault="00470854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Смешай. Дай. Обозначь. По 1 дес. ложке 3 раза в день.</w:t>
      </w:r>
    </w:p>
    <w:p w14:paraId="434B8C6A" w14:textId="77777777" w:rsidR="000D4B9A" w:rsidRPr="00D33617" w:rsidRDefault="000D4B9A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Rp.: Atropa belladonna 0.1</w:t>
      </w:r>
    </w:p>
    <w:p w14:paraId="4456949A" w14:textId="77777777" w:rsidR="000D4B9A" w:rsidRPr="00D33617" w:rsidRDefault="000D4B9A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kalii bromidum 1.0</w:t>
      </w:r>
    </w:p>
    <w:p w14:paraId="488FA678" w14:textId="77777777" w:rsidR="000D4B9A" w:rsidRPr="00D33617" w:rsidRDefault="000D4B9A" w:rsidP="0055176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Hawthorn Tincture 10.0</w:t>
      </w:r>
    </w:p>
    <w:p w14:paraId="49F23138" w14:textId="77777777" w:rsidR="000D4B9A" w:rsidRPr="00D33617" w:rsidRDefault="000D4B9A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>Aqua Foeniculi 100 ml</w:t>
      </w:r>
    </w:p>
    <w:p w14:paraId="6B571333" w14:textId="77777777" w:rsidR="000D4B9A" w:rsidRPr="00916235" w:rsidRDefault="000D4B9A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61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Misce.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Da. Signa. По 1 дес. ложке 3 раза в день.</w:t>
      </w:r>
    </w:p>
    <w:p w14:paraId="06886DE9" w14:textId="77777777" w:rsidR="00810F11" w:rsidRPr="00916235" w:rsidRDefault="00810F11" w:rsidP="00551767">
      <w:pPr>
        <w:widowControl/>
        <w:shd w:val="clear" w:color="auto" w:fill="FFFFFF"/>
        <w:tabs>
          <w:tab w:val="left" w:pos="0"/>
          <w:tab w:val="left" w:pos="9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ED4A27" w14:textId="77777777" w:rsidR="00A163F7" w:rsidRPr="00916235" w:rsidRDefault="00CC6853" w:rsidP="00551767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bookmarkStart w:id="13" w:name="_Toc283410331"/>
      <w:r>
        <w:rPr>
          <w:rFonts w:ascii="Times New Roman" w:hAnsi="Times New Roman"/>
          <w:color w:val="000000"/>
          <w:sz w:val="28"/>
        </w:rPr>
        <w:br w:type="page"/>
      </w:r>
      <w:r w:rsidRPr="00916235">
        <w:rPr>
          <w:rFonts w:ascii="Times New Roman" w:hAnsi="Times New Roman"/>
          <w:color w:val="000000"/>
          <w:sz w:val="28"/>
        </w:rPr>
        <w:t>Литература</w:t>
      </w:r>
      <w:bookmarkEnd w:id="13"/>
    </w:p>
    <w:p w14:paraId="3C429116" w14:textId="77777777" w:rsidR="00A163F7" w:rsidRPr="00CC6853" w:rsidRDefault="00A163F7" w:rsidP="00551767">
      <w:pPr>
        <w:widowControl/>
        <w:shd w:val="clear" w:color="auto" w:fill="FFFFFF"/>
        <w:tabs>
          <w:tab w:val="left" w:pos="84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C4C771" w14:textId="77777777" w:rsidR="00A163F7" w:rsidRPr="00916235" w:rsidRDefault="00A163F7" w:rsidP="00CC6853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4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Фармацевтическая технология: Учебник. /Под ред.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И.И. Краснюка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М.; Академия, 2004.</w:t>
      </w:r>
    </w:p>
    <w:p w14:paraId="78241AB5" w14:textId="77777777" w:rsidR="00A163F7" w:rsidRPr="00916235" w:rsidRDefault="00A163F7" w:rsidP="00CC6853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4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Технология лекарственных форм: Учебник. В 2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томах.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/Сост.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Т.С. Кондратьева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М.: Медицина, 1991.</w:t>
      </w:r>
    </w:p>
    <w:p w14:paraId="1C2177BC" w14:textId="77777777" w:rsidR="00A163F7" w:rsidRPr="00916235" w:rsidRDefault="00A163F7" w:rsidP="00CC6853">
      <w:pPr>
        <w:widowControl/>
        <w:numPr>
          <w:ilvl w:val="0"/>
          <w:numId w:val="7"/>
        </w:numPr>
        <w:shd w:val="clear" w:color="auto" w:fill="FFFFFF"/>
        <w:tabs>
          <w:tab w:val="left" w:pos="567"/>
          <w:tab w:val="left" w:pos="846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Гомеопатические лекарственные формы аптечного производства /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И.И. Краснюк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Г.В. Михайлова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Ю.И. Зелинксон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М.: ГОУ ВУНМЦ МЗ РФ, 2001.</w:t>
      </w:r>
    </w:p>
    <w:p w14:paraId="4AFB2304" w14:textId="77777777" w:rsidR="00A163F7" w:rsidRPr="00916235" w:rsidRDefault="00A163F7" w:rsidP="00CC6853">
      <w:pPr>
        <w:widowControl/>
        <w:numPr>
          <w:ilvl w:val="0"/>
          <w:numId w:val="7"/>
        </w:numPr>
        <w:shd w:val="clear" w:color="auto" w:fill="FFFFFF"/>
        <w:tabs>
          <w:tab w:val="left" w:pos="360"/>
          <w:tab w:val="left" w:pos="567"/>
          <w:tab w:val="left" w:pos="8460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к практическим занятием по фарм. технологии: учебное пособие /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Э.Ф. Степанова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В.А. Головкин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А.М. Сампиев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В.В. Гладышев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И.А. Насырова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; Под ред.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Э.Ф. Степановой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. – Омск: изд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во ОмГМА, 2006 – 408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 с. Белова О.И.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Карчевская В.В.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Кулаков Н.А.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и др. Технология изготовления стерильных растворов в условиях аптек. М.: Медицин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а, 1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982. -140</w:t>
      </w:r>
      <w:r w:rsidR="00551767" w:rsidRPr="00916235">
        <w:rPr>
          <w:rFonts w:ascii="Times New Roman" w:hAnsi="Times New Roman" w:cs="Times New Roman"/>
          <w:color w:val="000000"/>
          <w:sz w:val="28"/>
          <w:szCs w:val="28"/>
        </w:rPr>
        <w:t> с.</w:t>
      </w:r>
    </w:p>
    <w:p w14:paraId="1F7B2161" w14:textId="77777777" w:rsidR="00A163F7" w:rsidRPr="00916235" w:rsidRDefault="00551767" w:rsidP="00CC6853">
      <w:pPr>
        <w:widowControl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Марченко Л.Г.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Русак А.В.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Смехова И.Е. Технология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мягких лекарственных форм. / Учебное пособие.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– 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СПб: СпецЛит, 2004.-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174 с.</w:t>
      </w:r>
    </w:p>
    <w:p w14:paraId="51BC404F" w14:textId="77777777" w:rsidR="00A163F7" w:rsidRPr="00916235" w:rsidRDefault="00551767" w:rsidP="00CC6853">
      <w:pPr>
        <w:widowControl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Машковский М.Д. Лекарственные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средства: в 2</w:t>
      </w:r>
      <w:r w:rsidR="0091623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томах. – 14</w:t>
      </w:r>
      <w:r w:rsidR="0091623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изд., пераработанное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дополненное – М: ООО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 «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Новая волна», 2002. – 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1148 с.</w:t>
      </w:r>
    </w:p>
    <w:p w14:paraId="3DFBE7C6" w14:textId="77777777" w:rsidR="00A163F7" w:rsidRPr="00916235" w:rsidRDefault="00551767" w:rsidP="00CC6853">
      <w:pPr>
        <w:widowControl/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color w:val="000000"/>
          <w:sz w:val="28"/>
          <w:szCs w:val="28"/>
        </w:rPr>
        <w:t>Муравьев Н.А. Технология</w:t>
      </w:r>
      <w:r w:rsidR="00A163F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лекарств. изд. 3</w:t>
      </w:r>
      <w:r w:rsidR="0091623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163F7" w:rsidRPr="00916235">
        <w:rPr>
          <w:rFonts w:ascii="Times New Roman" w:hAnsi="Times New Roman" w:cs="Times New Roman"/>
          <w:color w:val="000000"/>
          <w:sz w:val="28"/>
          <w:szCs w:val="28"/>
        </w:rPr>
        <w:t>, перераб. и доп. – Т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. 1,2</w:t>
      </w:r>
      <w:r w:rsidR="00A163F7"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163F7" w:rsidRPr="00916235">
        <w:rPr>
          <w:rFonts w:ascii="Times New Roman" w:hAnsi="Times New Roman" w:cs="Times New Roman"/>
          <w:color w:val="000000"/>
          <w:sz w:val="28"/>
          <w:szCs w:val="28"/>
        </w:rPr>
        <w:t>М.: Медицин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а, 1</w:t>
      </w:r>
      <w:r w:rsidR="00A163F7" w:rsidRPr="00916235">
        <w:rPr>
          <w:rFonts w:ascii="Times New Roman" w:hAnsi="Times New Roman" w:cs="Times New Roman"/>
          <w:color w:val="000000"/>
          <w:sz w:val="28"/>
          <w:szCs w:val="28"/>
        </w:rPr>
        <w:t>980.-</w:t>
      </w:r>
      <w:r w:rsidRPr="00916235">
        <w:rPr>
          <w:rFonts w:ascii="Times New Roman" w:hAnsi="Times New Roman" w:cs="Times New Roman"/>
          <w:color w:val="000000"/>
          <w:sz w:val="28"/>
          <w:szCs w:val="28"/>
        </w:rPr>
        <w:t>704 с.</w:t>
      </w:r>
    </w:p>
    <w:p w14:paraId="03F75EF1" w14:textId="77777777" w:rsidR="00A163F7" w:rsidRDefault="00551767" w:rsidP="00CC6853">
      <w:pPr>
        <w:widowControl/>
        <w:numPr>
          <w:ilvl w:val="0"/>
          <w:numId w:val="7"/>
        </w:numPr>
        <w:tabs>
          <w:tab w:val="left" w:pos="567"/>
          <w:tab w:val="left" w:pos="2355"/>
        </w:tabs>
        <w:spacing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Тихонов А.И.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Ярных Т.Г. Технология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лекарств: Учебник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для фарм. вузов и факультетов: Пер. с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украинского / под редакцией академика АН ТК 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Украины А.И. Тихонова</w:t>
      </w:r>
      <w:r w:rsidR="00A163F7"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. – Х.: Изд-во НФАУ; Золотые страницы, 2002.-</w:t>
      </w:r>
      <w:r w:rsidRPr="00916235">
        <w:rPr>
          <w:rFonts w:ascii="Times New Roman" w:hAnsi="Times New Roman" w:cs="Times New Roman"/>
          <w:bCs/>
          <w:color w:val="000000"/>
          <w:sz w:val="28"/>
          <w:szCs w:val="28"/>
        </w:rPr>
        <w:t>704 с.</w:t>
      </w:r>
    </w:p>
    <w:sectPr w:rsidR="00A163F7" w:rsidSect="00551767"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C792" w14:textId="77777777" w:rsidR="00467374" w:rsidRDefault="00467374" w:rsidP="00E050A9">
      <w:r>
        <w:separator/>
      </w:r>
    </w:p>
  </w:endnote>
  <w:endnote w:type="continuationSeparator" w:id="0">
    <w:p w14:paraId="22F99EA4" w14:textId="77777777" w:rsidR="00467374" w:rsidRDefault="00467374" w:rsidP="00E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EE2F" w14:textId="77777777" w:rsidR="00467374" w:rsidRDefault="00467374" w:rsidP="00E050A9">
      <w:r>
        <w:separator/>
      </w:r>
    </w:p>
  </w:footnote>
  <w:footnote w:type="continuationSeparator" w:id="0">
    <w:p w14:paraId="3A5B3BC7" w14:textId="77777777" w:rsidR="00467374" w:rsidRDefault="00467374" w:rsidP="00E0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63"/>
    <w:multiLevelType w:val="hybridMultilevel"/>
    <w:tmpl w:val="7ED4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34EDF"/>
    <w:multiLevelType w:val="multilevel"/>
    <w:tmpl w:val="386E3F2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8867FB8"/>
    <w:multiLevelType w:val="hybridMultilevel"/>
    <w:tmpl w:val="5AEC678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E34E31"/>
    <w:multiLevelType w:val="hybridMultilevel"/>
    <w:tmpl w:val="F51489B0"/>
    <w:lvl w:ilvl="0" w:tplc="2C38B77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43C62B1"/>
    <w:multiLevelType w:val="hybridMultilevel"/>
    <w:tmpl w:val="DD60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7271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2A0F1C"/>
    <w:multiLevelType w:val="hybridMultilevel"/>
    <w:tmpl w:val="E726647C"/>
    <w:lvl w:ilvl="0" w:tplc="861A14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78810BF"/>
    <w:multiLevelType w:val="singleLevel"/>
    <w:tmpl w:val="352AE804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  <w:lvlOverride w:ilvl="0">
      <w:startOverride w:val="3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54"/>
    <w:rsid w:val="00096433"/>
    <w:rsid w:val="000A7C27"/>
    <w:rsid w:val="000D4B9A"/>
    <w:rsid w:val="000F4C4F"/>
    <w:rsid w:val="0010745B"/>
    <w:rsid w:val="001B66F5"/>
    <w:rsid w:val="001F46ED"/>
    <w:rsid w:val="002D7699"/>
    <w:rsid w:val="003F1068"/>
    <w:rsid w:val="003F55E1"/>
    <w:rsid w:val="00452B67"/>
    <w:rsid w:val="00456F95"/>
    <w:rsid w:val="00467374"/>
    <w:rsid w:val="00470854"/>
    <w:rsid w:val="004838BE"/>
    <w:rsid w:val="00522CDF"/>
    <w:rsid w:val="00551767"/>
    <w:rsid w:val="00587B17"/>
    <w:rsid w:val="005E673C"/>
    <w:rsid w:val="00602A8C"/>
    <w:rsid w:val="00622B56"/>
    <w:rsid w:val="00642208"/>
    <w:rsid w:val="006537EB"/>
    <w:rsid w:val="006A7F00"/>
    <w:rsid w:val="00746119"/>
    <w:rsid w:val="00750FF4"/>
    <w:rsid w:val="00810F11"/>
    <w:rsid w:val="0082236F"/>
    <w:rsid w:val="008557D7"/>
    <w:rsid w:val="008D022B"/>
    <w:rsid w:val="008F7AF0"/>
    <w:rsid w:val="00916235"/>
    <w:rsid w:val="00965F4D"/>
    <w:rsid w:val="009D5BB5"/>
    <w:rsid w:val="00A163F7"/>
    <w:rsid w:val="00A26633"/>
    <w:rsid w:val="00A50F5E"/>
    <w:rsid w:val="00A963EE"/>
    <w:rsid w:val="00B05578"/>
    <w:rsid w:val="00B73C9C"/>
    <w:rsid w:val="00B759E1"/>
    <w:rsid w:val="00B94B7E"/>
    <w:rsid w:val="00C135BD"/>
    <w:rsid w:val="00C16D87"/>
    <w:rsid w:val="00CC6853"/>
    <w:rsid w:val="00CE5A39"/>
    <w:rsid w:val="00D33617"/>
    <w:rsid w:val="00D40C6E"/>
    <w:rsid w:val="00D70D02"/>
    <w:rsid w:val="00DE6DB0"/>
    <w:rsid w:val="00DF5597"/>
    <w:rsid w:val="00E02D9C"/>
    <w:rsid w:val="00E050A9"/>
    <w:rsid w:val="00E156C5"/>
    <w:rsid w:val="00E64C30"/>
    <w:rsid w:val="00E6532D"/>
    <w:rsid w:val="00ED0675"/>
    <w:rsid w:val="00F0615F"/>
    <w:rsid w:val="00F21FC7"/>
    <w:rsid w:val="00F658F0"/>
    <w:rsid w:val="00F71456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8D5564"/>
  <w15:chartTrackingRefBased/>
  <w15:docId w15:val="{664DFCB0-2A70-4161-B82E-2B2E6DA6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85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74611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70854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746119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Iauiue">
    <w:name w:val="Iau.iue"/>
    <w:basedOn w:val="a"/>
    <w:next w:val="a"/>
    <w:rsid w:val="00F0615F"/>
    <w:pPr>
      <w:widowControl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header"/>
    <w:basedOn w:val="a"/>
    <w:link w:val="a4"/>
    <w:rsid w:val="00E050A9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locked/>
    <w:rsid w:val="00E050A9"/>
    <w:rPr>
      <w:rFonts w:ascii="Arial" w:hAnsi="Arial" w:cs="Arial"/>
      <w:lang w:val="ru-RU" w:eastAsia="ru-RU"/>
    </w:rPr>
  </w:style>
  <w:style w:type="paragraph" w:styleId="a5">
    <w:name w:val="footer"/>
    <w:basedOn w:val="a"/>
    <w:link w:val="a6"/>
    <w:rsid w:val="00E050A9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locked/>
    <w:rsid w:val="00E050A9"/>
    <w:rPr>
      <w:rFonts w:ascii="Arial" w:hAnsi="Arial" w:cs="Arial"/>
      <w:lang w:val="ru-RU" w:eastAsia="ru-RU"/>
    </w:rPr>
  </w:style>
  <w:style w:type="paragraph" w:customStyle="1" w:styleId="TOCHeading">
    <w:name w:val="TOC Heading"/>
    <w:basedOn w:val="1"/>
    <w:next w:val="a"/>
    <w:semiHidden/>
    <w:rsid w:val="00E050A9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val="uk-UA" w:eastAsia="en-US"/>
    </w:rPr>
  </w:style>
  <w:style w:type="paragraph" w:styleId="11">
    <w:name w:val="toc 1"/>
    <w:basedOn w:val="a"/>
    <w:next w:val="a"/>
    <w:autoRedefine/>
    <w:rsid w:val="00E050A9"/>
  </w:style>
  <w:style w:type="character" w:styleId="a7">
    <w:name w:val="Hyperlink"/>
    <w:basedOn w:val="a0"/>
    <w:rsid w:val="00E050A9"/>
    <w:rPr>
      <w:rFonts w:cs="Times New Roman"/>
      <w:color w:val="0000FF"/>
      <w:u w:val="single"/>
    </w:rPr>
  </w:style>
  <w:style w:type="table" w:styleId="12">
    <w:name w:val="Table Grid 1"/>
    <w:basedOn w:val="a1"/>
    <w:rsid w:val="00551767"/>
    <w:pPr>
      <w:widowControl w:val="0"/>
      <w:autoSpaceDE w:val="0"/>
      <w:autoSpaceDN w:val="0"/>
      <w:adjustRightInd w:val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Igor</cp:lastModifiedBy>
  <cp:revision>3</cp:revision>
  <dcterms:created xsi:type="dcterms:W3CDTF">2024-11-12T09:46:00Z</dcterms:created>
  <dcterms:modified xsi:type="dcterms:W3CDTF">2024-11-12T09:46:00Z</dcterms:modified>
</cp:coreProperties>
</file>