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756D" w:rsidRPr="000F2C9A" w:rsidRDefault="003A756D" w:rsidP="006D5B5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756D" w:rsidRPr="000F2C9A" w:rsidRDefault="003A756D" w:rsidP="006D5B5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756D" w:rsidRPr="000F2C9A" w:rsidRDefault="003A756D" w:rsidP="006D5B5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756D" w:rsidRPr="000F2C9A" w:rsidRDefault="003A756D" w:rsidP="006D5B5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756D" w:rsidRPr="000F2C9A" w:rsidRDefault="003A756D" w:rsidP="006D5B5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756D" w:rsidRPr="000F2C9A" w:rsidRDefault="003A756D" w:rsidP="006D5B5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756D" w:rsidRPr="000F2C9A" w:rsidRDefault="003A756D" w:rsidP="006D5B5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5B56" w:rsidRPr="000F2C9A" w:rsidRDefault="006D5B56" w:rsidP="006D5B5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5B56" w:rsidRPr="000F2C9A" w:rsidRDefault="006D5B56" w:rsidP="006D5B5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5B56" w:rsidRPr="000F2C9A" w:rsidRDefault="006D5B56" w:rsidP="006D5B5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5B56" w:rsidRPr="000F2C9A" w:rsidRDefault="006D5B56" w:rsidP="006D5B5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5B56" w:rsidRPr="000F2C9A" w:rsidRDefault="006D5B56" w:rsidP="006D5B5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5B56" w:rsidRPr="000F2C9A" w:rsidRDefault="006D5B56" w:rsidP="006D5B5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5B56" w:rsidRPr="000F2C9A" w:rsidRDefault="006D5B56" w:rsidP="006D5B5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756D" w:rsidRPr="000F2C9A" w:rsidRDefault="006D5B56" w:rsidP="006D5B5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2C9A">
        <w:rPr>
          <w:rFonts w:ascii="Times New Roman" w:hAnsi="Times New Roman"/>
          <w:b/>
          <w:sz w:val="28"/>
          <w:szCs w:val="28"/>
          <w:lang w:val="ru-RU"/>
        </w:rPr>
        <w:t>"</w:t>
      </w:r>
      <w:r w:rsidR="00DA19E9" w:rsidRPr="000F2C9A">
        <w:rPr>
          <w:rFonts w:ascii="Times New Roman" w:hAnsi="Times New Roman"/>
          <w:b/>
          <w:sz w:val="28"/>
          <w:szCs w:val="28"/>
          <w:lang w:val="ru-RU"/>
        </w:rPr>
        <w:t>Простатопротекторы.</w:t>
      </w:r>
      <w:r w:rsidRPr="000F2C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A19E9" w:rsidRPr="000F2C9A">
        <w:rPr>
          <w:rFonts w:ascii="Times New Roman" w:hAnsi="Times New Roman"/>
          <w:b/>
          <w:sz w:val="28"/>
          <w:szCs w:val="28"/>
          <w:lang w:val="ru-RU"/>
        </w:rPr>
        <w:t>Корректоры</w:t>
      </w:r>
      <w:r w:rsidRPr="000F2C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A19E9" w:rsidRPr="000F2C9A">
        <w:rPr>
          <w:rFonts w:ascii="Times New Roman" w:hAnsi="Times New Roman"/>
          <w:b/>
          <w:sz w:val="28"/>
          <w:szCs w:val="28"/>
          <w:lang w:val="ru-RU"/>
        </w:rPr>
        <w:t>эректильной</w:t>
      </w:r>
      <w:r w:rsidRPr="000F2C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A19E9" w:rsidRPr="000F2C9A">
        <w:rPr>
          <w:rFonts w:ascii="Times New Roman" w:hAnsi="Times New Roman"/>
          <w:b/>
          <w:sz w:val="28"/>
          <w:szCs w:val="28"/>
          <w:lang w:val="ru-RU"/>
        </w:rPr>
        <w:t>дисфункции</w:t>
      </w:r>
      <w:r w:rsidRPr="000F2C9A">
        <w:rPr>
          <w:rFonts w:ascii="Times New Roman" w:hAnsi="Times New Roman"/>
          <w:b/>
          <w:sz w:val="28"/>
          <w:szCs w:val="28"/>
          <w:lang w:val="ru-RU"/>
        </w:rPr>
        <w:t>"</w:t>
      </w:r>
    </w:p>
    <w:p w:rsidR="003A756D" w:rsidRPr="000F2C9A" w:rsidRDefault="003A756D" w:rsidP="006D5B5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756D" w:rsidRPr="000F2C9A" w:rsidRDefault="003A756D" w:rsidP="006D5B5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5B56" w:rsidRPr="000F2C9A" w:rsidRDefault="006D5B56">
      <w:pPr>
        <w:rPr>
          <w:rFonts w:ascii="Times New Roman" w:hAnsi="Times New Roman"/>
          <w:sz w:val="28"/>
          <w:szCs w:val="28"/>
          <w:lang w:val="ru-RU"/>
        </w:rPr>
      </w:pPr>
      <w:r w:rsidRPr="000F2C9A">
        <w:rPr>
          <w:rFonts w:ascii="Times New Roman" w:hAnsi="Times New Roman"/>
          <w:sz w:val="28"/>
          <w:szCs w:val="28"/>
          <w:lang w:val="ru-RU"/>
        </w:rPr>
        <w:br w:type="page"/>
      </w:r>
    </w:p>
    <w:p w:rsidR="009D1728" w:rsidRPr="000F2C9A" w:rsidRDefault="00924923" w:rsidP="006D5B5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  <w:lang w:val="ru-RU"/>
        </w:rPr>
      </w:pPr>
      <w:r w:rsidRPr="000F2C9A">
        <w:rPr>
          <w:rFonts w:ascii="Times New Roman" w:hAnsi="Times New Roman"/>
          <w:b/>
          <w:sz w:val="28"/>
          <w:szCs w:val="32"/>
          <w:lang w:val="ru-RU"/>
        </w:rPr>
        <w:t>Простатопротекторы</w:t>
      </w:r>
    </w:p>
    <w:p w:rsidR="0047613E" w:rsidRPr="000F2C9A" w:rsidRDefault="0047613E" w:rsidP="004761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</w:p>
    <w:p w:rsidR="00865613" w:rsidRPr="000F2C9A" w:rsidRDefault="00865613" w:rsidP="006D5B56">
      <w:pPr>
        <w:pStyle w:val="vr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начале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90-х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годов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XX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столетия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значительно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повысился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интерес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урологов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всего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мира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проблеме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лекарственной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терапии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доброкачественной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гиперплазии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предстательной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железы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(ДГПЖ).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Достижения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области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изучения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этиологии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патогенеза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ДГПЖ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привели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созданию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ряда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лекарств,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применение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которых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оказалось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настолько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эффективным,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что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можно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большой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уверенностью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предположить,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что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XXI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столетии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многие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больные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ДГПЖ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будут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успешно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лечиться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лекарственными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препаратами,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обеспечением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высокого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качества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жизни,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профилактика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ДГПЖ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станет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реальностью.</w:t>
      </w:r>
    </w:p>
    <w:p w:rsidR="00865613" w:rsidRPr="000F2C9A" w:rsidRDefault="00865613" w:rsidP="006D5B56">
      <w:pPr>
        <w:pStyle w:val="vr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Основу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современных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схем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фармакологической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коррекции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ДГПЖ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составляют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простатопротекторы.</w:t>
      </w:r>
    </w:p>
    <w:p w:rsidR="00865613" w:rsidRPr="000F2C9A" w:rsidRDefault="00865613" w:rsidP="006D5B56">
      <w:pPr>
        <w:pStyle w:val="vr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rStyle w:val="boldblack"/>
          <w:sz w:val="28"/>
          <w:szCs w:val="28"/>
          <w:lang w:val="ru-RU"/>
        </w:rPr>
        <w:t>Простатопротекторы</w:t>
      </w:r>
      <w:r w:rsidR="006D5B56" w:rsidRPr="000F2C9A">
        <w:rPr>
          <w:rStyle w:val="boldblack"/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—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это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лекарственные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препараты,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комплексно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воздействующие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предстательную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железу: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оказывающие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противовоспалительный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(прежде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всего,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антипролиферативный),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антиоксидантный,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антиишемический,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капилляропротекторный,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антимикробный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эффекты,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восстанавливающие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дисфункциональное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мочеиспускание,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нормализующие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иммунные,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гормональные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взаимоотношения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микроциркуляцию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тканях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простаты,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способствующие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восстановлению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(сохранению)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функций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органа.</w:t>
      </w:r>
    </w:p>
    <w:p w:rsidR="00865613" w:rsidRPr="000F2C9A" w:rsidRDefault="00865613" w:rsidP="006D5B56">
      <w:pPr>
        <w:pStyle w:val="boldblack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Классификация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простатопротекторов:</w:t>
      </w:r>
    </w:p>
    <w:p w:rsidR="00865613" w:rsidRPr="000F2C9A" w:rsidRDefault="00865613" w:rsidP="006D5B56">
      <w:pPr>
        <w:pStyle w:val="simple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rStyle w:val="boldblack"/>
          <w:sz w:val="28"/>
          <w:szCs w:val="28"/>
          <w:lang w:val="ru-RU"/>
        </w:rPr>
        <w:t>I.</w:t>
      </w:r>
      <w:r w:rsidR="006D5B56" w:rsidRPr="000F2C9A">
        <w:rPr>
          <w:rStyle w:val="boldblack"/>
          <w:sz w:val="28"/>
          <w:szCs w:val="28"/>
          <w:lang w:val="ru-RU"/>
        </w:rPr>
        <w:t xml:space="preserve"> </w:t>
      </w:r>
      <w:r w:rsidRPr="000F2C9A">
        <w:rPr>
          <w:rStyle w:val="boldblack"/>
          <w:sz w:val="28"/>
          <w:szCs w:val="28"/>
          <w:lang w:val="ru-RU"/>
        </w:rPr>
        <w:t>Препараты</w:t>
      </w:r>
      <w:r w:rsidR="006D5B56" w:rsidRPr="000F2C9A">
        <w:rPr>
          <w:rStyle w:val="boldblack"/>
          <w:sz w:val="28"/>
          <w:szCs w:val="28"/>
          <w:lang w:val="ru-RU"/>
        </w:rPr>
        <w:t xml:space="preserve"> </w:t>
      </w:r>
      <w:r w:rsidRPr="000F2C9A">
        <w:rPr>
          <w:rStyle w:val="boldblack"/>
          <w:sz w:val="28"/>
          <w:szCs w:val="28"/>
          <w:lang w:val="ru-RU"/>
        </w:rPr>
        <w:t>с</w:t>
      </w:r>
      <w:r w:rsidR="006D5B56" w:rsidRPr="000F2C9A">
        <w:rPr>
          <w:rStyle w:val="boldblack"/>
          <w:sz w:val="28"/>
          <w:szCs w:val="28"/>
          <w:lang w:val="ru-RU"/>
        </w:rPr>
        <w:t xml:space="preserve"> </w:t>
      </w:r>
      <w:r w:rsidRPr="000F2C9A">
        <w:rPr>
          <w:rStyle w:val="boldblack"/>
          <w:sz w:val="28"/>
          <w:szCs w:val="28"/>
          <w:lang w:val="ru-RU"/>
        </w:rPr>
        <w:t>гормональной</w:t>
      </w:r>
      <w:r w:rsidR="006D5B56" w:rsidRPr="000F2C9A">
        <w:rPr>
          <w:rStyle w:val="boldblack"/>
          <w:sz w:val="28"/>
          <w:szCs w:val="28"/>
          <w:lang w:val="ru-RU"/>
        </w:rPr>
        <w:t xml:space="preserve"> </w:t>
      </w:r>
      <w:r w:rsidRPr="000F2C9A">
        <w:rPr>
          <w:rStyle w:val="boldblack"/>
          <w:sz w:val="28"/>
          <w:szCs w:val="28"/>
          <w:lang w:val="ru-RU"/>
        </w:rPr>
        <w:t>и</w:t>
      </w:r>
      <w:r w:rsidR="006D5B56" w:rsidRPr="000F2C9A">
        <w:rPr>
          <w:rStyle w:val="boldblack"/>
          <w:sz w:val="28"/>
          <w:szCs w:val="28"/>
          <w:lang w:val="ru-RU"/>
        </w:rPr>
        <w:t xml:space="preserve"> </w:t>
      </w:r>
      <w:r w:rsidRPr="000F2C9A">
        <w:rPr>
          <w:rStyle w:val="boldblack"/>
          <w:sz w:val="28"/>
          <w:szCs w:val="28"/>
          <w:lang w:val="ru-RU"/>
        </w:rPr>
        <w:t>антигормональной</w:t>
      </w:r>
      <w:r w:rsidR="006D5B56" w:rsidRPr="000F2C9A">
        <w:rPr>
          <w:rStyle w:val="boldblack"/>
          <w:sz w:val="28"/>
          <w:szCs w:val="28"/>
          <w:lang w:val="ru-RU"/>
        </w:rPr>
        <w:t xml:space="preserve"> </w:t>
      </w:r>
      <w:r w:rsidRPr="000F2C9A">
        <w:rPr>
          <w:rStyle w:val="boldblack"/>
          <w:sz w:val="28"/>
          <w:szCs w:val="28"/>
          <w:lang w:val="ru-RU"/>
        </w:rPr>
        <w:t>активностью: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антиандрогены,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андрогены,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гестагены,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эстрогены,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антиэстрогены,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ингибиторы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ароматазы.</w:t>
      </w:r>
    </w:p>
    <w:p w:rsidR="00865613" w:rsidRPr="000F2C9A" w:rsidRDefault="00865613" w:rsidP="006D5B56">
      <w:pPr>
        <w:pStyle w:val="simple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rStyle w:val="boldblack"/>
          <w:sz w:val="28"/>
          <w:szCs w:val="28"/>
          <w:lang w:val="ru-RU"/>
        </w:rPr>
        <w:t>II.</w:t>
      </w:r>
      <w:r w:rsidR="006D5B56" w:rsidRPr="000F2C9A">
        <w:rPr>
          <w:rStyle w:val="boldblack"/>
          <w:sz w:val="28"/>
          <w:szCs w:val="28"/>
          <w:lang w:val="ru-RU"/>
        </w:rPr>
        <w:t xml:space="preserve"> </w:t>
      </w:r>
      <w:r w:rsidRPr="000F2C9A">
        <w:rPr>
          <w:rStyle w:val="boldblack"/>
          <w:sz w:val="28"/>
          <w:szCs w:val="28"/>
          <w:lang w:val="ru-RU"/>
        </w:rPr>
        <w:t>Ингибиторы</w:t>
      </w:r>
      <w:r w:rsidR="006D5B56" w:rsidRPr="000F2C9A">
        <w:rPr>
          <w:rStyle w:val="boldblack"/>
          <w:sz w:val="28"/>
          <w:szCs w:val="28"/>
          <w:lang w:val="ru-RU"/>
        </w:rPr>
        <w:t xml:space="preserve"> </w:t>
      </w:r>
      <w:r w:rsidRPr="000F2C9A">
        <w:rPr>
          <w:rStyle w:val="boldblack"/>
          <w:sz w:val="28"/>
          <w:szCs w:val="28"/>
          <w:lang w:val="ru-RU"/>
        </w:rPr>
        <w:t>тестостерон-5α-редуктазы:</w:t>
      </w:r>
      <w:r w:rsidR="006D5B56" w:rsidRPr="000F2C9A">
        <w:rPr>
          <w:rStyle w:val="boldblack"/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лекарственные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препараты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синтетического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растительного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происхождения.</w:t>
      </w:r>
    </w:p>
    <w:p w:rsidR="00865613" w:rsidRPr="000F2C9A" w:rsidRDefault="00865613" w:rsidP="006D5B56">
      <w:pPr>
        <w:pStyle w:val="simple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rStyle w:val="boldblack"/>
          <w:sz w:val="28"/>
          <w:szCs w:val="28"/>
          <w:lang w:val="ru-RU"/>
        </w:rPr>
        <w:lastRenderedPageBreak/>
        <w:t>III.</w:t>
      </w:r>
      <w:r w:rsidR="006D5B56" w:rsidRPr="000F2C9A">
        <w:rPr>
          <w:rStyle w:val="boldblack"/>
          <w:sz w:val="28"/>
          <w:szCs w:val="28"/>
          <w:lang w:val="ru-RU"/>
        </w:rPr>
        <w:t xml:space="preserve"> </w:t>
      </w:r>
      <w:r w:rsidRPr="000F2C9A">
        <w:rPr>
          <w:rStyle w:val="boldblack"/>
          <w:sz w:val="28"/>
          <w:szCs w:val="28"/>
          <w:lang w:val="ru-RU"/>
        </w:rPr>
        <w:t>Антагонисты</w:t>
      </w:r>
      <w:r w:rsidR="006D5B56" w:rsidRPr="000F2C9A">
        <w:rPr>
          <w:rStyle w:val="boldblack"/>
          <w:sz w:val="28"/>
          <w:szCs w:val="28"/>
          <w:lang w:val="ru-RU"/>
        </w:rPr>
        <w:t xml:space="preserve"> </w:t>
      </w:r>
      <w:r w:rsidRPr="000F2C9A">
        <w:rPr>
          <w:rStyle w:val="boldblack"/>
          <w:sz w:val="28"/>
          <w:szCs w:val="28"/>
          <w:lang w:val="ru-RU"/>
        </w:rPr>
        <w:t>α</w:t>
      </w:r>
      <w:r w:rsidRPr="000F2C9A">
        <w:rPr>
          <w:rStyle w:val="sub"/>
          <w:sz w:val="28"/>
          <w:szCs w:val="28"/>
          <w:lang w:val="ru-RU"/>
        </w:rPr>
        <w:t>1</w:t>
      </w:r>
      <w:r w:rsidRPr="000F2C9A">
        <w:rPr>
          <w:rStyle w:val="boldblack"/>
          <w:sz w:val="28"/>
          <w:szCs w:val="28"/>
          <w:lang w:val="ru-RU"/>
        </w:rPr>
        <w:t>-адренорецепторов</w:t>
      </w:r>
      <w:r w:rsidRPr="000F2C9A">
        <w:rPr>
          <w:sz w:val="28"/>
          <w:szCs w:val="28"/>
          <w:lang w:val="ru-RU"/>
        </w:rPr>
        <w:t>: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неселективные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α</w:t>
      </w:r>
      <w:r w:rsidRPr="000F2C9A">
        <w:rPr>
          <w:rStyle w:val="sub"/>
          <w:sz w:val="28"/>
          <w:szCs w:val="28"/>
          <w:lang w:val="ru-RU"/>
        </w:rPr>
        <w:t>1,2</w:t>
      </w:r>
      <w:r w:rsidRPr="000F2C9A">
        <w:rPr>
          <w:sz w:val="28"/>
          <w:szCs w:val="28"/>
          <w:lang w:val="ru-RU"/>
        </w:rPr>
        <w:t>-адреноблокаторы,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селективные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α</w:t>
      </w:r>
      <w:r w:rsidRPr="000F2C9A">
        <w:rPr>
          <w:rStyle w:val="sub"/>
          <w:sz w:val="28"/>
          <w:szCs w:val="28"/>
          <w:lang w:val="ru-RU"/>
        </w:rPr>
        <w:t>1</w:t>
      </w:r>
      <w:r w:rsidRPr="000F2C9A">
        <w:rPr>
          <w:sz w:val="28"/>
          <w:szCs w:val="28"/>
          <w:lang w:val="ru-RU"/>
        </w:rPr>
        <w:t>-адреноблокаторы,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высокоселективные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(простатоселективные)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αа</w:t>
      </w:r>
      <w:r w:rsidRPr="000F2C9A">
        <w:rPr>
          <w:rStyle w:val="sub"/>
          <w:sz w:val="28"/>
          <w:szCs w:val="28"/>
          <w:lang w:val="ru-RU"/>
        </w:rPr>
        <w:t>1A</w:t>
      </w:r>
      <w:r w:rsidR="006D5B56" w:rsidRPr="000F2C9A">
        <w:rPr>
          <w:rStyle w:val="sub"/>
          <w:sz w:val="28"/>
          <w:szCs w:val="28"/>
          <w:lang w:val="ru-RU"/>
        </w:rPr>
        <w:t xml:space="preserve"> </w:t>
      </w:r>
      <w:r w:rsidRPr="000F2C9A">
        <w:rPr>
          <w:rStyle w:val="sub"/>
          <w:sz w:val="28"/>
          <w:szCs w:val="28"/>
          <w:lang w:val="ru-RU"/>
        </w:rPr>
        <w:t>/</w:t>
      </w:r>
      <w:r w:rsidR="006D5B56" w:rsidRPr="000F2C9A">
        <w:rPr>
          <w:rStyle w:val="sub"/>
          <w:sz w:val="28"/>
          <w:szCs w:val="28"/>
          <w:lang w:val="ru-RU"/>
        </w:rPr>
        <w:t xml:space="preserve"> </w:t>
      </w:r>
      <w:r w:rsidRPr="000F2C9A">
        <w:rPr>
          <w:rStyle w:val="sub"/>
          <w:sz w:val="28"/>
          <w:szCs w:val="28"/>
          <w:lang w:val="ru-RU"/>
        </w:rPr>
        <w:t>D</w:t>
      </w:r>
      <w:r w:rsidRPr="000F2C9A">
        <w:rPr>
          <w:sz w:val="28"/>
          <w:szCs w:val="28"/>
          <w:lang w:val="ru-RU"/>
        </w:rPr>
        <w:t>-адреноблокаторы.</w:t>
      </w:r>
    </w:p>
    <w:p w:rsidR="00865613" w:rsidRPr="000F2C9A" w:rsidRDefault="00865613" w:rsidP="006D5B56">
      <w:pPr>
        <w:pStyle w:val="simple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IV.</w:t>
      </w:r>
      <w:r w:rsidR="006D5B56" w:rsidRPr="000F2C9A">
        <w:rPr>
          <w:sz w:val="28"/>
          <w:szCs w:val="28"/>
          <w:lang w:val="ru-RU"/>
        </w:rPr>
        <w:t xml:space="preserve"> Фитопрепараты</w:t>
      </w:r>
    </w:p>
    <w:p w:rsidR="00865613" w:rsidRPr="000F2C9A" w:rsidRDefault="00865613" w:rsidP="006D5B56">
      <w:pPr>
        <w:pStyle w:val="simple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rStyle w:val="boldblack"/>
          <w:sz w:val="28"/>
          <w:szCs w:val="28"/>
          <w:lang w:val="ru-RU"/>
        </w:rPr>
        <w:t>V.</w:t>
      </w:r>
      <w:r w:rsidR="006D5B56" w:rsidRPr="000F2C9A">
        <w:rPr>
          <w:rStyle w:val="boldblack"/>
          <w:sz w:val="28"/>
          <w:szCs w:val="28"/>
          <w:lang w:val="ru-RU"/>
        </w:rPr>
        <w:t xml:space="preserve"> </w:t>
      </w:r>
      <w:r w:rsidRPr="000F2C9A">
        <w:rPr>
          <w:rStyle w:val="boldblack"/>
          <w:sz w:val="28"/>
          <w:szCs w:val="28"/>
          <w:lang w:val="ru-RU"/>
        </w:rPr>
        <w:t>Прочие</w:t>
      </w:r>
      <w:r w:rsidR="006D5B56" w:rsidRPr="000F2C9A">
        <w:rPr>
          <w:rStyle w:val="boldblack"/>
          <w:sz w:val="28"/>
          <w:szCs w:val="28"/>
          <w:lang w:val="ru-RU"/>
        </w:rPr>
        <w:t xml:space="preserve"> </w:t>
      </w:r>
      <w:r w:rsidRPr="000F2C9A">
        <w:rPr>
          <w:rStyle w:val="boldblack"/>
          <w:sz w:val="28"/>
          <w:szCs w:val="28"/>
          <w:lang w:val="ru-RU"/>
        </w:rPr>
        <w:t>лекарственные</w:t>
      </w:r>
      <w:r w:rsidR="006D5B56" w:rsidRPr="000F2C9A">
        <w:rPr>
          <w:rStyle w:val="boldblack"/>
          <w:sz w:val="28"/>
          <w:szCs w:val="28"/>
          <w:lang w:val="ru-RU"/>
        </w:rPr>
        <w:t xml:space="preserve"> </w:t>
      </w:r>
      <w:r w:rsidRPr="000F2C9A">
        <w:rPr>
          <w:rStyle w:val="boldblack"/>
          <w:sz w:val="28"/>
          <w:szCs w:val="28"/>
          <w:lang w:val="ru-RU"/>
        </w:rPr>
        <w:t>средства: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полиеновые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антибиотики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—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регуляторы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обмена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холестерола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липидов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(блокаторы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поступления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стеролов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из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желудочно-кишечного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тракта),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аминокислотные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комплексы,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экстракты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органов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животных,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токсины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(ботокс).</w:t>
      </w:r>
    </w:p>
    <w:p w:rsidR="00865613" w:rsidRPr="000F2C9A" w:rsidRDefault="00865613" w:rsidP="006D5B56">
      <w:pPr>
        <w:pStyle w:val="simple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Одной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из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самых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распространенных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настоящее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время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групп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лекарственных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средств,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применяемых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схемах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фармакотерапии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ДГПЖ,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праву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считаются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ингибиторы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тестостерон-5α-редуктазы.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Описаны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две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изоформы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этого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фермента.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Тип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ІІ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фермента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5α-редуктазы,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прежде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всего,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активен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репродуктивных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тканях,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время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как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тип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І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фермента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ответственен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за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преобразование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тестостерона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коже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печени.</w:t>
      </w:r>
    </w:p>
    <w:p w:rsidR="00865613" w:rsidRPr="000F2C9A" w:rsidRDefault="00865613" w:rsidP="006D5B56">
      <w:pPr>
        <w:pStyle w:val="simple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Механизм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действия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этих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препаратов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связан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угнетением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активности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фермента,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вызывающего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превращение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тестостерона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(Т)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дигидротестостерон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(ДТС).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Последний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играет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важную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роль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для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роста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предстательной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железы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связи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его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выраженным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аффинитетом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андрогенным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рецепторам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предстательной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железы,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превышающим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таковой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для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тестостерона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4–5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раз.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Необходимо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отметить,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что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возрастом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увеличиваются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активность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5α-редуктазы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число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цитоплазматических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рецепторов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андрогенов,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что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способствует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усиленному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росту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предстательной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железы.</w:t>
      </w:r>
    </w:p>
    <w:p w:rsidR="00865613" w:rsidRPr="000F2C9A" w:rsidRDefault="00865613" w:rsidP="006D5B56">
      <w:pPr>
        <w:pStyle w:val="simple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Показанием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назначению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ингибиторов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5α-редуктазы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является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ДГПЖ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1–2-й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стадии,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если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количество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остаточной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мочи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превышает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150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мл,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максимальный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поток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урофлоуметрии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составляет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менее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10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мл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/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сек.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отсутствуют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абсолютные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показания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для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оперативного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лечения: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камни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мочевого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пузыря,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острая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задержка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мочеиспускания,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признаки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хронической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почечной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недостаточности,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повторяющаяся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макрогематурия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из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варикозно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расширенных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вен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шейки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мочевого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пузыря.</w:t>
      </w:r>
    </w:p>
    <w:p w:rsidR="00AC50B5" w:rsidRPr="000F2C9A" w:rsidRDefault="00865613" w:rsidP="006D5B56">
      <w:pPr>
        <w:pStyle w:val="simple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Наибольший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экспериментальный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клинический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опыт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применения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препаратов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этой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группы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лечении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ДГПЖ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связан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rStyle w:val="boldblack"/>
          <w:sz w:val="28"/>
          <w:szCs w:val="28"/>
          <w:lang w:val="ru-RU"/>
        </w:rPr>
        <w:t>финастеридом</w:t>
      </w:r>
      <w:r w:rsidRPr="000F2C9A">
        <w:rPr>
          <w:sz w:val="28"/>
          <w:szCs w:val="28"/>
          <w:lang w:val="ru-RU"/>
        </w:rPr>
        <w:t>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который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относится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синтетическим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4-азастероидным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соединениям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является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ингибитором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5α-редуктазы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II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типа.</w:t>
      </w:r>
    </w:p>
    <w:p w:rsidR="00865613" w:rsidRPr="000F2C9A" w:rsidRDefault="00865613" w:rsidP="006D5B56">
      <w:pPr>
        <w:pStyle w:val="simple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настоящее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время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фармацевтическом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рынке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Украины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представлены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как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оригинальная,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так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генерические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версии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лекарственных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средств,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содержащих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качестве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действующего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вещества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финастерид</w:t>
      </w:r>
      <w:r w:rsidR="00824D20" w:rsidRPr="000F2C9A">
        <w:rPr>
          <w:sz w:val="28"/>
          <w:szCs w:val="28"/>
          <w:lang w:val="ru-RU"/>
        </w:rPr>
        <w:t>.</w:t>
      </w:r>
    </w:p>
    <w:p w:rsidR="00824D20" w:rsidRPr="000F2C9A" w:rsidRDefault="00824D20" w:rsidP="006D5B56">
      <w:pPr>
        <w:pStyle w:val="simple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механизме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действия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финастерида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важную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роль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также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играет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его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влияние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апоптоз.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литературе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доказана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корреляция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между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низким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апоптозом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строме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ПЖ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развитием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ДГПЖ.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Как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показали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исследования,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препарат,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ингибируя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превращение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тестостерона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дигидротестостерон,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активирует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через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специфические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протеазы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апоптоз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эпителии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строме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простаты,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что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приводит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уменьшению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ее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объема.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Таким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образом,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механизме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действия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финастерида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играет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роль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остановка,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затем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редукция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гиперпластического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роста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железистого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эпителия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ацинусов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стромы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простаты.</w:t>
      </w:r>
    </w:p>
    <w:p w:rsidR="0082550E" w:rsidRPr="000F2C9A" w:rsidRDefault="0082550E" w:rsidP="006D5B56">
      <w:pPr>
        <w:pStyle w:val="simple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Некоторые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авторы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считают,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что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финастерид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является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единственным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препаратом,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применяемым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для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лечения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ДГПЖ,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который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достоверно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уменьшает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размеры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предстательной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железы,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улучшает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симптомы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заболевания: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увеличивает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максимальную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объемную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скорость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потока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мочи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1,3–5,8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мл/с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сравнению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исходными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показателями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50–90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%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больных.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Кроме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того,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снижает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параметры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пузырного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детрузорного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давления,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которые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позволяют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более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достоверно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судить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наличии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степени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интравезикальной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обструкции.</w:t>
      </w:r>
    </w:p>
    <w:p w:rsidR="0082550E" w:rsidRPr="000F2C9A" w:rsidRDefault="0082550E" w:rsidP="006D5B56">
      <w:pPr>
        <w:pStyle w:val="simple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Клинические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данные,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характеризующие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эффективность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препарата,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свидетельствуют,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что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12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месяцам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лечения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отмечается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уменьшение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симптоматики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ДГПЖ,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рассчитанной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шкале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I-PSS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21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%,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увеличение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максимальной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объемной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скорости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мочеиспускания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22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%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уменьшение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объема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простаты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19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%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ежедневном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приеме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5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мг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препарата.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Важно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отметить,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что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препарат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связывается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андрогенными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рецепторами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дает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побочных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эффектов,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характерных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для</w:t>
      </w:r>
      <w:r w:rsidR="006D5B56" w:rsidRPr="000F2C9A">
        <w:rPr>
          <w:sz w:val="28"/>
          <w:szCs w:val="28"/>
          <w:lang w:val="ru-RU"/>
        </w:rPr>
        <w:t xml:space="preserve"> «</w:t>
      </w:r>
      <w:r w:rsidRPr="000F2C9A">
        <w:rPr>
          <w:sz w:val="28"/>
          <w:szCs w:val="28"/>
          <w:lang w:val="ru-RU"/>
        </w:rPr>
        <w:t>классических</w:t>
      </w:r>
      <w:r w:rsidR="006D5B56" w:rsidRPr="000F2C9A">
        <w:rPr>
          <w:sz w:val="28"/>
          <w:szCs w:val="28"/>
          <w:lang w:val="ru-RU"/>
        </w:rPr>
        <w:t xml:space="preserve">» </w:t>
      </w:r>
      <w:r w:rsidRPr="000F2C9A">
        <w:rPr>
          <w:sz w:val="28"/>
          <w:szCs w:val="28"/>
          <w:lang w:val="ru-RU"/>
        </w:rPr>
        <w:t>гормональных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средств.</w:t>
      </w:r>
    </w:p>
    <w:p w:rsidR="0082550E" w:rsidRPr="000F2C9A" w:rsidRDefault="009C098D" w:rsidP="006D5B56">
      <w:pPr>
        <w:pStyle w:val="simple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Финастерид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вызывает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склерозирование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капсулы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ПЖ,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что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затрудняет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хирургическое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вмешательство,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если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таковое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потребуется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после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фармакотерапии.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недостаткам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финастерида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следует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также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отнести: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медленное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начало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действия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(через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3–6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мес.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приема);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более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высокую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эффективность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терапии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ПЖ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больших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размеров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</w:t>
      </w:r>
      <w:smartTag w:uri="urn:schemas-microsoft-com:office:smarttags" w:element="metricconverter">
        <w:smartTagPr>
          <w:attr w:name="ProductID" w:val="40 см"/>
        </w:smartTagPr>
        <w:r w:rsidRPr="000F2C9A">
          <w:rPr>
            <w:sz w:val="28"/>
            <w:szCs w:val="28"/>
            <w:lang w:val="ru-RU"/>
          </w:rPr>
          <w:t>40</w:t>
        </w:r>
        <w:r w:rsidR="006D5B56" w:rsidRPr="000F2C9A">
          <w:rPr>
            <w:sz w:val="28"/>
            <w:szCs w:val="28"/>
            <w:lang w:val="ru-RU"/>
          </w:rPr>
          <w:t xml:space="preserve"> </w:t>
        </w:r>
        <w:r w:rsidRPr="000F2C9A">
          <w:rPr>
            <w:sz w:val="28"/>
            <w:szCs w:val="28"/>
            <w:lang w:val="ru-RU"/>
          </w:rPr>
          <w:t>см</w:t>
        </w:r>
      </w:smartTag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более);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воздействие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симптомы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обструкции,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ирритативные;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снижение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уровня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простатоспецифического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антигена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(ПСА)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крови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—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специфического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маркера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рака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ПЖ.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Причем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проскар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снижает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его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уровень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даже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наличии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рака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ПЖ.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Так,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большинства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больных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наблюдается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быстрое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снижение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уровня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ПСА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течение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первых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месяцев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лечения,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после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чего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его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уровень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стабилизируется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более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низких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цифрах,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составляющих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приблизительно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половину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исходной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величины.</w:t>
      </w:r>
    </w:p>
    <w:p w:rsidR="006D5B56" w:rsidRPr="000F2C9A" w:rsidRDefault="006D5B56" w:rsidP="006D5B56">
      <w:pPr>
        <w:pStyle w:val="simple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E16345" w:rsidRPr="000F2C9A" w:rsidRDefault="00E16345" w:rsidP="006D5B5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  <w:lang w:val="ru-RU"/>
        </w:rPr>
      </w:pPr>
      <w:r w:rsidRPr="000F2C9A">
        <w:rPr>
          <w:rFonts w:ascii="Times New Roman" w:hAnsi="Times New Roman"/>
          <w:b/>
          <w:sz w:val="28"/>
          <w:szCs w:val="32"/>
          <w:lang w:val="ru-RU"/>
        </w:rPr>
        <w:t>Корректоры</w:t>
      </w:r>
      <w:r w:rsidR="006D5B56" w:rsidRPr="000F2C9A">
        <w:rPr>
          <w:rFonts w:ascii="Times New Roman" w:hAnsi="Times New Roman"/>
          <w:b/>
          <w:sz w:val="28"/>
          <w:szCs w:val="32"/>
          <w:lang w:val="ru-RU"/>
        </w:rPr>
        <w:t xml:space="preserve"> </w:t>
      </w:r>
      <w:r w:rsidRPr="000F2C9A">
        <w:rPr>
          <w:rFonts w:ascii="Times New Roman" w:hAnsi="Times New Roman"/>
          <w:b/>
          <w:sz w:val="28"/>
          <w:szCs w:val="32"/>
          <w:lang w:val="ru-RU"/>
        </w:rPr>
        <w:t>эректильной</w:t>
      </w:r>
      <w:r w:rsidR="006D5B56" w:rsidRPr="000F2C9A">
        <w:rPr>
          <w:rFonts w:ascii="Times New Roman" w:hAnsi="Times New Roman"/>
          <w:b/>
          <w:sz w:val="28"/>
          <w:szCs w:val="32"/>
          <w:lang w:val="ru-RU"/>
        </w:rPr>
        <w:t xml:space="preserve"> </w:t>
      </w:r>
      <w:r w:rsidRPr="000F2C9A">
        <w:rPr>
          <w:rFonts w:ascii="Times New Roman" w:hAnsi="Times New Roman"/>
          <w:b/>
          <w:sz w:val="28"/>
          <w:szCs w:val="32"/>
          <w:lang w:val="ru-RU"/>
        </w:rPr>
        <w:t>дисфункции</w:t>
      </w:r>
    </w:p>
    <w:p w:rsidR="006D5B56" w:rsidRPr="000F2C9A" w:rsidRDefault="006D5B56" w:rsidP="006D5B56">
      <w:pPr>
        <w:pStyle w:val="phgr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C16287" w:rsidRPr="000F2C9A" w:rsidRDefault="00C16287" w:rsidP="006D5B56">
      <w:pPr>
        <w:pStyle w:val="phgr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Регуляторы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потенции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—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группа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лекарственных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средств,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включающая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различные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препараты,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применяемые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для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лечения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эректильной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дисфункции.</w:t>
      </w:r>
    </w:p>
    <w:p w:rsidR="00C16287" w:rsidRPr="000F2C9A" w:rsidRDefault="00C16287" w:rsidP="006D5B56">
      <w:pPr>
        <w:pStyle w:val="phgr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Эректильная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дисфункция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(ЭД)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—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неспособность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достигать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и/или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поддерживать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эрекцию,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достаточну</w:t>
      </w:r>
      <w:r w:rsidRPr="000F2C9A">
        <w:rPr>
          <w:sz w:val="28"/>
          <w:szCs w:val="28"/>
          <w:lang w:val="ru-RU"/>
        </w:rPr>
        <w:t>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для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проведения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полового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акта,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—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остается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важной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социальной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медицинской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проблемой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во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всем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мире.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По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современным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представлениям,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при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сексуальной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стимуляции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происходит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активация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парасимпатической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нервной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системы.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Высвобождение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медиаторов,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частности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оксида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азота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(NO,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эндотелиального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релаксирующего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фактора),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из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эндотелия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сосудов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кавернозных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тел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приводит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накоплению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циклического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гуанозинмонофосфата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(цГМФ)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кавернозной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ткани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расслаблению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гладкомышечных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клеток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стенок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приносящих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артерий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кавернозных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тел.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Заполнение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артериальной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кровью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кавернозных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тел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вызывает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сдавление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венул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блокирование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оттока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крови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из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полового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чл</w:t>
      </w:r>
      <w:r w:rsidRPr="000F2C9A">
        <w:rPr>
          <w:sz w:val="28"/>
          <w:szCs w:val="28"/>
          <w:lang w:val="ru-RU"/>
        </w:rPr>
        <w:t>ена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(веноокклюзионный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механизм)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—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возникает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эрекция.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Гладкомышечные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клетки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сосудов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метаболизируют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цГМФ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помощью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фосфодиэстеразы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типа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5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(ФДЭ5).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При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расслаблении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происходит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сокращение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гладкомышечных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клеток,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уменьшение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притока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крови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по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артериям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увеличение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венозного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оттока.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ЭД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может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быть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обусловлена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недостаточной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вазодилатацией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вследствие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дефицита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цГМФ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или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снижения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чувствительности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сосудов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цГМФ,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недостатком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компрессии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пенильных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вен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результате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разрастания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соединительной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ткани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или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комбинацией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этих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причин.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Считается,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что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ЭД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80%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случаев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возникает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ввиду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различных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органических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причин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20%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—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обусловлена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психологическими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факторами.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Часто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встречается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сочетание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этих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факторов.</w:t>
      </w:r>
    </w:p>
    <w:p w:rsidR="00C16287" w:rsidRPr="000F2C9A" w:rsidRDefault="00994868" w:rsidP="006D5B56">
      <w:pPr>
        <w:pStyle w:val="phgr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прошлом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эффективная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терапия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нарушений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потенции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была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связана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интракавернозным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введением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препаратов,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сейчас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же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увеличилось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количество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высокоэффективных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пероральных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лекарственных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средств.</w:t>
      </w:r>
    </w:p>
    <w:p w:rsidR="00C16287" w:rsidRPr="000F2C9A" w:rsidRDefault="00994868" w:rsidP="006D5B56">
      <w:pPr>
        <w:pStyle w:val="phgr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Среди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препаратов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для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лечения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эректильной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дисфункции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можно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выделить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следующие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группы:</w:t>
      </w:r>
    </w:p>
    <w:p w:rsidR="00C16287" w:rsidRPr="000F2C9A" w:rsidRDefault="00994868" w:rsidP="006D5B56">
      <w:pPr>
        <w:pStyle w:val="phgr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I)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средства,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повышающие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уровень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оксида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азота:</w:t>
      </w:r>
    </w:p>
    <w:p w:rsidR="00C16287" w:rsidRPr="000F2C9A" w:rsidRDefault="00994868" w:rsidP="006D5B56">
      <w:pPr>
        <w:pStyle w:val="phgr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1)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селективные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ингибиторы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ФДЭ5: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силденафила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цитрат,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тадалафил,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варде</w:t>
      </w:r>
      <w:r w:rsidR="00C16287" w:rsidRPr="000F2C9A">
        <w:rPr>
          <w:sz w:val="28"/>
          <w:szCs w:val="28"/>
          <w:lang w:val="ru-RU"/>
        </w:rPr>
        <w:t>нафил;</w:t>
      </w:r>
    </w:p>
    <w:p w:rsidR="00C16287" w:rsidRPr="000F2C9A" w:rsidRDefault="00C16287" w:rsidP="006D5B56">
      <w:pPr>
        <w:pStyle w:val="phgr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2)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активаторы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NO-синтазы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—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Импаза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(гомеопатическое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средство);</w:t>
      </w:r>
    </w:p>
    <w:p w:rsidR="00C16287" w:rsidRPr="000F2C9A" w:rsidRDefault="00994868" w:rsidP="006D5B56">
      <w:pPr>
        <w:pStyle w:val="phgr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II)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альфа-адреноблокаторы:</w:t>
      </w:r>
    </w:p>
    <w:p w:rsidR="00C16287" w:rsidRPr="000F2C9A" w:rsidRDefault="00994868" w:rsidP="006D5B56">
      <w:pPr>
        <w:pStyle w:val="phgr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1)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селективные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альфа</w:t>
      </w:r>
      <w:r w:rsidRPr="000F2C9A">
        <w:rPr>
          <w:sz w:val="28"/>
          <w:szCs w:val="28"/>
          <w:vertAlign w:val="subscript"/>
          <w:lang w:val="ru-RU"/>
        </w:rPr>
        <w:t>2</w:t>
      </w:r>
      <w:r w:rsidRPr="000F2C9A">
        <w:rPr>
          <w:sz w:val="28"/>
          <w:szCs w:val="28"/>
          <w:lang w:val="ru-RU"/>
        </w:rPr>
        <w:t>-адреноблокаторы: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иохимбин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(иохимбина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гидрохлорид);</w:t>
      </w:r>
    </w:p>
    <w:p w:rsidR="00C16287" w:rsidRPr="000F2C9A" w:rsidRDefault="00994868" w:rsidP="006D5B56">
      <w:pPr>
        <w:pStyle w:val="phgr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2)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неселективные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альфа-блокаторы: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фентоламин;</w:t>
      </w:r>
    </w:p>
    <w:p w:rsidR="00C16287" w:rsidRPr="000F2C9A" w:rsidRDefault="00994868" w:rsidP="006D5B56">
      <w:pPr>
        <w:pStyle w:val="phgr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III)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аналоги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простагландина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Е: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алпростадил;</w:t>
      </w:r>
    </w:p>
    <w:p w:rsidR="00C16287" w:rsidRPr="000F2C9A" w:rsidRDefault="00994868" w:rsidP="006D5B56">
      <w:pPr>
        <w:pStyle w:val="phgr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IV)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средства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сложного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состава;</w:t>
      </w:r>
    </w:p>
    <w:p w:rsidR="00C16287" w:rsidRPr="000F2C9A" w:rsidRDefault="00994868" w:rsidP="006D5B56">
      <w:pPr>
        <w:pStyle w:val="phgr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V)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андрогены: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тестостерон;</w:t>
      </w:r>
    </w:p>
    <w:p w:rsidR="00994868" w:rsidRPr="000F2C9A" w:rsidRDefault="00994868" w:rsidP="006D5B56">
      <w:pPr>
        <w:pStyle w:val="phgr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VI)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миотропные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спазмолитики: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папаверин.</w:t>
      </w:r>
    </w:p>
    <w:p w:rsidR="00994868" w:rsidRPr="000F2C9A" w:rsidRDefault="00994868" w:rsidP="006D5B56">
      <w:pPr>
        <w:pStyle w:val="phgrtextabz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Ингибиторы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фосфодиэстеразы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являются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препаратами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первой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линии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для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лечения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ЭД.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Механизм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действия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всех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трех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ЛС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этой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группы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одинаковый: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они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оказывают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периферическое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действие,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селективно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ингибируя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цГМФ-специфическую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ФДЭ5,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которая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ответственна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за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распад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цГМФ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кавернозных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телах.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За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счет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блокады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ФДЭ5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стабилизации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цГМФ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лекарственные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средства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этой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группы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усиливают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эффект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оксида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азота,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который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активирует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гуанилатциклазу,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что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приводит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повышению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уровня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цГМФ,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расслаблению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гладких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мышц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кавернозных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тел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притоку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ним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крови.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Прямое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расслабляющее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влияние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гладкие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мышцы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кавернозных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тел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этих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препаратов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отсутствует.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Эти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ЛС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различаются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продолжительности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действия: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силденафила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цит</w:t>
      </w:r>
      <w:r w:rsidR="00C16287" w:rsidRPr="000F2C9A">
        <w:rPr>
          <w:sz w:val="28"/>
          <w:szCs w:val="28"/>
          <w:lang w:val="ru-RU"/>
        </w:rPr>
        <w:t>рат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варденафил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действуют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до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5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часов,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тадалафил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—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до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36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</w:t>
      </w:r>
      <w:r w:rsidR="00C16287" w:rsidRPr="000F2C9A">
        <w:rPr>
          <w:sz w:val="28"/>
          <w:szCs w:val="28"/>
          <w:lang w:val="ru-RU"/>
        </w:rPr>
        <w:t>асов</w:t>
      </w:r>
      <w:r w:rsidRPr="000F2C9A">
        <w:rPr>
          <w:sz w:val="28"/>
          <w:szCs w:val="28"/>
          <w:lang w:val="ru-RU"/>
        </w:rPr>
        <w:t>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Эффект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проявляется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только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сексуальном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возбуждении.</w:t>
      </w:r>
    </w:p>
    <w:p w:rsidR="00994868" w:rsidRPr="000F2C9A" w:rsidRDefault="00994868" w:rsidP="006D5B56">
      <w:pPr>
        <w:pStyle w:val="phgrtextabz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Силденафила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цитрат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варденафил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имеют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сходное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химическое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строение,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время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как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тадалафил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существенно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отличается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строению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фармакокинетическим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свойствам.</w:t>
      </w:r>
    </w:p>
    <w:p w:rsidR="00994868" w:rsidRPr="000F2C9A" w:rsidRDefault="00994868" w:rsidP="006D5B56">
      <w:pPr>
        <w:pStyle w:val="phgrtextabz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Кроме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гладких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мышц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кавернозных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тел,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ФДЭ5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небольших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количествах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содержится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тромбоцитах,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гладкомышечной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ткани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сосудов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внутренних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органов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скелетных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мышцах.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Ингибирование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ФДЭ5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этих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тканях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может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приводить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повышению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антиагрегационной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активности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оксида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азота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тромбоцитов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iCs/>
          <w:sz w:val="28"/>
          <w:szCs w:val="28"/>
          <w:lang w:val="ru-RU"/>
        </w:rPr>
        <w:t>in</w:t>
      </w:r>
      <w:r w:rsidR="006D5B56" w:rsidRPr="000F2C9A">
        <w:rPr>
          <w:iCs/>
          <w:sz w:val="28"/>
          <w:szCs w:val="28"/>
          <w:lang w:val="ru-RU"/>
        </w:rPr>
        <w:t xml:space="preserve"> </w:t>
      </w:r>
      <w:r w:rsidRPr="000F2C9A">
        <w:rPr>
          <w:iCs/>
          <w:sz w:val="28"/>
          <w:szCs w:val="28"/>
          <w:lang w:val="ru-RU"/>
        </w:rPr>
        <w:t>vitro</w:t>
      </w:r>
      <w:r w:rsidRPr="000F2C9A">
        <w:rPr>
          <w:sz w:val="28"/>
          <w:szCs w:val="28"/>
          <w:lang w:val="ru-RU"/>
        </w:rPr>
        <w:t>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подавлению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образования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тромбоцитарных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агрегатов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периферической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артериовенозной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дилатации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iCs/>
          <w:sz w:val="28"/>
          <w:szCs w:val="28"/>
          <w:lang w:val="ru-RU"/>
        </w:rPr>
        <w:t>in</w:t>
      </w:r>
      <w:r w:rsidR="006D5B56" w:rsidRPr="000F2C9A">
        <w:rPr>
          <w:iCs/>
          <w:sz w:val="28"/>
          <w:szCs w:val="28"/>
          <w:lang w:val="ru-RU"/>
        </w:rPr>
        <w:t xml:space="preserve"> </w:t>
      </w:r>
      <w:r w:rsidRPr="000F2C9A">
        <w:rPr>
          <w:iCs/>
          <w:sz w:val="28"/>
          <w:szCs w:val="28"/>
          <w:lang w:val="ru-RU"/>
        </w:rPr>
        <w:t>vivo</w:t>
      </w:r>
      <w:r w:rsidRPr="000F2C9A">
        <w:rPr>
          <w:sz w:val="28"/>
          <w:szCs w:val="28"/>
          <w:lang w:val="ru-RU"/>
        </w:rPr>
        <w:t>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Между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препаратами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имеются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явные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различия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активности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отношении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ФДЭ6,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которая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играет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важную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роль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преобразовании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световых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импульсов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нервные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сетчатке.</w:t>
      </w:r>
    </w:p>
    <w:p w:rsidR="00994868" w:rsidRPr="000F2C9A" w:rsidRDefault="00994868" w:rsidP="006D5B56">
      <w:pPr>
        <w:pStyle w:val="phgrtextabz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У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всех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ингибиторов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ФДЭ5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начало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действия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примерно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одинаково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(через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30–60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мин),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однако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продолжительность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существенно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различается.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Дольше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других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проявляется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эффект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тадалафила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(до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36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ч).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Принимают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препараты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внутрь,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примерно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за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1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час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полового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акта.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Все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три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препарата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(силденафила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цитрат,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варденафил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тадалафил)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быстро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всасываются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желудочно-кишечном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тракте.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Абсолютная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биодоступност</w:t>
      </w:r>
      <w:r w:rsidR="00C16287" w:rsidRPr="000F2C9A">
        <w:rPr>
          <w:sz w:val="28"/>
          <w:szCs w:val="28"/>
          <w:lang w:val="ru-RU"/>
        </w:rPr>
        <w:t>ь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различна: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силденафила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цитрата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—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40%,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варденафила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15%.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Концентрация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силденафила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цитрата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вар</w:t>
      </w:r>
      <w:r w:rsidR="00C16287" w:rsidRPr="000F2C9A">
        <w:rPr>
          <w:sz w:val="28"/>
          <w:szCs w:val="28"/>
          <w:lang w:val="ru-RU"/>
        </w:rPr>
        <w:t>денафила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достигает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пика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через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1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ч,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а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тадалафила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—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через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2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Всасывание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происходит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основном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тонкой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кишке;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прием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жирной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пищи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вызывает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задержки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или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ухудшения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всасывания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тадалафила,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уменьшает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замедляет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абсорцию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силденафила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цитрата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варденафила.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Период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полувыведения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силденафила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цитрата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варденафила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из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плазмы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крови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составляет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3–5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ч,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а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тадалафила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—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17–21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Несмотря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длительный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период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полувыведения,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тадалафил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обладает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способностью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кумуляции,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равновесные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концентрации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достигаются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пятый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день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ежедневном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приеме.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Исходные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вещества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основные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метаболиты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практически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полностью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связываются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белками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плазмы.</w:t>
      </w:r>
    </w:p>
    <w:p w:rsidR="00C16287" w:rsidRPr="000F2C9A" w:rsidRDefault="00994868" w:rsidP="006D5B56">
      <w:pPr>
        <w:pStyle w:val="phgrtextabz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Все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ингибиторы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ФДЭ5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имеют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сходный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механизм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действия,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который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связан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влиянием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NO/цГМФ.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Они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усиливают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антигипертензивное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улучшающее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микроциркуляцию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действие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донаторов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NO,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т.ч.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нитратов,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поэтому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пациентам,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получающим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подобные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препараты,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следует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назначать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ингибиторы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ФДЭ5.</w:t>
      </w:r>
    </w:p>
    <w:p w:rsidR="00994868" w:rsidRPr="000F2C9A" w:rsidRDefault="00994868" w:rsidP="006D5B56">
      <w:pPr>
        <w:pStyle w:val="phgrtextabz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эндотелиотропным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средствам,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помимо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ингибиторов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ФДЭ5,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относится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гомеопатический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препарат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Импаза.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состав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Импазы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входят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аффинно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очищенные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антитела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эндотелиальной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NO-</w:t>
      </w:r>
      <w:r w:rsidR="00C16287" w:rsidRPr="000F2C9A">
        <w:rPr>
          <w:sz w:val="28"/>
          <w:szCs w:val="28"/>
          <w:lang w:val="ru-RU"/>
        </w:rPr>
        <w:t>синтазе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(NO-синтетазе)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человека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—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ферменту,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участвующему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выработке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оксида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азота.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Импаза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повышает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активность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эндотелиальной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NO-синтазы,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восстанавливает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выработку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эндотелием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NO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сексуальной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стимуляции,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увеличивает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содержание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гладких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мышцах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цГМФ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способствует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расслаблению,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что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приводит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увеличению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кровенаполнения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пещеристых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тел.</w:t>
      </w:r>
    </w:p>
    <w:p w:rsidR="00994868" w:rsidRPr="000F2C9A" w:rsidRDefault="00994868" w:rsidP="006D5B56">
      <w:pPr>
        <w:pStyle w:val="phgrtextabz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отличие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ингибиторов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ФДЭ5,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которые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усиливают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эффект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оксида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азота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вследствие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замедления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распада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накопления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цГМФ,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Импаза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непосредственно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влияет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выработку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эндотелием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сосудов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оксида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азота.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Результаты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доклинических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клинических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исследований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позволяют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предположить,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что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Импаза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длительном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применении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только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способствует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нормализации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показателей,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характеризующих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сексуальную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сферу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т.ч.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эректильная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функция,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либидо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др.),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улучшает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эндотелиальную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функцию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сосудов.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Импаза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является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препаратом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выбора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пациентов,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страдающих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сердечно-сосудистыми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заболеваниями,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т.к.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влияет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уровень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АД,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оказывает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отрицательного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воздействия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коронарное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кровообращение.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Следует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заметить,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что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ИБС,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как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правило,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выявляется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ЭД,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этим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пациентам,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получающим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большинстве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случаев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донаторы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оксида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азота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(нитраты),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противопоказаны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ингибиторы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ФДЭ5.</w:t>
      </w:r>
    </w:p>
    <w:p w:rsidR="00994868" w:rsidRPr="000F2C9A" w:rsidRDefault="00994868" w:rsidP="006D5B56">
      <w:pPr>
        <w:pStyle w:val="phgrtextabz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Иохимбин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(иохимбина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гидрохлорид)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представляет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собой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алкалоид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из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коры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западно-африканского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дерева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iCs/>
          <w:sz w:val="28"/>
          <w:szCs w:val="28"/>
          <w:lang w:val="ru-RU"/>
        </w:rPr>
        <w:t>Corynanthe</w:t>
      </w:r>
      <w:r w:rsidR="006D5B56" w:rsidRPr="000F2C9A">
        <w:rPr>
          <w:iCs/>
          <w:sz w:val="28"/>
          <w:szCs w:val="28"/>
          <w:lang w:val="ru-RU"/>
        </w:rPr>
        <w:t xml:space="preserve"> </w:t>
      </w:r>
      <w:r w:rsidRPr="000F2C9A">
        <w:rPr>
          <w:iCs/>
          <w:sz w:val="28"/>
          <w:szCs w:val="28"/>
          <w:lang w:val="ru-RU"/>
        </w:rPr>
        <w:t>yohimbe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корней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iCs/>
          <w:sz w:val="28"/>
          <w:szCs w:val="28"/>
          <w:lang w:val="ru-RU"/>
        </w:rPr>
        <w:t>Rauwolfia</w:t>
      </w:r>
      <w:r w:rsidR="006D5B56" w:rsidRPr="000F2C9A">
        <w:rPr>
          <w:iCs/>
          <w:sz w:val="28"/>
          <w:szCs w:val="28"/>
          <w:lang w:val="ru-RU"/>
        </w:rPr>
        <w:t xml:space="preserve"> </w:t>
      </w:r>
      <w:r w:rsidRPr="000F2C9A">
        <w:rPr>
          <w:iCs/>
          <w:sz w:val="28"/>
          <w:szCs w:val="28"/>
          <w:lang w:val="ru-RU"/>
        </w:rPr>
        <w:t>serpentina</w:t>
      </w:r>
      <w:r w:rsidRPr="000F2C9A">
        <w:rPr>
          <w:sz w:val="28"/>
          <w:szCs w:val="28"/>
          <w:lang w:val="ru-RU"/>
        </w:rPr>
        <w:t>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Является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селективным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блокатором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центральных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периферических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пресинаптических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альфа</w:t>
      </w:r>
      <w:r w:rsidRPr="000F2C9A">
        <w:rPr>
          <w:sz w:val="28"/>
          <w:szCs w:val="28"/>
          <w:vertAlign w:val="subscript"/>
          <w:lang w:val="ru-RU"/>
        </w:rPr>
        <w:t>2</w:t>
      </w:r>
      <w:r w:rsidRPr="000F2C9A">
        <w:rPr>
          <w:sz w:val="28"/>
          <w:szCs w:val="28"/>
          <w:lang w:val="ru-RU"/>
        </w:rPr>
        <w:t>-адренорецепторов.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умеренных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дозах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вызывает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вазодилатацию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артерий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малого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таза,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что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способствует</w:t>
      </w:r>
      <w:r w:rsidR="006D5B56" w:rsidRPr="000F2C9A">
        <w:rPr>
          <w:sz w:val="28"/>
          <w:szCs w:val="28"/>
          <w:lang w:val="ru-RU"/>
        </w:rPr>
        <w:t xml:space="preserve"> </w:t>
      </w:r>
      <w:r w:rsidR="00706F17" w:rsidRPr="000F2C9A">
        <w:rPr>
          <w:sz w:val="28"/>
          <w:szCs w:val="28"/>
          <w:lang w:val="ru-RU"/>
        </w:rPr>
        <w:t>улучшению</w:t>
      </w:r>
      <w:r w:rsidR="006D5B56" w:rsidRPr="000F2C9A">
        <w:rPr>
          <w:sz w:val="28"/>
          <w:szCs w:val="28"/>
          <w:lang w:val="ru-RU"/>
        </w:rPr>
        <w:t xml:space="preserve"> </w:t>
      </w:r>
      <w:r w:rsidR="00706F17" w:rsidRPr="000F2C9A">
        <w:rPr>
          <w:sz w:val="28"/>
          <w:szCs w:val="28"/>
          <w:lang w:val="ru-RU"/>
        </w:rPr>
        <w:t>эректильной</w:t>
      </w:r>
      <w:r w:rsidR="006D5B56" w:rsidRPr="000F2C9A">
        <w:rPr>
          <w:sz w:val="28"/>
          <w:szCs w:val="28"/>
          <w:lang w:val="ru-RU"/>
        </w:rPr>
        <w:t xml:space="preserve"> </w:t>
      </w:r>
      <w:r w:rsidR="00706F17" w:rsidRPr="000F2C9A">
        <w:rPr>
          <w:sz w:val="28"/>
          <w:szCs w:val="28"/>
          <w:lang w:val="ru-RU"/>
        </w:rPr>
        <w:t>функции</w:t>
      </w:r>
      <w:r w:rsidRPr="000F2C9A">
        <w:rPr>
          <w:sz w:val="28"/>
          <w:szCs w:val="28"/>
          <w:lang w:val="ru-RU"/>
        </w:rPr>
        <w:t>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стимулирует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сперматогенез.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За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счет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действия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ЦНС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улучшает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настроение,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повышает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двигательную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активность,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сексуальное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влечение,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может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усиливать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тревожность.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Вышеперечисленные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свойства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позволяют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применять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препарат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для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профилактики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лечения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психогенной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формы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эректильной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дисфункции,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также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качестве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общеукрепляющего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средства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для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мужчин.</w:t>
      </w:r>
    </w:p>
    <w:p w:rsidR="00994868" w:rsidRPr="000F2C9A" w:rsidRDefault="00994868" w:rsidP="006D5B56">
      <w:pPr>
        <w:pStyle w:val="phgrtextabz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Основно</w:t>
      </w:r>
      <w:r w:rsidR="00C16287" w:rsidRPr="000F2C9A">
        <w:rPr>
          <w:sz w:val="28"/>
          <w:szCs w:val="28"/>
          <w:lang w:val="ru-RU"/>
        </w:rPr>
        <w:t>й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механизм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действия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фентоламина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—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неселективная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блокада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постсинаптических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альфа</w:t>
      </w:r>
      <w:r w:rsidRPr="000F2C9A">
        <w:rPr>
          <w:sz w:val="28"/>
          <w:szCs w:val="28"/>
          <w:vertAlign w:val="subscript"/>
          <w:lang w:val="ru-RU"/>
        </w:rPr>
        <w:t>1</w:t>
      </w:r>
      <w:r w:rsidRPr="000F2C9A">
        <w:rPr>
          <w:sz w:val="28"/>
          <w:szCs w:val="28"/>
          <w:lang w:val="ru-RU"/>
        </w:rPr>
        <w:t>-адренорецепторов,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что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приводит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нарушению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передачи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адренергических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сосудосуживающих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импульсов.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За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счет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этого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фентоламин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главным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образом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действует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как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блокатор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детумесценции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чаще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используется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комбинациях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(см.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далее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папаверин).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Применяется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виде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интракавернозных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инъекций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таблетках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перорально.</w:t>
      </w:r>
    </w:p>
    <w:p w:rsidR="00994868" w:rsidRPr="000F2C9A" w:rsidRDefault="00C16287" w:rsidP="006D5B56">
      <w:pPr>
        <w:pStyle w:val="phgrtextabz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Алпростадил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—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аналог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простагландина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Е,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применяется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местно.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При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интракавернозном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или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интрауретральном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введении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оказывает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расслабляющее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действие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на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гладкую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мускулатуру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кавернозных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тел,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способствует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увеличению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кровотока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улучшению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микроциркуляции,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что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приводит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адекватной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эрекции.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Не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оказывает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влияния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на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эякуляцию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оплодотворение.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Один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из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вероятных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механизмов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действия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препарата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обусловлен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способностью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алпростадила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связываться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со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специфическими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рецепторами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на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поверхности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клетки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изменять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активность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аденилатциклазы.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Это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приводит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повышению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концентрации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цАМФ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клетках,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уменьшению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содержания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свободного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внутриклеточного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кальция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расслаблению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волокон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гладких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мышц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кавернозных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артерий,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что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способствует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улучшению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функционирования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веноокклюзионного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механизма.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другой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стороны,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алпростадил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является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антагонистом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соединений,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участвующих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передаче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нервных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импульсов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альфа-адренергических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синапсах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подавляет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пресинаптический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выброс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норадреналина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кавернозные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тела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полового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члена.</w:t>
      </w:r>
    </w:p>
    <w:p w:rsidR="00994868" w:rsidRPr="000F2C9A" w:rsidRDefault="00994868" w:rsidP="006D5B56">
      <w:pPr>
        <w:pStyle w:val="phgrtextabz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Алпростадил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интрауретральном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введении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абсорбируется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слизистой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оболочки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уретры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губчатое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тело.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Эффекты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развиваются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течение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5–10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мин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после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введения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продолжаются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30–60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мин.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Часть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введенной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дозы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распределяется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пещеристые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тела</w:t>
      </w:r>
      <w:r w:rsidR="00C16287" w:rsidRPr="000F2C9A">
        <w:rPr>
          <w:sz w:val="28"/>
          <w:szCs w:val="28"/>
          <w:lang w:val="ru-RU"/>
        </w:rPr>
        <w:t>,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остаток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—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венозную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сеть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промежности;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попавший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центральный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венозный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кровоток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алпростадил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почти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полностью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выводится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из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системной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циркуляции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легкими;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T</w:t>
      </w:r>
      <w:r w:rsidRPr="000F2C9A">
        <w:rPr>
          <w:sz w:val="28"/>
          <w:szCs w:val="28"/>
          <w:vertAlign w:val="subscript"/>
          <w:lang w:val="ru-RU"/>
        </w:rPr>
        <w:t>1/2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—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0,5–1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мин.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Метаболизируется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образованием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различных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производных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ПГЕ</w:t>
      </w:r>
      <w:r w:rsidRPr="000F2C9A">
        <w:rPr>
          <w:sz w:val="28"/>
          <w:szCs w:val="28"/>
          <w:vertAlign w:val="subscript"/>
          <w:lang w:val="ru-RU"/>
        </w:rPr>
        <w:t>1</w:t>
      </w:r>
      <w:r w:rsidRPr="000F2C9A">
        <w:rPr>
          <w:sz w:val="28"/>
          <w:szCs w:val="28"/>
          <w:lang w:val="ru-RU"/>
        </w:rPr>
        <w:t>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Применяется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непосредственно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перед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половым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актом.</w:t>
      </w:r>
    </w:p>
    <w:p w:rsidR="00994868" w:rsidRPr="000F2C9A" w:rsidRDefault="00994868" w:rsidP="006D5B56">
      <w:pPr>
        <w:pStyle w:val="phgrtextabz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Одновременное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применение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алпростадила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другими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препаратами,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вводимыми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кавернозные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тела,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может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привести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затягиванию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эрекции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или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приапизму.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затянувшейся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эрекции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может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привести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также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одновременное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применение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алпростадила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миотропными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спазмолитиками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(папаверин,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бендазол)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альфа-адреноблокаторами.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Алпростадил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может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усиливать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действие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гипотензивных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сосудорасширяющих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средств.</w:t>
      </w:r>
    </w:p>
    <w:p w:rsidR="00994868" w:rsidRPr="000F2C9A" w:rsidRDefault="00994868" w:rsidP="006D5B56">
      <w:pPr>
        <w:pStyle w:val="phgrtextabz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Показания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назначению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препаратов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из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основных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групп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регуляторов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потенции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общие: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эректильная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дисфункция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нейрогенной,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сосудистой,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психогенной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или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смешанной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этиологии.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Алпростадил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также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используется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для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проведения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фармакологической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пробы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комплексе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диагностических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тестов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нарушениях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эрекции.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Препараты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сложного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состава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чаще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применяются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психогенной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ЭД,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снижении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половой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активности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пожилом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возрасте.</w:t>
      </w:r>
    </w:p>
    <w:p w:rsidR="00994868" w:rsidRPr="000F2C9A" w:rsidRDefault="00994868" w:rsidP="006D5B56">
      <w:pPr>
        <w:pStyle w:val="phgrtextabz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Регуляторы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потенции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обладают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рядом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общих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для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всей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группы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побочных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эффектов.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числу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относятся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головная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боль,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головокружение,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кожная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сыпь;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приапизм.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Кроме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этого,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применении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ингибиторов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ФДЭ5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наблюдаются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приливы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крови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лицу,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нарушение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зрения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приеме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силденафила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цитрата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варденафила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(изменение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цветовосприятия,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повышение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чувствительности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свету,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затуманивание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зрения),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заложенность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носа.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применении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иохимбина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(иохимбина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гидрохлорида)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возможно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развитие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гипертензии,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тахикардии,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ортостатического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коллапса,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возбуждения,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тремора,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раздражительности,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тревожности,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может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наблюдаться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уменьшение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диуреза.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Применение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алпростадила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может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сопровождаться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болью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половом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члене,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кровотечениями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из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уретры,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недержанием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мочи,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болями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области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таза,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поясницы,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живота;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месте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инъекции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возможно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появление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гематомы,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развитие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зуда,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отека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воспаления.</w:t>
      </w:r>
    </w:p>
    <w:p w:rsidR="00994868" w:rsidRPr="000F2C9A" w:rsidRDefault="00994868" w:rsidP="006D5B56">
      <w:pPr>
        <w:pStyle w:val="phgrtextabz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Меньшее,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сравнению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ингибиторами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ФДЭ5,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иохимбином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алпростадилом,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значение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терапии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ЭД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имеют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андроген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тестостерон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миотропное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средство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папаверин.</w:t>
      </w:r>
    </w:p>
    <w:p w:rsidR="00994868" w:rsidRPr="000F2C9A" w:rsidRDefault="00C16287" w:rsidP="006D5B56">
      <w:pPr>
        <w:pStyle w:val="phgrtextabz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Тестостерон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—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естественный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биологически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активный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андроген.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Его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перпараты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применяются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для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заместительной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терапии.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Существуют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как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инъекционные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формы,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так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пероральные.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Показанием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применению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является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эректильная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дисфункция,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вызванная</w:t>
      </w:r>
      <w:r w:rsidR="006D5B56" w:rsidRPr="000F2C9A">
        <w:rPr>
          <w:sz w:val="28"/>
          <w:szCs w:val="28"/>
          <w:lang w:val="ru-RU"/>
        </w:rPr>
        <w:t xml:space="preserve"> </w:t>
      </w:r>
      <w:r w:rsidR="00994868" w:rsidRPr="000F2C9A">
        <w:rPr>
          <w:sz w:val="28"/>
          <w:szCs w:val="28"/>
          <w:lang w:val="ru-RU"/>
        </w:rPr>
        <w:t>гипогонадизмом.</w:t>
      </w:r>
    </w:p>
    <w:p w:rsidR="00994868" w:rsidRPr="000F2C9A" w:rsidRDefault="00994868" w:rsidP="006D5B56">
      <w:pPr>
        <w:pStyle w:val="phgrtextabz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Папаверин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применяется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для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интракавернозных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инъекций;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используются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высокие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концентрации,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которых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проявляется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двойной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гемодинамический</w:t>
      </w:r>
      <w:r w:rsidR="006D5B56" w:rsidRPr="000F2C9A">
        <w:rPr>
          <w:sz w:val="28"/>
          <w:szCs w:val="28"/>
          <w:lang w:val="ru-RU"/>
        </w:rPr>
        <w:t xml:space="preserve"> </w:t>
      </w:r>
      <w:r w:rsidR="00C16287" w:rsidRPr="000F2C9A">
        <w:rPr>
          <w:sz w:val="28"/>
          <w:szCs w:val="28"/>
          <w:lang w:val="ru-RU"/>
        </w:rPr>
        <w:t>эффект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—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расширение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пенильных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артерий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сужение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вен,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что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приводит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активации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веноокклюзионного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механизма.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Кроме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этого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папаверин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является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неселективным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ингибитором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фосфодиэстеразы.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применении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высоких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концентрациях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проявляются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побочные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эффекты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папаверина: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развитие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кавернозного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фиброза,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приапизм,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гепатотоксичность,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системное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действие.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целью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снижения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риска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приапизма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кавернозного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фиброза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используют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комбинации: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папаверин+фентоламин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(бимикс),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папаверин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+фентоламин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+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алпростадил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(тримикс).</w:t>
      </w:r>
    </w:p>
    <w:p w:rsidR="00994868" w:rsidRPr="000F2C9A" w:rsidRDefault="00994868" w:rsidP="006D5B56">
      <w:pPr>
        <w:pStyle w:val="phgrtextabz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F2C9A">
        <w:rPr>
          <w:sz w:val="28"/>
          <w:szCs w:val="28"/>
          <w:lang w:val="ru-RU"/>
        </w:rPr>
        <w:t>Продолжает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изучаться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влияние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процесс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эрекции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ВИПа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(вазоинтестинальный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пептид)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—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нейротрансмиттера,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обеспечивающего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расширение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сосудов.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При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интракавернозном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введении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влияет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на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тумесценцию,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поэтому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должен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использоваться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только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в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сочетании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с</w:t>
      </w:r>
      <w:r w:rsidR="006D5B56" w:rsidRPr="000F2C9A">
        <w:rPr>
          <w:sz w:val="28"/>
          <w:szCs w:val="28"/>
          <w:lang w:val="ru-RU"/>
        </w:rPr>
        <w:t xml:space="preserve"> </w:t>
      </w:r>
      <w:r w:rsidRPr="000F2C9A">
        <w:rPr>
          <w:sz w:val="28"/>
          <w:szCs w:val="28"/>
          <w:lang w:val="ru-RU"/>
        </w:rPr>
        <w:t>фентоламином.</w:t>
      </w:r>
    </w:p>
    <w:sectPr w:rsidR="00994868" w:rsidRPr="000F2C9A" w:rsidSect="006D5B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31E9" w:rsidRDefault="003A31E9" w:rsidP="00F1591A">
      <w:pPr>
        <w:spacing w:after="0" w:line="240" w:lineRule="auto"/>
      </w:pPr>
      <w:r>
        <w:separator/>
      </w:r>
    </w:p>
  </w:endnote>
  <w:endnote w:type="continuationSeparator" w:id="0">
    <w:p w:rsidR="003A31E9" w:rsidRDefault="003A31E9" w:rsidP="00F1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31E9" w:rsidRDefault="003A31E9" w:rsidP="00F1591A">
      <w:pPr>
        <w:spacing w:after="0" w:line="240" w:lineRule="auto"/>
      </w:pPr>
      <w:r>
        <w:separator/>
      </w:r>
    </w:p>
  </w:footnote>
  <w:footnote w:type="continuationSeparator" w:id="0">
    <w:p w:rsidR="003A31E9" w:rsidRDefault="003A31E9" w:rsidP="00F15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4F7C"/>
    <w:multiLevelType w:val="multilevel"/>
    <w:tmpl w:val="17FA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CB38AA"/>
    <w:multiLevelType w:val="multilevel"/>
    <w:tmpl w:val="34F0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A1754B"/>
    <w:multiLevelType w:val="multilevel"/>
    <w:tmpl w:val="389C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AD340E2"/>
    <w:multiLevelType w:val="hybridMultilevel"/>
    <w:tmpl w:val="AF3C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1B3C4E"/>
    <w:multiLevelType w:val="hybridMultilevel"/>
    <w:tmpl w:val="9C342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E6F99"/>
    <w:multiLevelType w:val="multilevel"/>
    <w:tmpl w:val="2898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4F5419"/>
    <w:multiLevelType w:val="multilevel"/>
    <w:tmpl w:val="39A0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6D"/>
    <w:rsid w:val="0000646E"/>
    <w:rsid w:val="00035CB8"/>
    <w:rsid w:val="00066E75"/>
    <w:rsid w:val="00082E65"/>
    <w:rsid w:val="00083233"/>
    <w:rsid w:val="000B5E34"/>
    <w:rsid w:val="000D75EE"/>
    <w:rsid w:val="000F2C9A"/>
    <w:rsid w:val="001062A1"/>
    <w:rsid w:val="001177C1"/>
    <w:rsid w:val="001C2C24"/>
    <w:rsid w:val="002B3C8D"/>
    <w:rsid w:val="002D1DDD"/>
    <w:rsid w:val="002E24AE"/>
    <w:rsid w:val="003255F9"/>
    <w:rsid w:val="00381A78"/>
    <w:rsid w:val="003A31E9"/>
    <w:rsid w:val="003A756D"/>
    <w:rsid w:val="00420F77"/>
    <w:rsid w:val="004355F8"/>
    <w:rsid w:val="00460341"/>
    <w:rsid w:val="0047613E"/>
    <w:rsid w:val="00496D25"/>
    <w:rsid w:val="004A5A2C"/>
    <w:rsid w:val="004D0CDB"/>
    <w:rsid w:val="004D3DE9"/>
    <w:rsid w:val="00526BBA"/>
    <w:rsid w:val="00572475"/>
    <w:rsid w:val="00577D12"/>
    <w:rsid w:val="005A4319"/>
    <w:rsid w:val="005D4056"/>
    <w:rsid w:val="00647A6C"/>
    <w:rsid w:val="00671706"/>
    <w:rsid w:val="006C3E9E"/>
    <w:rsid w:val="006D5B56"/>
    <w:rsid w:val="006E21C4"/>
    <w:rsid w:val="00704361"/>
    <w:rsid w:val="00706F17"/>
    <w:rsid w:val="00731E58"/>
    <w:rsid w:val="007421BE"/>
    <w:rsid w:val="00824D20"/>
    <w:rsid w:val="0082550E"/>
    <w:rsid w:val="00842F4E"/>
    <w:rsid w:val="008460D0"/>
    <w:rsid w:val="00860D1F"/>
    <w:rsid w:val="0086330E"/>
    <w:rsid w:val="00865613"/>
    <w:rsid w:val="008711E2"/>
    <w:rsid w:val="008F2570"/>
    <w:rsid w:val="00917F1C"/>
    <w:rsid w:val="00924923"/>
    <w:rsid w:val="00930F1D"/>
    <w:rsid w:val="00971C5E"/>
    <w:rsid w:val="00994868"/>
    <w:rsid w:val="009C098D"/>
    <w:rsid w:val="009D1728"/>
    <w:rsid w:val="009E63FC"/>
    <w:rsid w:val="00A7395B"/>
    <w:rsid w:val="00AC50B5"/>
    <w:rsid w:val="00AD125E"/>
    <w:rsid w:val="00AF43CC"/>
    <w:rsid w:val="00BD0368"/>
    <w:rsid w:val="00C16287"/>
    <w:rsid w:val="00C23827"/>
    <w:rsid w:val="00D75C6C"/>
    <w:rsid w:val="00DA19E9"/>
    <w:rsid w:val="00DC29A1"/>
    <w:rsid w:val="00E10441"/>
    <w:rsid w:val="00E145D1"/>
    <w:rsid w:val="00E16345"/>
    <w:rsid w:val="00E34020"/>
    <w:rsid w:val="00E64621"/>
    <w:rsid w:val="00E83FED"/>
    <w:rsid w:val="00E9649C"/>
    <w:rsid w:val="00EA723E"/>
    <w:rsid w:val="00EE0F69"/>
    <w:rsid w:val="00EE19F6"/>
    <w:rsid w:val="00F1591A"/>
    <w:rsid w:val="00F57C9B"/>
    <w:rsid w:val="00FE3C95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A0CB0-0D5C-4C29-9B9F-D23F2255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4020"/>
    <w:pPr>
      <w:spacing w:after="200" w:line="276" w:lineRule="auto"/>
    </w:pPr>
    <w:rPr>
      <w:rFonts w:cs="Times New Roman"/>
      <w:sz w:val="22"/>
      <w:szCs w:val="22"/>
      <w:lang w:val="uk-UA" w:eastAsia="en-US"/>
    </w:rPr>
  </w:style>
  <w:style w:type="paragraph" w:styleId="1">
    <w:name w:val="heading 1"/>
    <w:basedOn w:val="a"/>
    <w:link w:val="10"/>
    <w:qFormat/>
    <w:rsid w:val="00D75C6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qFormat/>
    <w:rsid w:val="0008323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D75C6C"/>
    <w:rPr>
      <w:rFonts w:ascii="Times New Roman" w:hAnsi="Times New Roman" w:cs="Times New Roman"/>
      <w:b/>
      <w:bCs/>
      <w:kern w:val="36"/>
      <w:sz w:val="48"/>
      <w:szCs w:val="48"/>
      <w:lang w:val="x-none" w:eastAsia="uk-UA"/>
    </w:rPr>
  </w:style>
  <w:style w:type="character" w:customStyle="1" w:styleId="20">
    <w:name w:val="Заголовок 2 Знак"/>
    <w:basedOn w:val="a0"/>
    <w:link w:val="2"/>
    <w:semiHidden/>
    <w:locked/>
    <w:rsid w:val="000832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rsid w:val="00D75C6C"/>
    <w:rPr>
      <w:rFonts w:cs="Times New Roman"/>
      <w:color w:val="0000FF"/>
      <w:u w:val="single"/>
    </w:rPr>
  </w:style>
  <w:style w:type="character" w:customStyle="1" w:styleId="nlmx">
    <w:name w:val="nlm_x"/>
    <w:basedOn w:val="a0"/>
    <w:rsid w:val="00D75C6C"/>
    <w:rPr>
      <w:rFonts w:cs="Times New Roman"/>
    </w:rPr>
  </w:style>
  <w:style w:type="character" w:customStyle="1" w:styleId="nlmxref-aff">
    <w:name w:val="nlm_xref-aff"/>
    <w:basedOn w:val="a0"/>
    <w:rsid w:val="00D75C6C"/>
    <w:rPr>
      <w:rFonts w:cs="Times New Roman"/>
    </w:rPr>
  </w:style>
  <w:style w:type="character" w:customStyle="1" w:styleId="searchterm0">
    <w:name w:val="searchterm0"/>
    <w:basedOn w:val="a0"/>
    <w:rsid w:val="00D75C6C"/>
    <w:rPr>
      <w:rFonts w:cs="Times New Roman"/>
    </w:rPr>
  </w:style>
  <w:style w:type="paragraph" w:customStyle="1" w:styleId="ListParagraph">
    <w:name w:val="List Paragraph"/>
    <w:basedOn w:val="a"/>
    <w:rsid w:val="003255F9"/>
    <w:pPr>
      <w:ind w:left="720"/>
      <w:contextualSpacing/>
    </w:pPr>
    <w:rPr>
      <w:lang w:val="ru-RU"/>
    </w:rPr>
  </w:style>
  <w:style w:type="paragraph" w:customStyle="1" w:styleId="NoSpacing">
    <w:name w:val="No Spacing"/>
    <w:rsid w:val="00082E65"/>
    <w:rPr>
      <w:rFonts w:cs="Times New Roman"/>
      <w:sz w:val="22"/>
      <w:szCs w:val="22"/>
      <w:lang w:eastAsia="en-US"/>
    </w:rPr>
  </w:style>
  <w:style w:type="paragraph" w:styleId="a4">
    <w:name w:val="Normal (Web)"/>
    <w:basedOn w:val="a"/>
    <w:rsid w:val="00647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mw-headline">
    <w:name w:val="mw-headline"/>
    <w:basedOn w:val="a0"/>
    <w:rsid w:val="00083233"/>
    <w:rPr>
      <w:rFonts w:cs="Times New Roman"/>
    </w:rPr>
  </w:style>
  <w:style w:type="character" w:styleId="a5">
    <w:name w:val="Emphasis"/>
    <w:basedOn w:val="a0"/>
    <w:qFormat/>
    <w:rsid w:val="00083233"/>
    <w:rPr>
      <w:rFonts w:cs="Times New Roman"/>
      <w:i/>
      <w:iCs/>
    </w:rPr>
  </w:style>
  <w:style w:type="paragraph" w:customStyle="1" w:styleId="vr2">
    <w:name w:val="vr2"/>
    <w:basedOn w:val="a"/>
    <w:rsid w:val="008656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impletext">
    <w:name w:val="simple_text"/>
    <w:basedOn w:val="a"/>
    <w:rsid w:val="008656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black">
    <w:name w:val="bold_black"/>
    <w:basedOn w:val="a0"/>
    <w:rsid w:val="00865613"/>
    <w:rPr>
      <w:rFonts w:cs="Times New Roman"/>
    </w:rPr>
  </w:style>
  <w:style w:type="paragraph" w:customStyle="1" w:styleId="boldblack1">
    <w:name w:val="bold_black1"/>
    <w:basedOn w:val="a"/>
    <w:rsid w:val="008656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sub">
    <w:name w:val="sub"/>
    <w:basedOn w:val="a0"/>
    <w:rsid w:val="00865613"/>
    <w:rPr>
      <w:rFonts w:cs="Times New Roman"/>
    </w:rPr>
  </w:style>
  <w:style w:type="paragraph" w:customStyle="1" w:styleId="phgrtext">
    <w:name w:val="phgr_text"/>
    <w:basedOn w:val="a"/>
    <w:rsid w:val="009948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phgrtextabz">
    <w:name w:val="phgr_text_abz"/>
    <w:basedOn w:val="a"/>
    <w:rsid w:val="009948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header"/>
    <w:basedOn w:val="a"/>
    <w:link w:val="a7"/>
    <w:rsid w:val="00F1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locked/>
    <w:rsid w:val="00F1591A"/>
    <w:rPr>
      <w:rFonts w:cs="Times New Roman"/>
    </w:rPr>
  </w:style>
  <w:style w:type="paragraph" w:styleId="a8">
    <w:name w:val="footer"/>
    <w:basedOn w:val="a"/>
    <w:link w:val="a9"/>
    <w:semiHidden/>
    <w:rsid w:val="00F1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locked/>
    <w:rsid w:val="00F159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"Простатопротекторы</vt:lpstr>
    </vt:vector>
  </TitlesOfParts>
  <Company>Microsoft</Company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"Простатопротекторы</dc:title>
  <dc:subject/>
  <dc:creator>tanya</dc:creator>
  <cp:keywords/>
  <dc:description/>
  <cp:lastModifiedBy>Igor</cp:lastModifiedBy>
  <cp:revision>3</cp:revision>
  <dcterms:created xsi:type="dcterms:W3CDTF">2024-11-12T09:47:00Z</dcterms:created>
  <dcterms:modified xsi:type="dcterms:W3CDTF">2024-11-12T09:47:00Z</dcterms:modified>
</cp:coreProperties>
</file>