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599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МИНИСТЕРСТВО ОБРАЗОВАНИЯ И НАУКИ РОССИЙСКОЙ ФЕДЕРАЦИИ</w:t>
      </w:r>
    </w:p>
    <w:p w14:paraId="3752EBD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Федеральное Государственное бюджетное образовательное учреждение</w:t>
      </w:r>
    </w:p>
    <w:p w14:paraId="032E5A9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высшего профессионального образования</w:t>
      </w:r>
    </w:p>
    <w:p w14:paraId="24572C2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«КУБАНСКИЙ ГОСУДАРСТВЕННЫЙ УНИВЕРСИТЕТ»</w:t>
      </w:r>
    </w:p>
    <w:p w14:paraId="3F44A17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Кафедра генетики, микробиологии и биотехнологии</w:t>
      </w:r>
    </w:p>
    <w:p w14:paraId="46F33AE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C27A69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82F575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B37302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F3FFA5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473233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019A48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2C9C2C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1434B0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ПУСКНАЯ КВАЛИФИКАЦИОННАЯ РАБОТА</w:t>
      </w:r>
    </w:p>
    <w:p w14:paraId="6DA21E7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ЭТИОЛОГИЧЕСКОЕ ЗНАЧЕНИЕ ВОЗБУДИТЕЛЕЙ РОДОВ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СТРУКТУРЕ ГОСПИТАЛЬНЫХ ВАРИАНТОВ ИНФЕКЦИИ ХИРУРГИЧЕСКИХ И ОЖОГОВОГО ОТДЕЛЕНИЯ ККБ №1</w:t>
      </w:r>
    </w:p>
    <w:p w14:paraId="7F787E2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C8D330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FEB73A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6C18F6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Работу выполнила</w:t>
      </w:r>
    </w:p>
    <w:p w14:paraId="2AA787A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Шеремук Д.Х.</w:t>
      </w:r>
    </w:p>
    <w:p w14:paraId="780B3F8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291B4B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Содержание</w:t>
      </w:r>
    </w:p>
    <w:p w14:paraId="0ACE24F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16C43AA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Введение</w:t>
      </w:r>
    </w:p>
    <w:p w14:paraId="516C8BE0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Аналити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ческий обзор</w:t>
      </w:r>
    </w:p>
    <w:p w14:paraId="4C3EF647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Понятие, природа и структура внутрибольничных инфекций</w:t>
      </w:r>
    </w:p>
    <w:p w14:paraId="267ADCD5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Основные возбудители ВБИ в ожоговых отделениях и отделениях гнойной хирургии</w:t>
      </w:r>
    </w:p>
    <w:p w14:paraId="5276A574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.2.1 Стафиликокки</w:t>
      </w:r>
    </w:p>
    <w:p w14:paraId="2CB63752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.2.2 Стрептококки</w:t>
      </w:r>
    </w:p>
    <w:p w14:paraId="65751902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.2.3 Псевдомонады</w:t>
      </w:r>
    </w:p>
    <w:p w14:paraId="584D41DC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.2.4 Эшерихии</w:t>
      </w:r>
    </w:p>
    <w:p w14:paraId="26E4707C" w14:textId="77777777" w:rsidR="00000000" w:rsidRDefault="0011776C">
      <w:pPr>
        <w:widowControl w:val="0"/>
        <w:tabs>
          <w:tab w:val="left" w:pos="851"/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1.2.5 Бактерии группы клебсиелла-энте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робактер-серрация (КЭС)</w:t>
      </w:r>
    </w:p>
    <w:p w14:paraId="24BC1D8A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1.2.6 Бактерии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</w:p>
    <w:p w14:paraId="5FC5FE77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Материал и методы исследования</w:t>
      </w:r>
    </w:p>
    <w:p w14:paraId="49BFF212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Объекты исследования</w:t>
      </w:r>
    </w:p>
    <w:p w14:paraId="63B68A62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Среды для культивирования микроорганизмов</w:t>
      </w:r>
    </w:p>
    <w:p w14:paraId="6CE7B661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Выявление возбудителей с объектов внешней среды</w:t>
      </w:r>
    </w:p>
    <w:p w14:paraId="104C8CD8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Методы идентификации микроорганизмов</w:t>
      </w:r>
    </w:p>
    <w:p w14:paraId="63C3F9A2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.4.1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Идентификация бактерии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Staphylococcus</w:t>
      </w:r>
    </w:p>
    <w:p w14:paraId="704C9A69" w14:textId="77777777" w:rsidR="00000000" w:rsidRDefault="0011776C">
      <w:pPr>
        <w:widowControl w:val="0"/>
        <w:tabs>
          <w:tab w:val="left" w:pos="1620"/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2.4.2 Идентификация бактерии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Enterobacteriaceae</w:t>
      </w:r>
    </w:p>
    <w:p w14:paraId="45CC90D3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2.4.3 Идентификация бактерии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</w:p>
    <w:p w14:paraId="53DCD108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.4.4 Идентификация бактерии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</w:p>
    <w:p w14:paraId="594C0CB3" w14:textId="77777777" w:rsidR="00000000" w:rsidRDefault="0011776C">
      <w:pPr>
        <w:widowControl w:val="0"/>
        <w:tabs>
          <w:tab w:val="left" w:pos="1665"/>
          <w:tab w:val="left" w:pos="1950"/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2.5 Статистическая обработка результатов</w:t>
      </w:r>
    </w:p>
    <w:p w14:paraId="55902557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3. Этиологическое значение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возбудителей родов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структуре госпитальных вариантах инфекции хирургических и ожогового отделения ККБ №1</w:t>
      </w:r>
    </w:p>
    <w:p w14:paraId="15F54D2E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Заключение</w:t>
      </w:r>
    </w:p>
    <w:p w14:paraId="7E9E97A1" w14:textId="77777777" w:rsidR="00000000" w:rsidRDefault="0011776C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Библиографический список</w:t>
      </w:r>
    </w:p>
    <w:p w14:paraId="252BE4F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Введение</w:t>
      </w:r>
    </w:p>
    <w:p w14:paraId="1FFC8E2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6E682F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настоящее время среди госпитальных инфекций на первое место выходят инф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екции, вызываемые грамотрицательной микрофлорой (псевдомонады, протеи, энтеробактерий, неферментирующие бактерий [Яфаев, Зуева, 1989]. </w:t>
      </w:r>
    </w:p>
    <w:p w14:paraId="443B809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Проведенные исследования в Кемеровском медицинском институте показывают, что роль синегнойной палочки, как возбудителя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БИ в последние годы резко увеличилась. Ряд ожоговых и хирургических стационаров могли бы быть эндемичными по этому возбудителю, который обладает высокой устойчивостью ультрафиолетовому излучению, многим традиционным антисептикам, а так же ко многим антибак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териальным препаратам и может быстро формировать госпитальные штаммы [Егорова, 2011].</w:t>
      </w:r>
    </w:p>
    <w:p w14:paraId="39C2186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За последние годы был отмечен отчетливый рост частоты нозокомиальных инфекций, вызванных микроорганизмами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Наличие ацинетобактерий в ране приводит у 80</w:t>
      </w:r>
      <w:r>
        <w:rPr>
          <w:rFonts w:ascii="Times New Roman CYR" w:hAnsi="Times New Roman CYR" w:cs="Times New Roman CYR"/>
          <w:kern w:val="1"/>
          <w:sz w:val="28"/>
          <w:szCs w:val="28"/>
        </w:rPr>
        <w:t>% пациентов к трофическим нарушениям.</w:t>
      </w:r>
    </w:p>
    <w:p w14:paraId="662EC33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Значительная доля выделенных микроорганизмов являются представителями семейства Enterobacteriaceае, особенно это касается отделения гнойной хирургии. Это подчеркивает возросшую роль энтеробактерий в качестве возбудител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ей ВБИ, в том числе и гнойно-септических. В 50% случаев именно эти микроорганизмы служат причиной распространения в ЛПУ внутрибольничных инфекций, так как условно-патогенные энтеробактерий могут вызвать воспалительные процессы любой локализации: пиелонефри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т, перитонит, панкреатит, конъюнктивит, пневмонию, неврит, сепсис, менингит и др. Наиболее часто энтеробактерий выделяют в отделениях хирургического профиля, в том числе в отделении гнойной хирургии [Рыбальченко, 2003].</w:t>
      </w:r>
    </w:p>
    <w:p w14:paraId="2B03FDB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связи со сложившейся ситуацией пер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ед больничной гигиеной стоит задача: распространить накопленный опыт медицинских наук - гигиены,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микробиологии и эпидемиологии и препятствовать возникновению госпитальных инфекций у больных и обслуживающего персонала [Верещагина, 2005].</w:t>
      </w:r>
    </w:p>
    <w:p w14:paraId="5329C63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Целью этой работы б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ыло изучение этиологической роли возбудителей родов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структуре госпитальных вариантов инфекций хирургических и ожогового отделения ККБ №1. </w:t>
      </w:r>
    </w:p>
    <w:p w14:paraId="04A66A0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Задачи данной работы:</w:t>
      </w:r>
    </w:p>
    <w:p w14:paraId="7F3D4E0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а) выявить наиболее часто встречаемых возбудителей гнойно-септиче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ских внутрибольничных инфекций в двух изучаемых отделениях за июнь-июль 2013 года;</w:t>
      </w:r>
    </w:p>
    <w:p w14:paraId="6DE8309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б) сравнить частоту выявления основных возбудителей ГСИ в ожоговом отделении и отделении гнойной хирургии, а также в реанимационных отделениях;</w:t>
      </w:r>
    </w:p>
    <w:p w14:paraId="7F9C47F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в) установить этиологическую 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роль Г- возбудителей ГСИ в изучаемых отделениях и реанимационных отделениях;</w:t>
      </w:r>
    </w:p>
    <w:p w14:paraId="2981194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г) определить этиологическую роль возбудителей родов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двух изучаемых отделениях;</w:t>
      </w:r>
    </w:p>
    <w:p w14:paraId="58B4B20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д) оценить роль и частоту микробных ассоциаций.</w:t>
      </w:r>
    </w:p>
    <w:p w14:paraId="271FB26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60CFCA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1. Аналитический 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зор</w:t>
      </w:r>
    </w:p>
    <w:p w14:paraId="3B45729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2495E6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Понятие, природа и структура внутрибольничных инфекций</w:t>
      </w:r>
    </w:p>
    <w:p w14:paraId="03B83A1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D994AB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Согласно определению ВОЗ, «внутрибольничная инфекция - это любое клиническое выраженное заболевание микробного происхождения, поражающее больного в результате госпитализации или посещения лече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бного учреждения с целью лечения, а также больничный персонал в силу осуществления им деятельности, независимо от того, проявляются или не проявляются симптомы этого заболевания во время нахождения данных лиц в больнице».</w:t>
      </w:r>
    </w:p>
    <w:p w14:paraId="0CD4177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данным Васильева В.С. с соавтор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ами [1993], до 30-35% хирургических вмешательств осложняется внутрибольничными инфекциями. Эти же инфекции причиной послеоперационной летальности. До 90% летальных исходов прямо или косвенно обусловлены оппортунистическими инфекциями [Ковальчук, Ганковская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Мешкова, 2012].</w:t>
      </w:r>
    </w:p>
    <w:p w14:paraId="3F94E08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Актуальная проблема лечения помимо основного заболевания это лечение сопутствующих оппортунистических инфекций. В связи ослабления иммунитета они выступают на передний план и играют главную роль в исходе основного заболевания [Ковальчук,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Ганковская, Мешкова, 2012].</w:t>
      </w:r>
    </w:p>
    <w:p w14:paraId="4D77ADD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Этиологическая природа внутрибольничных инфекций определяется широким кругом микроорганизмов (по современным данным более 300), который включает в себя как патогенную, так и условно-патогенную флору, граница между которыми часто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достаточно размыта [Медицинская микробиология, вирусология и иммунология, 2011].</w:t>
      </w:r>
    </w:p>
    <w:p w14:paraId="0355979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Внутрибольничная инфекция обусловлена активностью тех классов микрофлоры, которая, во-первых, встречается повсеместно и, во-вторых, характерна отчетливо выраженной тенденцие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к распространению [Акимкин, 1997].</w:t>
      </w:r>
    </w:p>
    <w:p w14:paraId="05A4ED9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Так исследования, динамики микробной этиологии, Омской городской клинической больнице №1 им. А.М. Кабанова, выявили уменьшение частоты выделения представителей родов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(с 67% до 37%),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Enterococcus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(с 8 до 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%). Наиболее частыми возбудителями нозокомиальных инфекций являлись грамотрицательные микроорганизмы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(10,9%),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(9,2%),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Enterobacteriacea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(23%), возросла высеваемость грибов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[Попова, Чеснокова, Стасенко, 2007].</w:t>
      </w:r>
    </w:p>
    <w:p w14:paraId="233CB2F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еди причин объясняющих эту агрессивность, отметим значительную, природную и приобретенную устойчивость такой микрофлоры к повреждающим физическим и химическим факторам окружающей среды, относительную непритязательность в процессе роста и размножения, тесно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родство с нормальной микрофлорой, высокую контагиозность, выраженную способность к формированию устойчивости к антимикробным препаратам, порой разное «поведение»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[Щербо, 2000]. </w:t>
      </w:r>
    </w:p>
    <w:p w14:paraId="6AAAB58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медицинской академии Екатеринбурга была проанализирован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заболеваемость внутрибольничными инфекциями в реанимационном отделений и отделений интенсивной терапии ожогового и хирургических отделений. В микробном пейзаже культур из патологических очагов во всех случаях, за исключением ангиогенного сепсиса, преимущ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ественно выделялась грамотрицательная микрофлора. Под действием проводимой антибактериальной терапии происходила селекция микрофлоры из патологических очагов, и к концу первой недели пребывания в лечебном учреждении у половины пациентов из биоматериала нач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али выделяться штаммы, устойчивые к стартовой терапии [Голубкова, Богушевич, 2009]. </w:t>
      </w:r>
    </w:p>
    <w:p w14:paraId="3201CE6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Резистентность к антибиотикам обусловлена блокадой транспорта препарата к внутриклеточной мишени и его инактиваций бактериальными ферментами [Медицинская микробиология, 20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06]. Таким образом, можно сказать, что госпитальный «штамм» есть результат селективного действия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антибиотиков, т. к. они наиболее вирулентный и обладают множественной лекарственной устойчивостью. Широкое применение антибиотиков приводит к формированию поро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чного круга: «успех лечения-селекция устойчивых штаммов-возникновение ВБИ» [Донецкая, 2011].</w:t>
      </w:r>
    </w:p>
    <w:p w14:paraId="0A59577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России от ВБИ ежегодно страдает около 2 млн. человек. В различных странах Европы частота госпитальных инфекций варьирует от 6% до 27%, в США - около 7-8%. Эконом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ический ущерб, причиняемый ими ежегодно, составляет несколько миллионов долларов. Этот ущерб складывается из удлинения времени пребывания больных в стационаре, роста летальности, а также материальные потери [Коротяев, Бабичев, 2002]. </w:t>
      </w:r>
    </w:p>
    <w:p w14:paraId="207DFDC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настоящее время вну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трибольничная гнойно-септическая инфекция увеличивает койко-день в 2,5-3 раза, а также является причиной смерти каждого 12-го пациента, умершего в больнице. Летальность у взрослых, таким образом, увеличивается в 2-4 раза, среди детей, особенно при септичес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ких состояниях - в 10-14 раз. Среди хирургических больных инфекционная патология при проверке была выявлена у 64% умерших, а у 45% она имела внутрибольничное происхождение с преобладанием пневмонии, перитонита, сепсиса, нагноения послеоперационной раны и т</w:t>
      </w:r>
      <w:r>
        <w:rPr>
          <w:rFonts w:ascii="Times New Roman CYR" w:hAnsi="Times New Roman CYR" w:cs="Times New Roman CYR"/>
          <w:kern w:val="1"/>
          <w:sz w:val="28"/>
          <w:szCs w:val="28"/>
        </w:rPr>
        <w:t>.п. [Щербо, 2000 ].</w:t>
      </w:r>
    </w:p>
    <w:p w14:paraId="1C7C701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CE4E4D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Основные возбудители гнойно-септических осложнении</w:t>
      </w:r>
    </w:p>
    <w:p w14:paraId="242B043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14C6C6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.2.1 Стафиликокки</w:t>
      </w:r>
    </w:p>
    <w:p w14:paraId="0BE7390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пределах рода наибольшее этиологическое значение имеют три вида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epidermidis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saprophyticus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При наличии предрасполагающих условий каждый из 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их может быть возбудителем ВБИ, но наибольшее клиническое и эпидемиологическое значение имеет золотистый стафилококк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Вскоре после начала широкого применения антибиотиков, значение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Как возбудителя гнойно-септических инфекции, особенн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в родильных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домах и хирургических стационарах возросло, что явилось следствием широкого распространения среди стафилококков устойчивости к антибиотикам.</w:t>
      </w:r>
    </w:p>
    <w:p w14:paraId="4084AA2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Резервуаром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в клинике обычно являются больные и носители, включая персонал. У носителей 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кроорганизм обнаруживается главным образом на слизистой оболочке передних носовых ходов, реже на кожных покровах в области промежности и в кишечнике [Щербо, 2000].</w:t>
      </w:r>
    </w:p>
    <w:p w14:paraId="3C813CE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Носительство распространено весьма широко среди персонала хирургического отделения оно выявл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яется в 80%, а среди студентов медиков, принимающих участие в операциях в 90,9%.Среди населения вне стационара доля лиц, у которых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а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находится в полости носа около 20-40%, тогда как среди персонала, а именно врачей, медицинских сестер и санитарок,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эти показатели соответствуют 50-90% [Зиневич, Колуканов, 1989].</w:t>
      </w:r>
    </w:p>
    <w:p w14:paraId="4509C7A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Высокая устойчивость стафилококков в окружающей среде предопределяет как воздушно-капельный, так и контактный путь передачи микроорганизма. Так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неделями, а иногда месяцами остается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жизнеспособным в гное, высохших выделениях на больничном белье и других загрязненных объектах больничной среды, выдерживает нагревание при температуре 70 градусов более часа. Отмечено также, что транслокация стафилококков контактным путем (руки персонала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пациентов) способствует более частому заражению предметов, чем вследствие седиментации из воздуха [Яфаев, Зуева, 1989].</w:t>
      </w:r>
    </w:p>
    <w:p w14:paraId="233E115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Стафилококки широко распространены в природе. Они обнаруживаются на коже и слизистых человека, встречаются у животных. Каждый вид подра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зделяется на эковарианты (эковары). Вид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включает 6 эковаров: А, В, С,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Основные хозяева этих эковаров это человек, свинья, домашние птицы, КРС, овцы, зайцы, собаки, голуби. Резервуаром служат здоровые носители и больные с различными стафилок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окковыми поражениями. Наибольшую опасность в смысле распространения представляют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бактерионосители, у которых патогенный стафилококк обнаруживается на слизистых верхних дыхательных путей, особенно передних отделов носовых ходов, а так же больные люди с кожн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ыми поражениями. Стафилококки резистентный к факторам окружающей среды, переносят высушивание, длительное время остаются жизнеспособными в пыли [Борисов, 2005].</w:t>
      </w:r>
    </w:p>
    <w:p w14:paraId="1F2AFF4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F8F4E9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.2.2 Стрептококки </w:t>
      </w:r>
    </w:p>
    <w:p w14:paraId="47C7830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Как возбудители ВБИ наибольшее значение имеют следующие виды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Streptoco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ccus</w:t>
      </w:r>
      <w:r>
        <w:rPr>
          <w:rFonts w:ascii="Times New Roman CYR" w:hAnsi="Times New Roman CYR" w:cs="Times New Roman CYR"/>
          <w:kern w:val="1"/>
          <w:sz w:val="28"/>
          <w:szCs w:val="28"/>
        </w:rPr>
        <w:t>:</w:t>
      </w:r>
    </w:p>
    <w:p w14:paraId="4BFA5A8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а) пневмококки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>). Нередко являются возбудителями респираторных инфекций (послеоперационная пневмония), могут вызвать бактериемию, гнойный менингит, поражение суставов. Ведущий путь передачи- аэрогенный. Хотя среди пневмококков и описаны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полирезистентные штаммы, однако они встречаются редко и поэтому не составляют терапевтической опасности.</w:t>
      </w:r>
    </w:p>
    <w:p w14:paraId="5E70466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б) бета-гемолитические стрептококки серогруппы А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pyogenes</w:t>
      </w:r>
      <w:r>
        <w:rPr>
          <w:rFonts w:ascii="Times New Roman CYR" w:hAnsi="Times New Roman CYR" w:cs="Times New Roman CYR"/>
          <w:kern w:val="1"/>
          <w:sz w:val="28"/>
          <w:szCs w:val="28"/>
        </w:rPr>
        <w:t>). На основе выявления группоспецифических углеводов, стрептококки подразделены на группы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обозначаемые прописными буквами от А до О. Группа А (штаммы, патогенные для человека, вызывающие бета-гемолиз) представлена более чем 50 серологическими вариантами, детерминированным протеином М клеточной стенки, определяющим вирулентность (штаммы М1, М5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М18 и т.д.). Гемолитические стрептококки группы А могут вызвать нагноение раны, сепсис, скарлатину, ангину, ревматизм. Могут передаваться контактным путем и аэрогенным путем.</w:t>
      </w:r>
    </w:p>
    <w:p w14:paraId="144A01A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в) альфа-гемолитические стрептококки, зеленящие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mitis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salivarius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др.)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энтерококки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 и другие стрептококки группы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относят к условно-патогенным видам, проявляющим себя чаще как эндогенная ВБИ, развивающаяся в результате ослабления естественой сопротивляемости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организма, особенно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при операциях на брю</w:t>
      </w:r>
      <w:r>
        <w:rPr>
          <w:rFonts w:ascii="Times New Roman CYR" w:hAnsi="Times New Roman CYR" w:cs="Times New Roman CYR"/>
          <w:kern w:val="1"/>
          <w:sz w:val="28"/>
          <w:szCs w:val="28"/>
        </w:rPr>
        <w:t>шной полости, в области малого таза, мочевыводящих путей [Тотолян, Малеев, 1996].</w:t>
      </w:r>
    </w:p>
    <w:p w14:paraId="762E903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Считается, что роль стрептококков как возбудителей ВБИ в антибиотический период резко снизилась, поскольку они практически не образуют госпитальных полирезистентных штаммов,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 вызываемые стрептококками заболевания носят спорадический характер. Однако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pyogenes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стрептококки группы С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грамположительные микроорганизмы являющиеся причиной инфекции кожи и мягких тканей (ИКМТ). Так в институте трансплантологии и иску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сственных органов в Москве были приведены данные по изучению энтерококков как этиологической причины инфекционных осложнений в сердечнососудистой и трансплантационной хирургии. Выделено было 465 штаммов энтерококков из различных биоматериалов. Охарактеризо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вана частота встречаемости энтерококков, их видов в крови, моче, отделяемом ран, трахеи, клапанах сердца, а также в объектах внешней среды и на спецодежде медперсонала. Наибольший пул этих микробов изолирован из мочи - 47,7% и из трахеи - 24,3% случаев. Эн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терококковые бактериемии регистрировались в 9,7% случаев, занимая значительный удельный вес среди грамположительной микрофлоры - 38,5% всех изолятов. Отмечена высокая степень резистентности энтерококков к антимикробным препаратам и хорошая лизируемость их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фагами [Энтерококки как возбудители послеоперационных инфекционных осложнений, 2007]. </w:t>
      </w:r>
    </w:p>
    <w:p w14:paraId="735FE71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литературным данным некоторые авторы считают, что в отделении конструктивной терапии, высеваемость грамположительной микрофлоры, в частности стафилококков и энтерокок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ков из клинического материала и их чувствительность к антибиотикам увеличиваются. При этом эпидермальные стафилококки нозокомиального происхождения всё более вытесняют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Отмечен выраженный рост высеваемости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[Динамика устойчивости к анти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биотикам и частота выделения стафилококков и энтерококков, 2012].</w:t>
      </w:r>
    </w:p>
    <w:p w14:paraId="4132796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8679EC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.2.3 Псевдомонады</w:t>
      </w:r>
    </w:p>
    <w:p w14:paraId="4A444ED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последние годы главным возбудителями ВБИ являются представители семейства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Pseudomonaceae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синегнойная палочка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которая отличается высокой устойчи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востью к неблагоприятным условиям и огромной потенцией к росту. Увеличение заболевании вызываемых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объясняется высокой контагиозностью, тяжелое течение, длительная нетрудоспособность заболевших и высокая летальность (достигающая 85-95% при септ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ических состояниях).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.а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широко распространена в окружающей среде: почве, воде воздухе. В 15-20% присутствует в составе нормальной микрофлоры кишечника. При вспышках ВБИ, вызванных этим микроорганизмом, носительство его среди больных резко возраст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ает - до 50% на кожных покровах и на 3-4% в носоглотке.</w:t>
      </w:r>
    </w:p>
    <w:p w14:paraId="3991F15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Роль синегнойной палочки, как возбудителя ВБИ, в последние годы резко увеличилась: ряд ожоговых и хирургических стационаров могли бы быть эндемичными по этому возбудителю. Она хорошо сохраняется на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борудовании, особенно труднодоступном для очистки и стерилизации (респираторы, анестезиологические трубки, отсосы, наркозные, рентгеновские аппараты, предметы ухода за больными и т д.). Так, по данным Ахановой Е.В. [2006] в хирургических стационарах больни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цы города Армавира в 2005 в ряде проводимых исследовании среди выделенных микроорганизмов около 60% составляли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другие виды псевдомонад выделялись значительно реже, а именно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putida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maltophilia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fluorescens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cepacia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выделяются в значи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тельно меньшем количестве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локализуется главным образом в ранах (чаще ожоговых), крови, на слизистых оболочках дыхательной и мочеполовой систем. Клинические формы этой инфекции - нагноение раны, пневмонии и инфекции мочевыводящих путей, отиты,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циститы, менингоэнцефалиты [Яфаев, Зуева, 1989]. Одним из главных факторов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патогенности синегнойной палочки является 0-антиген. Помимо этого, псевдомонады могут продуцировать различные экзотоксины: гемотоксин, энтеротоксин. Важнейший из них экзотоксин А -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это белок, состоящий из 2-х субъединиц, чувствителен к трипсину, повышенной температуре [Коротяев, Бабичев, 1998], </w:t>
      </w:r>
    </w:p>
    <w:p w14:paraId="2EE5536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современным представлениям патогенность синегнойной палочки детерминирована способностью к продукции комплекса экзопродуктов - токсинов,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энзимов, пигментов. Для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характерны такие признаки как: слегка изогнутая палочка с закругленными концами, спор не образует, капсулы не имеет, но продуцирует слизь, которая тонким слоем окружает микробную клетку.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устойчива к ультра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фиолетовому излучению, а также к антисептикам, традиционно применяемым в хирургии. В пыли больничных палат сохраняется 2 недели, в кусочках ожоговых корочек - до 8 недель [Пыж, Никандрова, 2001].</w:t>
      </w:r>
    </w:p>
    <w:p w14:paraId="2EBD6F5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Синегнойная палочка отличается высокой устойчивостью к антиб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актериальным препаратам, она обладает чувствительностью лишь к немногим антибиотикам. Это особенность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обуславливает большую устойчивость вызываемых инфекций к антимикробной терапии [Воропаева, 1983].</w:t>
      </w:r>
    </w:p>
    <w:p w14:paraId="3465E73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Воспалительный процесс палочка может вызыва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ть как в монокультуре, так и в ассоциациях с другими микробами. Нередки случаи, когда в результате успешного лечения гнойных осложнений стафилококковой этиологии место стафилококка занимает синегнойная палочка, знаменуя тем самым так называемую «смену видо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в», что вызывает коррекцию антимикробной терапии. У больных пораженных синегнойной палочкой, гной и марлевые повязки окрашиваются в сине-зеленый цвет за счет пигмента пиоцианина, что в ряде случаев, например, при утилизации отходов служит полезным идентифи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кационным признаком [Щербо, 2000]. </w:t>
      </w:r>
    </w:p>
    <w:p w14:paraId="4463740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6663A75" w14:textId="77777777" w:rsidR="00000000" w:rsidRDefault="0011776C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1.2.4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Эшерихии</w:t>
      </w:r>
    </w:p>
    <w:p w14:paraId="0ADD6A2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 двух видов этого рода эпидемический значимым является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Следует отметить её возрастающую роль в этиологии ГСИ, что обусловлено природной устойчивостью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ко многим антибиотикам и очень быстры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 распространением приобретённой устойчивости. Кишечная палочка может вызывать эшеризиозы, проявляющиеся практический во всех органах и тканях, но особенно превалируют ГСИ мочевыводящих и желчных путей, перитонит, послеоперационные нагноения ран. Возможны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менингит, отит, послеродовой сепсис и др. [Рыбальченко, 2003].</w:t>
      </w:r>
    </w:p>
    <w:p w14:paraId="6B3E373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Эшерихии имеют О -, К -, и Н-антигены. Определенные серогруппы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способны вызывать как различные, включая внутрибольничные, заболевания человека, так и преимущественно поражать определенны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возрастные группы. Отдельные серотипы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например, О 157:Н7, выделяющие шигеллоподобный токсин и вызывающий патологии. В стационарах, родовспомогательных домах, детских больницах и имеют специальные профилактики этой формы заболевания, которое харак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теризуется кровавым поносом, спазмами в области живота с небольшим повышением температуры, судороги, припадки. Могут даже вызывать почечную блокаду, которая требуют гемодиализа. Летальность при обычном течении болезни составляет 1-2%, а при почечной блокад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3-5%[Медицинская микробиология, 2006].</w:t>
      </w:r>
    </w:p>
    <w:p w14:paraId="4CD99CD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362A5D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.2.5 Бактерий группы Клебсиелла-Энтеробактер-Серрация (КЭС)</w:t>
      </w:r>
    </w:p>
    <w:p w14:paraId="0A80283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 роду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Klebsiella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относится несколько видов, среди которых как возбудители ВБИ имеют наибольшее значение следующие виды: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Klebsiella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Enterobact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aerogenes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Serrattia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marcescens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Морфологически все они представляют собой грамотрицательные, неспоровые палочки, которые нередко, как «колиформные» бактерии. Эти условно-патогенные микроорганизмы нередко обнаруживаются в составе нормальной микрофлоры 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еловека, обладают высокой природной устойчивостью к повреждающим факторам среды, включая медикаментозные протимикробные воздействия. Среди них все чаще встречается полирезистентные штаммы с приобретенной устойчивостью, способные вызвать различные формы ВБИ</w:t>
      </w:r>
      <w:r>
        <w:rPr>
          <w:rFonts w:ascii="Times New Roman CYR" w:hAnsi="Times New Roman CYR" w:cs="Times New Roman CYR"/>
          <w:kern w:val="1"/>
          <w:sz w:val="28"/>
          <w:szCs w:val="28"/>
        </w:rPr>
        <w:t>: нагноение ран, послеоперационную пневмонию, инфекции мочевыводящих путей [Зиневич, Колуканов,1989].</w:t>
      </w:r>
    </w:p>
    <w:p w14:paraId="7194291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Особенно часто осложнения «колиморфной природы могут формироваться у ослабленных больных, пациентов с иммунодефицитами. В этих случаях, особенно у детей,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нередки менингиты, мастоидиты и другие осложнения.</w:t>
      </w:r>
    </w:p>
    <w:p w14:paraId="5BF9200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е, ранее известная как, возбудитель заболеваний дыхательной системы, в настоящее время часто является причиной ВБИ, протекающих с поражением дыхательных и мочевыводящих путей. Для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арактерными являются образование слизистых колоний, широкие полисахаридные капсулы и отсутствие подвижности [Воробьев, Кривошеин, 2003]. </w:t>
      </w:r>
    </w:p>
    <w:p w14:paraId="7F4EDA9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Основными факторами патогенности клебсиелл являются К - антиген, подавляющий фагоцитоз и эндотоксин. Помимо них,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может продуцировать термолабильный энтеротоксин - белок, по механизму действия подобный токсину энтеротоксигенной кишечной палочки. Клебсиеллы обладают выраженными адгезивными свойствами. </w:t>
      </w:r>
    </w:p>
    <w:p w14:paraId="0F251DE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Благодаря наличию капсулы клебсиеллы устойчивы в окружающей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среде, длительное время сохраняются в почве, воде, помещениях. Чувствительны к кипячению и дезинфектантам.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входит в состав факультативной микрофлоры кишечника, верхних дыхательных путей, влагалища. Обнаруживается на слизистых оболочках [Медиц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инская микробиология, 2011].</w:t>
      </w:r>
    </w:p>
    <w:p w14:paraId="1DF9571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Клебсиеллёз является чаще всего ВБИ. Источником служит больной человек и бактерионоситель. Возможно как экзогенное, так и эндогенное заражение. Наиболее частые пути передачи - пищевой, воздушно-капельный и контактно-бытовой. В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последние годы частота клебсиеллёзов возросла, одна из причин этого - повышение патогенности возбудителя в связи со снижением резистентности организма человека. Следует отметить высокую степень резистентности клебсиелл к различным антибиотикам [Коротяев, 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абичев, 2008].</w:t>
      </w:r>
    </w:p>
    <w:p w14:paraId="018E4F2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Вирулентность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обусловлено их адгезией связанной с капсульным полисахаридом, пилями и белком наружной мембраны, размножением и колонизацией энтероцитов. Капсула защищает от фагоцитов. При разрушении бактериальных клеток освобожда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ется эндотоксин [Борисов, 2005].</w:t>
      </w:r>
    </w:p>
    <w:p w14:paraId="4B7FE13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Кроме того секретирует термостабильный энтеротоксин усиливающий выпот жидкости в просвет кишки, что играет существенную роль в патогенезе. Оказывает действие и мембранотоксин с гемолитической активностью. У некоторых имеютс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такие ферменты как ДНКаза, нейраминидаза, фосфатаза [Микробиология, вирусология и иммунологи, 2010].</w:t>
      </w:r>
    </w:p>
    <w:p w14:paraId="03F0B8F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4F52FA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.2.6 Бактерии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</w:p>
    <w:p w14:paraId="0D31010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Данный род включает 6 видов, из которых наибольшую роль в этиологии ВБИ играют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haemolyticus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Грамотриц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ательные палочки, как правило, короткие и округлые, размеры в логарифмической фазе роста составляют 1,0-1,5 на 1,5-2,5 мкм. В стационарной фазе роста приобретают преимущественно форму кокков, располагающихся парами или в виде коротких цепочек. Спор не обра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зуют, жгутиков не имеют. Все виды резистентный к пенициллину. Являются свободноживущими сапрофитами, распространены повсеместно. Могут быть причиной многих инфекционных процессов, включая менингиты. Патогенность низкая, но могут играть важную клиническую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оль для людей с ослабленной природной резистентностью.</w:t>
      </w:r>
    </w:p>
    <w:p w14:paraId="2C01B66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клинике факультетской хирургии лечебного факультета РГМУ им. Пирогова проводились исследования по проблеме нозокомиальных инфекций в хирургии. За последние годы был отмечен отчетливый рост частоты 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зокомиальных инфекций, вызванных микроорганизмами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Естественной средой обитания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является почва и вода. Микроорганизмы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входящие в состав микрофлоры кожи здоровых лиц, желудочно-кишечного и урогенитальн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ого трактов и относятся к малопатогенным микроорганизмам.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отличается устойчивостью ко многим антибактериальным препаратам [Проблемные госпитальные микроорганизмы, 2008].</w:t>
      </w:r>
    </w:p>
    <w:p w14:paraId="58BF31C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Клиническое значение ацинетобактерий при гнойно-воспалительных забо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леваниях кожи и мягких тканей изучено недостаточно.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изолирован от 546 пациентов отделения гнойной хирургии городской клинической больницы №15 им. О.Ф.Филатова с 2000 по 2007 гг. За период наблюдений отмечено увеличение доли ацинетобактер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ий в пейзаже микрофлоры гнойных ран. 85% изолированных штаммов приходилось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Инфицирование ран отмечалось на 9 сутки после госпитализации. Основным фактором риска присоединения ацинетобактерий явились фоновые заболевания, приводящие к трофиче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ским нарушениям у 80% пациентов. У 54% пациентов наличие ацинетобактерий в ране не влияло на течение раневой инфекции, а у 46% гнойно-воспалительное заболевание прогрессировало. У 9% ацинетобактерии изолированы в монокультуре. Остальные в ассоциациях, чаще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(41%).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более резистентный, чем другие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Наиболее активны в отношении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нетилмицин (80%), имипенем (94%), меропенем (64%). Малоактивны амикацин, гентамицин (30-35%), цефоперазон-сульбактам (50%). Цефалоспо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рины и ципрофлоксацин неактивны в отношении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[Жилина, Миронов, Поликарпова, 2007].</w:t>
      </w:r>
    </w:p>
    <w:p w14:paraId="39E4BCF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литературным данным лидирующие позиции в этиологии гнойно - септических осложнении занимают неферментирующие грамнегативные бактерии (НГБ)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Отмечена выраженная тенденция к увеличению их доли в развитии данной патологии при снижении этиологической роли стафилококков. Мониторинг выявил высокий уровень резистентности к антибиотикам (меропенему, имипенему, цефепиму, це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фтазидиму)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а все штаммы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устойчивы к гентамицину и цефтазидиму [Туркутюков, Ибрагимова, Шмагунова, 2013].</w:t>
      </w:r>
    </w:p>
    <w:p w14:paraId="173303C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B241F1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2. Материал и методы исследования</w:t>
      </w:r>
    </w:p>
    <w:p w14:paraId="53CA7C1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A0869E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Работа проводилась с 10 июня по 27 июля года в бактериологической лаборатории Краевой 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линической больницы №1 им. проф. С.В. Очаповского. </w:t>
      </w:r>
    </w:p>
    <w:p w14:paraId="4FD3CF6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Все исследования проведены согласно методикам, утвержденным Приказами Минздрава РФ: № 535 от 22 апреля 1985г. И №720 от 31 июня 1978г. № 720 от 31 июля 1978 г. «Об улучшении медицинской помощи больным с 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нойными хирургическими заболеваниями и усилений мероприятий по борьбе с внутрибольничными инфекциями». </w:t>
      </w:r>
    </w:p>
    <w:p w14:paraId="0BC8B8B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E637949" w14:textId="77777777" w:rsidR="00000000" w:rsidRDefault="0011776C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2.1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Объекты исследования</w:t>
      </w:r>
    </w:p>
    <w:p w14:paraId="3930A47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A220C8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Объектами исследования явились материалы от больных отделения гнойной хирургии и ожогового отделения ККБ: асцитическая жидкос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ть, гной, раневое отделяемое, отделяемое дренажа, отделяемое свищей, перикардиальная жидкость, перитониальная жидкость, пунктаты, содержимое абсцессов, содержимое брюшной полости, содержимое кист.</w:t>
      </w:r>
    </w:p>
    <w:p w14:paraId="2747395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Все данные объекты исследования объединяются в общую группу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«Отделяемое открытых инфицированных ран».</w:t>
      </w:r>
    </w:p>
    <w:p w14:paraId="72705F9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Всего за время работы в бактериологической лаборатории на исследование было взято 1123 проб материала (172 проб в отделении гнойной хирургии, 465 проб в реанимации гнойной хирургии и 304 проб в ожоговом отделении,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182 пробы в реанимации ожогового отделения).</w:t>
      </w:r>
    </w:p>
    <w:p w14:paraId="5C10875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124D9C5" w14:textId="77777777" w:rsidR="00000000" w:rsidRDefault="0011776C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2.2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Среды для культивирования микроорганизмов</w:t>
      </w:r>
    </w:p>
    <w:p w14:paraId="7DC300C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D01C48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Все объекты от больных, высевались на специальные среды для дальнейшего исследования. Использовались следующие среды:</w:t>
      </w:r>
    </w:p>
    <w:p w14:paraId="07DE877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МПА - готовая стандартная среда производства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Махачкалинской биофабрики.</w:t>
      </w:r>
    </w:p>
    <w:p w14:paraId="7F0031E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Среда Эндо - готовили из готового сухого порошка (г. Махачкала) по инструкций, указанной на упаковке. Горячую среду разливали в стерильные чашки Петри и оставляли до застывания на поверхности стола в стерильном боксе. Срок годно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сти готовой среды Эндо - не более трех дней в темном месте или в холодильнике. Данная среда применяется для обнаружения бактерий группы кишечной палочки.</w:t>
      </w:r>
    </w:p>
    <w:p w14:paraId="4586676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Среда Сабуро - применяется для культивирования, поддержания и подроста дрожжеподобных грибов. Срок при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готовления: 45г готовой смеси (производитель - фирма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Bio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Merieux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Франция) растворяли в 1 л дистиллированной воды, доводили до кипения, разливали в стерильные во флаконы по 200-400 мл и автоклавировали при температуре выше 100 градусов 15 мин.</w:t>
      </w:r>
    </w:p>
    <w:p w14:paraId="503A564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Сердечно-моз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говой бульон - среда обогащения для различных микроорганизмов. Готовили следующим образом: готовую сухую смесь (производитель - фирма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Bio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Merieux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Франция) в количестве 37 г растворяли в 1 л дистиллированной воды, кипятили 2 мин, затем разливали в стерильн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ые флаконы по 50 мл и автоклавировали 15 мин при температуре 120 градусов. </w:t>
      </w:r>
    </w:p>
    <w:p w14:paraId="690BC20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Желточно-солевой агар (ЖСА)- данная среда используется для обнаружения стафилококков. Готовили следующим образом: расплавляли 1 л МПА, растворяли в нем 95г хлорида натрия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kern w:val="1"/>
          <w:sz w:val="28"/>
          <w:szCs w:val="28"/>
        </w:rPr>
        <w:t>),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хлаждали до 45-50 градусов, добавляли 20% желточной взвеси (асептический извлеченный из яйца желток взбалтывали с 200 мл изотонического раствора хлорида натрия). Агар тщательно смешивали с желточной взвесью, разливали по 20 мл в чашки Петри.</w:t>
      </w:r>
    </w:p>
    <w:p w14:paraId="0320165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Кровяной агар </w:t>
      </w:r>
      <w:r>
        <w:rPr>
          <w:rFonts w:ascii="Times New Roman CYR" w:hAnsi="Times New Roman CYR" w:cs="Times New Roman CYR"/>
          <w:kern w:val="1"/>
          <w:sz w:val="28"/>
          <w:szCs w:val="28"/>
        </w:rPr>
        <w:t>- универсальная питательная среда для различных микроорганизмов, основой которой является сухой питательный агар. Готовили следующим образом: готовили 2% агара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7,4-7,6), к расплавленному и охлажденному до 45 градусов агару, соблюдая правила асептики,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обавляли 5 % питательную среду (дефибринированную баранью, лошадиную или кроличью кровь; цитратную или дефибринированную кровь человека без антибактериальных препаратов). Смесь тщательно перемешивали, не допуская образования пены, разливали в стерильные ча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шки Петри, предварительно подогретые в термостате, слоем 3-4 мм. Среду хранят не более двух недель в целлофановых мешках при температуре 4-6 градусов.</w:t>
      </w:r>
    </w:p>
    <w:p w14:paraId="0104A74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Кроме выше перечисленных сред для идентификации различных групп микроорганизмов применялись следующие сре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ды:</w:t>
      </w:r>
    </w:p>
    <w:p w14:paraId="2A91E25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Среда Хью-Лейфсона (идентификация стафилококков, псевдомонад). К1 л дистиллированной воды добавляли 2 г пептона, 5 г хлорида натрия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kern w:val="1"/>
          <w:sz w:val="28"/>
          <w:szCs w:val="28"/>
        </w:rPr>
        <w:t>), 3 г агар-агара; подогревали смесь до растворения ингредиентов, подщелачивали 20% раствором гидроксида натрия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OH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 до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7,4-7,5, доводили объем среды до первоначального и добавляли 3 мл 1 % водного раствора бромтимолового синего; стерилизовали при 0,5 атм. 20 мин.</w:t>
      </w:r>
    </w:p>
    <w:p w14:paraId="39A570D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Среда Олькеницкого (идентификация бактерий семейства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kern w:val="1"/>
          <w:sz w:val="28"/>
          <w:szCs w:val="28"/>
        </w:rPr>
        <w:t>): к 100 мл дистиллированной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оды добавляли 2,5 г сухого питательного агара, 1 г лактозы, 1 г сахарозы, 0,1 г глюкозы, 1 г мочевины, 0,02 г соли Мора, 0,03 г тиосульфата натрия, 0,04 мл 0,4 % водного раствора фенолового красного; все тщательно перемешивали, устанавливали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7,2-7,4, 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зливали по пробиркам, стерилизовали текучим паром по 20 мин 3 дня подряд; затем среду скашивали, оставляя столбик высотой 5 см.</w:t>
      </w:r>
    </w:p>
    <w:p w14:paraId="1AE64F6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Среда Кларка, среда Симмонса - питательные среды для изучения ферментации полисахаридов бактериями семейства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Готовили из готовых сухих смесей согласно прописям на упаковках 9 (производитель - НПО «Питательные среды», г. Махачкала, Россия).</w:t>
      </w:r>
    </w:p>
    <w:p w14:paraId="1081884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Среда КингА (идентификация псевдомонад) - сухая коммерческая среда (производитель - НИИМП, г. Ростов-на-Д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ону, Россия).</w:t>
      </w:r>
    </w:p>
    <w:p w14:paraId="5456AFF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Среда для определения фосфатазы (используется при идентификации бактерий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kern w:val="1"/>
          <w:sz w:val="28"/>
          <w:szCs w:val="28"/>
        </w:rPr>
        <w:t>). Готовили из готовой сухой смеси согласно прописям на упаковке (производитель - НПО «Питательные среды», г. Махачкала, Россия).</w:t>
      </w:r>
    </w:p>
    <w:p w14:paraId="1CA86C5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45143D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Выделение возбуд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ителей из объектов внешней среды</w:t>
      </w:r>
    </w:p>
    <w:p w14:paraId="3CA52B3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7786E3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Взятие исследуемого материала с поверхности различных объектов вели методом смывов при помощи стерильного ватного тампона на палочке или марлевой салфеткой. При контроле предметов с большой поверхностью смывы проводили в 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ескольких местах исследуемого предмета. Отобранные пробы засевали на чашки Петри с ЖСА, 0,5 мл смывной жидкости засевали в 5 мл бульона с 6,5 % хлоридом натрия для выделения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Затем инкубировали при температуре 37 градусов 18-24 часа. При наличии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одозрительных колоний готовили мазки, окрашивали и микроскопировали.</w:t>
      </w:r>
    </w:p>
    <w:p w14:paraId="522A2B5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6CEB61A" w14:textId="77777777" w:rsidR="00000000" w:rsidRDefault="0011776C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2.4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Методы идентификации микроорганизмов</w:t>
      </w:r>
    </w:p>
    <w:p w14:paraId="332CCE1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8EA857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.4.1 Идентификация бактерий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</w:p>
    <w:p w14:paraId="380E386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Целью первичной идентификации является установление принадлежности выделенной культуры к семейс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тву Micrococcaceae и роду Staphylococcus. Для стафилококков характерны золотистые или белые колонии. Подавляющее большинство штаммов золотистого стафилококка и некоторые штаммы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epidermidis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 кровяной среде образуют прозрачную зону гемолиза. В мазках рас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полагаются поодиночке, парами или в виде скоплений. Для идентификации данного рода использовались следующие тесты:</w:t>
      </w:r>
    </w:p>
    <w:p w14:paraId="1495FCD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а) Определение ферментации глюкозы в анаэробных условиях. Суточную агаровую культуру исследуемого штамма сеяли в столбик среды Хью-Лейфсона 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колом до дна пробирки, а затем на поверхность агара наливали 1,5 мл стерильного вазелинового масла. Посев инкубировали при 37 градусах. Реакция считается положительной, если происходит желтое окрашивание столбика среды.</w:t>
      </w:r>
    </w:p>
    <w:p w14:paraId="59128E6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б) Определение лецитиназы. Для выдел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ения лецитиназы посевы инкубировали на ЖСА в течение 18-24 часов, а затем еще 18-24 часа. О наличии лецитиназы свидетельствует радужный венчик вокруг колоний. </w:t>
      </w:r>
    </w:p>
    <w:p w14:paraId="37ED5F9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Определение ферментации маннита в анаэробных условиях. Определение проводили аналогично определе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нию ферментации глюкозы в анаэробных условиях.</w:t>
      </w:r>
    </w:p>
    <w:p w14:paraId="2878950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в) Реакция плазмокоагуляции. Разведенную плазму кролика в объеме 0,5мл вносим в стерильную пробирку и в ней суспендировали одну петлю агаровой суточной культуры. Инкубируют при 37 градусах. Регистрировали резу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льтаты через 1, 2, 4, 18 часов инкубации. При появлении в первые 4 часа инкубации на дне пробирки студнеобразного сгустка, результат считали положительным. При отсутствие плазмогоагуляции в течение 18 часов - отрицательным. При наличии положительного резул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ьтата в реакции плазмокоагуляции и хотя бы одного из двух предварительных тестов исследуемый штамм относили к виду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Если штаммы после проделанных исследований не относили к золотистому стафилококку, то проводили дальнейшую идентификацию.</w:t>
      </w:r>
    </w:p>
    <w:p w14:paraId="34F9BC0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г) Тест 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 фосфатазу. Суточные агаровые культуры исследуемых штаммов сеяли на среду для определения фосфатазы бляшками. Инкубируют при 37 градусах 18-24 часа. Результаты регистрируют через сутки. По окончанию инкубации на крышку чашки Петри наливают 5-6 капель 25%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раствора аммиака, выдерживают 5-10 минут, после чего регистрируют результаты. О положительной реакции свидетельствует появление розового окрашивания вокруг макроколоний.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epidermidis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выделяет фосфатазу и не окисляет маннит. Если получены противоположные 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езультаты, то выделенная культура является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saprophyticus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14:paraId="6BAE4E5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90194D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.4.2 Идентификация бактерий семейства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Enterobacteriaceae</w:t>
      </w:r>
    </w:p>
    <w:p w14:paraId="6CB6C49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Изучение колоний первичных посевов патологического материала начинали на чашках со средой Эндо. Подозрительные колонии снимали бактериоло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гической петлей и засевали уколом в столбик среды Олькеницкого. После 24-ой инкубации при температуре 37 градусов давали предварительное заключение о родовой принадлежности выделенных культур и определяли набор дополнительных тестов для идентификации. На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оверхности среды Олькеницкого наблюдался влажный однородный рост без пигментообразования. По изменению окраски столбика среды учитывали способность ферментировать глюкозу, а по изменению окраски скошенной части - ферментировать лактозу. Дополнительными тес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тами для определения родовой принадлежности являются.</w:t>
      </w:r>
    </w:p>
    <w:p w14:paraId="3AA14E5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а) Определение подвижности. Наблюдали после инкубации исследуемой культуры в полужидкой среде Кларка. При росте микроорганизмов по ходу укола судили об отсутствии подвижности. </w:t>
      </w:r>
    </w:p>
    <w:p w14:paraId="594840E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б) Использование цитрата.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Производили посев 18-ой культуры на среду Симмонса. Инкубировали при температуре 37 градусов 18-20 часов. Рост культуры и изменения окраски среды в синий цвет свидетельствуют о положительной реакции.</w:t>
      </w:r>
    </w:p>
    <w:p w14:paraId="43EE556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в) Определение декарбоксилаз аминокислот. Посев произво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дили минимальными дозами со скошенного агара с 16-18 часовой культурой в среду с аминокислотами (лизин, орнитин, аргинин) и контрольную среду. После посева вносили стерильное вазелиновое масло, инкубировали при температуре 37 градусов 24 часа. Затем добавл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яли 4-5 капель 10% раствора хлорида железа(3). Появление интенсивной зеленой окраски свидетельствует о положительной реакции.</w:t>
      </w:r>
    </w:p>
    <w:p w14:paraId="294E28F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685F3C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.4.3 Идентификация бактерий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</w:p>
    <w:p w14:paraId="4BE5082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Наибольшее значение для медицины представляют виды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putida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cepacia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fluorescens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которые являются возбудителями различных гнойно-септических поражений и часто имеют госпитальный характер. Особенностью большинства псевдомонад является положительный тест на образование цитохромоксидазы, а также образование различ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ных пигментов. Все виды, входящие в данный род, каталазоположительные, не выделяют индол, не реагируют с метиловым красным и не образуют ацетилметилкарбинола. Ход исследования:</w:t>
      </w:r>
    </w:p>
    <w:p w14:paraId="2C76C69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Первый день. Производили посев на питательные среды и инкубировали при температ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уре 37 градусов в течение 18-24 часов.</w:t>
      </w:r>
    </w:p>
    <w:p w14:paraId="63AD637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Второй день. Отмечали рост и выделяли колонии, подлежащие исследованию. Различают пять морфологических типов колоний:</w:t>
      </w:r>
    </w:p>
    <w:p w14:paraId="0DCD0F6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плоские колонии неправильной формы;</w:t>
      </w:r>
    </w:p>
    <w:p w14:paraId="0ED4364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колонии, напоминающие кишечную палочку;</w:t>
      </w:r>
    </w:p>
    <w:p w14:paraId="7E3368E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складчатые (так называе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мые « цветки маргаритки»);</w:t>
      </w:r>
    </w:p>
    <w:p w14:paraId="154B823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слизистые, редко дающие пигментацию при первичном выделении;</w:t>
      </w:r>
    </w:p>
    <w:p w14:paraId="0CCE4E6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карликовые, которые появляются только через 18 часов.</w:t>
      </w:r>
    </w:p>
    <w:p w14:paraId="61A336A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кровяном агаре вокруг колоний видны зоны гемолиза. Часто металлический налет и зона лизиса. На среде эндо бледн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о-розовые колонии небольших размеров. Культуры синегнойной палочки образуют пигменты. Одни из них - пиоцианин, дающий синюю или сине-зеленую окраску. Другой флюоресцерин, дающий зеленовато-желтое окрашивание, флюоресцирующее в проходящем свете в УФ-лучах.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Пиоцианин образуют только штаммы синегнойной палочки.</w:t>
      </w:r>
    </w:p>
    <w:p w14:paraId="4D75D34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Подозрительные колонии исследовали на способность образовывать цитохромоксидазу, используя индикаторные бумажки СИБ. Беспигментные колонии, давшие положительный цитохромоксидазный тест, отбирали и суспе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нзировали в 0,5 мл физиологического раствора, а затем отсевали на специальные питательные среды.</w:t>
      </w:r>
    </w:p>
    <w:p w14:paraId="3C3746B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Среду КингА использовали для усиления способности синегнойной палочки продуцировать сине-зеленый пигмент пиоцианин.</w:t>
      </w:r>
    </w:p>
    <w:p w14:paraId="2FA111A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Среду Хью-Лейфсона с глюкозой применяли для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определения способности псевдомонад окислять глюкозу.</w:t>
      </w:r>
    </w:p>
    <w:p w14:paraId="51301E5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Среды КингА и Хью-Лейфсона с засеянными культурами инкубировали 18-24 часа при температуре 37 градусов.</w:t>
      </w:r>
    </w:p>
    <w:p w14:paraId="3E080F0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Ацетиамидный агар является дифференциальной средой для синегнойной палочки, поскольку она обладае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способностью использовать ацетиамид в качестве единственного источника азота и углерода. Засевали 2 пробирки со скошенным ацетиамидным агаром для определения способности культур к росту при температуре 41-41,5 градусов, инкубировали 18-24 часа.</w:t>
      </w:r>
    </w:p>
    <w:p w14:paraId="56352DD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Третий 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нь. Просматривали результаты посевов второго дня и полученные культуры дифференцировали до видов. На среде КингА можно было видеть сине-зеленое окрашивание. Если данный микроорганизм принадлежит роду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то окисление глюкозы происходит только в аэ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робных условиях. Рост культур на ацетиамидном агаре, способность культур расти при температуре 42 градуса и отсутствие роста при 5 градусах позволяли отнести выделенную культуру к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Если культура выросла на ацетиамидном агаре, но не выросла при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42 градусах, то она принадлежит к виду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putida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fluorescens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характеризуются неспособностью утилизировать ацетиамид и расти при температуре 42 градуса, но хорошо растет при температуре 5 градусов.</w:t>
      </w:r>
    </w:p>
    <w:p w14:paraId="512CC16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D04C25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.4.4 Идентификация бактерий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</w:p>
    <w:p w14:paraId="7AA084B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род бактерий, входящий в состав семейства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Neisseriaceae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включает в себя 6 видов, из которых наибольшую роль в этиологии ВБИ играют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haemoliticus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14:paraId="7B0FEC5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первый день исследования патологический материал засевали на 5% кровяной агар. Посевы выра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щивали при температуре 37 градусов 24 часа в атмосфере, содержащей 10% углекислого газа. </w:t>
      </w:r>
    </w:p>
    <w:p w14:paraId="2CE9D43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второй день просматривали засеянные чашки. Микробы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растут в виде крупных, белых, круглых, блестящих колоний, часто слизистых. Можно наблюдать 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большую зону гемолиза вокруг колоний. При окраске по Граму (грамотрицательные) имеют форму коротких или округлых палочек, часто напоминающих кокки.</w:t>
      </w:r>
    </w:p>
    <w:p w14:paraId="218008E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Далее проводили определение каталазной и оксидазной активности. Отрицательный тест на оксидазу - главный при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знак, по которому бактерии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отличаются от других родов семейства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Neisseriaceae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14:paraId="47E1FFC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третий день, с целью определения вида, делали посевы на среду Хью-Лейфсона, содержащей глюкозу и лактозу. Если через 18-24 часа на обеих средах обнаруживал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ся рост, это вид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если роста на этих средах не было - вид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haemoliticus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</w:p>
    <w:p w14:paraId="441E2CD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4AA184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.5 Статистическая обработка результатов</w:t>
      </w:r>
    </w:p>
    <w:p w14:paraId="1C7156A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315DA6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Статистическая обработка материала проводилась методом однофакторного дисперсионного анализа. В качестве факторов, влияющих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полученные данные, выступали «год» и «отделение». Различия между группами считались достоверными при уровне значимости Н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(р) меньше 0,05,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>- критерий Стьюдента. [Лакин, 1990].</w:t>
      </w:r>
    </w:p>
    <w:p w14:paraId="3868487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3B07C5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3. Этиологическое значение возбудителей родов Acinetobacter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Pseudomonas в структуре госпитальных вариантах инфекции хирургических и ожогового отделения ККБ№1</w:t>
      </w:r>
    </w:p>
    <w:p w14:paraId="749E9BD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3CCCA6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данной работе представлены результаты исследования за июнь и июль 2013 года.</w:t>
      </w:r>
    </w:p>
    <w:p w14:paraId="627E198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Целью данной работы было выявление этиологической роли возбудителей родов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</w:p>
    <w:p w14:paraId="1AA7164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Исследовали патологический материал от больных ожогового отделения и отделения гнойной хирургии, где проходят лечение больные инфицированными ранами (флегмоны, абсцессы, гангрены, свищи и др.), хроническими заболеваниями (пиелоне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фрит и др.), острыми заболеваниями (перитонит, аппендицит и др.), а также больные, пострадавшие в результате несчастных случаев. Основными видами клинического материала, поступившими в лабораторию для бактериологического анализа, были различные жидкости из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внутренних органов и отделяемое открытых инфицированных ран. Частота выявления проб с возбудителями в ожоговом отделении и реанимационном отделении представлены в таблице 1.</w:t>
      </w:r>
    </w:p>
    <w:p w14:paraId="170E9CC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 таблицы 1 видно, что число положительных проб в отделении и в реанимационном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тделении довольно похожи, однако в процентном соотношении видно, что в реанимационном отделении число положительных проб на 10% больше чем в самом отделении.</w:t>
      </w:r>
    </w:p>
    <w:p w14:paraId="26A04E5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EEB0CB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Таблица 1 - Частота выявления положительных проб от больных, взятых за июнь - июль 2013 года (ожо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гового и реанимационного отделения)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1"/>
        <w:gridCol w:w="1251"/>
        <w:gridCol w:w="1948"/>
        <w:gridCol w:w="1004"/>
      </w:tblGrid>
      <w:tr w:rsidR="00000000" w14:paraId="18F08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54AF6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Показатель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D9453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Ожоговое отделение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40A66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Реанимационное ожоговое отделение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531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Всего</w:t>
            </w:r>
          </w:p>
        </w:tc>
      </w:tr>
      <w:tr w:rsidR="00000000" w14:paraId="3E289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6FBDB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Общее количество исследованных проб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CCEB0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304</w:t>
            </w:r>
          </w:p>
        </w:tc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60EFB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182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061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486</w:t>
            </w:r>
          </w:p>
        </w:tc>
      </w:tr>
      <w:tr w:rsidR="00000000" w14:paraId="18570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540EC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Количество положительных проб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C6CAF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122</w:t>
            </w:r>
          </w:p>
        </w:tc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46EA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109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7E4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231</w:t>
            </w:r>
          </w:p>
        </w:tc>
      </w:tr>
      <w:tr w:rsidR="00000000" w14:paraId="15C60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0E143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Процент положительных проб от общего числа проб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2A520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40,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%</w:t>
            </w:r>
          </w:p>
        </w:tc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98C9E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9,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8%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7F1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47,50%</w:t>
            </w:r>
          </w:p>
        </w:tc>
      </w:tr>
    </w:tbl>
    <w:p w14:paraId="69CC8DE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В результате сравнения доли положительных высевов установлено, что их процент достоверно выше в ожоговом отделении (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= 4,24; р 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0,05).</w:t>
      </w:r>
    </w:p>
    <w:p w14:paraId="676BD18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Частота выявления положительных проб в гнойной хирургии и реанимационном отделении представлены в таблице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2. </w:t>
      </w:r>
    </w:p>
    <w:p w14:paraId="2E52B56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60656E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Таблица 2 - Частота выявления положительных проб от больных, взятых за июнь - июль 2013 года отделения гнойной хирургии и реанимационном отделении гнойной хирургии.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1"/>
        <w:gridCol w:w="1781"/>
        <w:gridCol w:w="2248"/>
        <w:gridCol w:w="914"/>
      </w:tblGrid>
      <w:tr w:rsidR="00000000" w14:paraId="5BFD4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40F35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Показатель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C47AD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Отделение гнойной хирургии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A97E5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Реанимационное отделение гнойной хирургии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DF1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</w:t>
            </w:r>
          </w:p>
        </w:tc>
      </w:tr>
      <w:tr w:rsidR="00000000" w14:paraId="2C3AD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F586B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Общее количество исследованных проб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3D672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172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AB331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465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A13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637</w:t>
            </w:r>
          </w:p>
        </w:tc>
      </w:tr>
      <w:tr w:rsidR="00000000" w14:paraId="39FD8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C4C87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Количество положительных проб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4AF93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127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46614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164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EB0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291</w:t>
            </w:r>
          </w:p>
        </w:tc>
      </w:tr>
      <w:tr w:rsidR="00000000" w14:paraId="617D7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55D93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Процент положительных проб от общего числа проб</w:t>
            </w: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7AB53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73,80%</w:t>
            </w:r>
          </w:p>
        </w:tc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8725E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35,2%</w:t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9CE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45,60%</w:t>
            </w:r>
          </w:p>
        </w:tc>
      </w:tr>
    </w:tbl>
    <w:p w14:paraId="2507E85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B697ED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 таблицы 2 видно, что количество положительных проб в реанимационном отделении было бол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ьше, чем в самом отделении, но переведя эти данные в процентное соотношение видно, что в отделении гнойной хирургии процент положительных проб был больше в 2 раза, чем в реанимационном отделении. Процент достоверно выше в отделении реанимации гнойной хирур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гии (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= 8,91; р 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0,05).</w:t>
      </w:r>
    </w:p>
    <w:p w14:paraId="5933D62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Если сравнивать между собой данные таблиц по отделениям, окажется, что число положительных проб в двух отделениях одинаково, а процент разный и вдвое больше в отделении гнойной хирургии, чем в ожоговом (достоверно выше в гнойной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хирургии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>= 7,29; р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>0,05). Если рассматривать реанимационные отделения, тут количество положительных проб больше в гнойной хирургии, а в процентном соотношении превалирует реанимационная ожогового отделения. В результате сравнения установили, что процент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остоверно выше в ожоговом реанимационном отделении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>= 5,69; р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>0,05). Сравнивая эти данные с результатами исследований Шахмурадян Р.М. [2002] и Струкова А.Ю. [2009] можно сравнить число положительных высевов с предыдущими годами. Данное сравнение представл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ено на рисунке 1.</w:t>
      </w:r>
    </w:p>
    <w:p w14:paraId="34AB33B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6EAD682" w14:textId="245DBC80" w:rsidR="00000000" w:rsidRDefault="009751E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B4290E" wp14:editId="6879D142">
            <wp:extent cx="4381500" cy="2943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FE7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Рисунок 1 - Сравнение частоты выявления положительных высевов в 2001, 2008 и 2013 годах в ожоговом отделении и  отделении гнойной хирургии.</w:t>
      </w:r>
    </w:p>
    <w:p w14:paraId="57B5C86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3D6524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 за июнь-июль 2001г. в ожоговом отделении было выделено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61% проб с возбудителями ГСИ. Сравнивая эти результаты с результатами 2008 г. видно, что ожоговое отделение уменьшает долю высевов на 12,3% и составляла 48,7%, а в 2013 г. это цифра составляла 47,5%. Таким образом, можно сказать, что идет уменьшение высев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аемости проб с возбудителями ГСИ в ожоговом отделении. В отделении гнойной хирургии в 2001г. доля высевов с возбудителями составляла 39,6%. При сравнении с 2008г. прослеживается увеличение на 12,5% и составляла - 52,1%. Напротив, в 2013 г. идёт сокращение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числа высевов по сравнению с 2008 г. и составляла - 45,6%. </w:t>
      </w:r>
    </w:p>
    <w:p w14:paraId="001FBB2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При статистической обработке результатов было установлено, что различия между 2001 и 2013 гг. достоверны и составляли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>= 3,8; р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0,05, по двум изучаемым отделениям. Такая же картина прослеживалась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при сравнивании 2001 и 2008 гг. и достоверность значений составляла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>= 2,11; р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0,05. А вот при сравнений 2008 и 2013гг. приведенные данные находились в пределах ошибки и составляли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>=1,4; р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>0,05.</w:t>
      </w:r>
    </w:p>
    <w:p w14:paraId="5C5C5C2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результате проведенной работы за два летних месяца 2013 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 из 522 положительных проб материала от больных был выделен широкий спектр микроорганизмов. Спектр основных микроорганизмов по каждому из двух изучаемых отделений и реанимационных отделении, а также количество выделенных штаммов представлены в таблице 3.</w:t>
      </w:r>
    </w:p>
    <w:p w14:paraId="5E49185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 таблицы 3 видно, что наиболее часто в качестве основных возбудителей ВБИ в ожоговом отделении ККБ были представлены два лидера, это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- 45,8% на первом месте, на втором месте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-16% и на третьем по высеваемости находился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-7,1%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(7,1%). В гнойной хирургии картина высеваемости была чуть другая.</w:t>
      </w:r>
    </w:p>
    <w:p w14:paraId="3537C2B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Лидировали бактерии вида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24,6% - первое место, на втором месте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-17,2%, и на третьем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-14,7%. Основными возбудителями в отделениях явл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ялись лидерами по высеваемости и имели большой отрыв от остальных микроорганизмов.</w:t>
      </w:r>
    </w:p>
    <w:p w14:paraId="3735725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результате, за два летних месяца 2013 года из 522 положительных проб был выделен широкий спектр микроорганизмов - 46 видов, причем в отделении гнойной хирургии спектр чуть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шире и составлял 24 микроорганизма, тогда как в ожоговом отделении - 22.</w:t>
      </w:r>
    </w:p>
    <w:p w14:paraId="186F821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8DE7F1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Таблица 3 - Частота выявления и количество штаммов возбудителей ГСИ за июнь-июль 2013 года по двум отделениям.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1117"/>
        <w:gridCol w:w="1117"/>
        <w:gridCol w:w="1268"/>
        <w:gridCol w:w="1431"/>
        <w:gridCol w:w="1824"/>
      </w:tblGrid>
      <w:tr w:rsidR="00000000" w14:paraId="07F41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BDEA1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Микроорганизмы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CB888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Ожоговое отделение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41275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Отделение гнойной хирургии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0F7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, при р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0,05 </w:t>
            </w:r>
          </w:p>
        </w:tc>
      </w:tr>
      <w:tr w:rsidR="00000000" w14:paraId="52536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DD748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CC51A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Число штаммов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667CF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%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D4FA3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Число штаммов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8F7B0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%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8E3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 w14:paraId="0AE6B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B80C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P.aeruginosa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E96E6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3D19C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45,8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13594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56205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14,7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629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4,18</w:t>
            </w:r>
          </w:p>
        </w:tc>
      </w:tr>
      <w:tr w:rsidR="00000000" w14:paraId="13E02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EBB9C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A.baumannii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42D8A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29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7ED5A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16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D6AD0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25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B7AA3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9,19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22A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0,55</w:t>
            </w:r>
          </w:p>
        </w:tc>
      </w:tr>
      <w:tr w:rsidR="00000000" w14:paraId="2F317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68AA7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K.рneumoniae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6111C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F45BC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7,1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72DD7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30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6A79AE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E33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2,7</w:t>
            </w:r>
          </w:p>
        </w:tc>
      </w:tr>
      <w:tr w:rsidR="00000000" w14:paraId="09ECC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D8EC9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S.aureus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F8303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5EC15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7,1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2CF1A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47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3EE6C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17,2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8E6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4,72</w:t>
            </w:r>
          </w:p>
        </w:tc>
      </w:tr>
      <w:tr w:rsidR="00000000" w14:paraId="5373D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22A29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E.faecalis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C3626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A1E49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6,6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CAC43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67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D6C35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24,6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5AB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6,92</w:t>
            </w:r>
          </w:p>
        </w:tc>
      </w:tr>
      <w:tr w:rsidR="00000000" w14:paraId="3EBF0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267A1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E.coli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278CB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4D3A3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BE461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23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9497F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8,4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630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6,83</w:t>
            </w:r>
          </w:p>
        </w:tc>
      </w:tr>
      <w:tr w:rsidR="00000000" w14:paraId="4BBF3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1C46C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E.cloaceae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D3A3B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3DA85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5,5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70A07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C90DB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3,6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CB1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</w:tr>
      <w:tr w:rsidR="00000000" w14:paraId="43B00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EB407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P.miriabillis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14EAE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835E7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1,6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CB792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F2E3E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2,2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9A2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</w:tr>
      <w:tr w:rsidR="00000000" w14:paraId="13318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D4FE6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S.marcescens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2F944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5719E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2,7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8913F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D010A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1,1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837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0,71</w:t>
            </w:r>
          </w:p>
        </w:tc>
      </w:tr>
      <w:tr w:rsidR="00000000" w14:paraId="1113B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B6204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S.epidermidis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006F6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BF6E5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1,1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F9771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5AABF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1,4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BB5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0,83</w:t>
            </w:r>
          </w:p>
        </w:tc>
      </w:tr>
      <w:tr w:rsidR="00000000" w14:paraId="60CF3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24C32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C.albicans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5EDEB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92295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1,1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4967F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265BC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0,7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B99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</w:tr>
      <w:tr w:rsidR="00000000" w14:paraId="1978E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44EA5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С.tropicalis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DFAA5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97443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1,1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20E60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261BB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647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</w:tr>
      <w:tr w:rsidR="00000000" w14:paraId="38829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45862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Прочие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38C19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14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66960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7,7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95F61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22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0E93A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D8C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1,36</w:t>
            </w:r>
          </w:p>
        </w:tc>
      </w:tr>
      <w:tr w:rsidR="00000000" w14:paraId="1342D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EC317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Всего штаммов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336F3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181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3E4C8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0B804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272</w:t>
            </w: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4539D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100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198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5,71</w:t>
            </w:r>
          </w:p>
        </w:tc>
      </w:tr>
      <w:tr w:rsidR="00000000" w14:paraId="5A868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E4629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Общее кол-во видов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A7A64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22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A2E70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E83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0,3</w:t>
            </w:r>
          </w:p>
        </w:tc>
      </w:tr>
    </w:tbl>
    <w:p w14:paraId="7587C82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5160B5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Данные считать дост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оверными при значений критерия Стьюдента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>) больше 1,96.</w:t>
      </w:r>
    </w:p>
    <w:p w14:paraId="69BD984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Спектр основных микроорганизмов по двум изучаемым реанимационным отделениям представлен в таблице 4. </w:t>
      </w:r>
    </w:p>
    <w:p w14:paraId="2987413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Данная таблица 4, иллюстрирует количество выделенных штаммов в двух реанимационных отделениях.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з таблицы видно, что четверка основных лидеров возбудителей ВБИ в реанимационном ожоговом отделении ККБ составляли - синегнойная палочка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 - 30,4%, на втором месте-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-20,3%, а на третьем месте распологалась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-11,2%, на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четвертом месте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marcescens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- 9%. </w:t>
      </w:r>
    </w:p>
    <w:p w14:paraId="44DCE27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Данные считать достоверными при значений критерия Стьюдента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>) больше 1,96.</w:t>
      </w:r>
    </w:p>
    <w:p w14:paraId="68E9F8F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реанимационной гнойной хирургии была совсем другая картина, тут на первом месте-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- 20,6%, на втором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- 17,9%, на третьем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- 11,7%, на четвертом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- 9,2%, на пятом месте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- 5,2%. По 4,3% от всех выделенных возбудителей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epidermidis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Если рассматривать спектр основных выделенных микроорганизмов, то из 46 видов 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7 в реанимационном ожогового отделения, а 32 - больше чем в два раза в реанимационной гнойной хирургии. </w:t>
      </w:r>
    </w:p>
    <w:p w14:paraId="73017CA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B186A8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Таблица 4 - Частота выявления возбудителей ГСИ за июнь - июль 2013 года по двум исследуемым реанимационным отделениям.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1336"/>
        <w:gridCol w:w="1158"/>
        <w:gridCol w:w="1227"/>
        <w:gridCol w:w="1139"/>
        <w:gridCol w:w="1562"/>
      </w:tblGrid>
      <w:tr w:rsidR="00000000" w14:paraId="7D11D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BBEF7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Микроорганизмы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DDD4E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Реанимационное о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жоговое отделение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3DC91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Реанимационное отделение гнойной хирургии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0DA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t, при р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0,05 </w:t>
            </w:r>
          </w:p>
        </w:tc>
      </w:tr>
      <w:tr w:rsidR="00000000" w14:paraId="67004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987B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F87AD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Число штаммов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8D00D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%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6517A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Число штаммов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4A728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%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C31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 w14:paraId="0B4C1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A76ED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P.aeruginosa 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535E8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57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5E64F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30,4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55391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7C18D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9,2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03F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3,05</w:t>
            </w:r>
          </w:p>
        </w:tc>
      </w:tr>
      <w:tr w:rsidR="00000000" w14:paraId="0346D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F7116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A.baumannii 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6312E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38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D8FF2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20,3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C0BCC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58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16063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17,9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39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2,15</w:t>
            </w:r>
          </w:p>
        </w:tc>
      </w:tr>
      <w:tr w:rsidR="00000000" w14:paraId="68D30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F110F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K. рneumoniae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25DA2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21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01BD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11,2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A9983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67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41794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20,6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957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5,31</w:t>
            </w:r>
          </w:p>
        </w:tc>
      </w:tr>
      <w:tr w:rsidR="00000000" w14:paraId="4D166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C1FAB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S. aureus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BB9C1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5FE9E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9C778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A2717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4,3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28D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3,31</w:t>
            </w:r>
          </w:p>
        </w:tc>
      </w:tr>
      <w:tr w:rsidR="00000000" w14:paraId="459C4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93B5D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E. faecalis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B4598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DAF76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4,2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519A7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9F604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5,2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913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1,85</w:t>
            </w:r>
          </w:p>
        </w:tc>
      </w:tr>
      <w:tr w:rsidR="00000000" w14:paraId="25452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A9455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E. coli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D60D9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D55FA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2,1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C29FC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38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7915B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11,7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3DA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5,99</w:t>
            </w:r>
          </w:p>
        </w:tc>
      </w:tr>
      <w:tr w:rsidR="00000000" w14:paraId="09933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9C1DA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E. cloaceae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2AEF0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20CB7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4,7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29771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CB248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2,4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CB4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0,24</w:t>
            </w:r>
          </w:p>
        </w:tc>
      </w:tr>
      <w:tr w:rsidR="00000000" w14:paraId="36983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F8D96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P. miriabillis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B87F6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FCADE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4,2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A8005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229EE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3,7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5A8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0,9</w:t>
            </w:r>
          </w:p>
        </w:tc>
      </w:tr>
      <w:tr w:rsidR="00000000" w14:paraId="764C8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55982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S.marcescens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BAC1F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17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B1257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F6E0D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1C115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0,9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E94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3,41</w:t>
            </w:r>
          </w:p>
        </w:tc>
      </w:tr>
      <w:tr w:rsidR="00000000" w14:paraId="0B6B0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F6AFF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S. epidermidis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C948B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F7279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B68B8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143C9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4,3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738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3,31</w:t>
            </w:r>
          </w:p>
        </w:tc>
      </w:tr>
      <w:tr w:rsidR="00000000" w14:paraId="1882E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AF37A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C. albicans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F68B3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46668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D8752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133BD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3,7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D62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4,91</w:t>
            </w:r>
          </w:p>
        </w:tc>
      </w:tr>
      <w:tr w:rsidR="00000000" w14:paraId="359AD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39C29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C.tropicalis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EA06D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167CE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3,2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C2159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C3F94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2,1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2EE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0,27</w:t>
            </w:r>
          </w:p>
        </w:tc>
      </w:tr>
      <w:tr w:rsidR="00000000" w14:paraId="13D36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D03DA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Прочие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DA372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15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82232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8AE55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8DC6A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9,2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B78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2,31</w:t>
            </w:r>
          </w:p>
        </w:tc>
      </w:tr>
      <w:tr w:rsidR="00000000" w14:paraId="0F8AC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BEB40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Всего штаммов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C713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187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11A0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3196A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324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6E53F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4B3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8,58</w:t>
            </w:r>
          </w:p>
        </w:tc>
      </w:tr>
      <w:tr w:rsidR="00000000" w14:paraId="51ABE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DDFC6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Общее кол-во видов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28D1A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17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01CD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DCF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2,22</w:t>
            </w:r>
          </w:p>
        </w:tc>
      </w:tr>
    </w:tbl>
    <w:p w14:paraId="4B8F95D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E754F9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сравнении между собой ожоговое отделение и реанимационное ожогового отделения было выявлено, что процент высеваемости основных возбудителей различен в отделении и в реан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имационном отделении.</w:t>
      </w:r>
    </w:p>
    <w:p w14:paraId="557B744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 таблиц видно, что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отделении составлял 45,8%, а в реанимационном отделении 30,4%. В то же время, остальных возбудителей было больше в реанимационной, чем в отделении. </w:t>
      </w:r>
    </w:p>
    <w:p w14:paraId="7C289D8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в отделении 16%, а в реанимацио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нной 20,3%,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7,1% в отделении и 11,2% в реанимационной,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6,6% в отделении и в реанимационной 4,2%.</w:t>
      </w:r>
    </w:p>
    <w:p w14:paraId="3D2F7CA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Основными возбудителями ГСИ в отделении гнойной хирургии являлись;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(24,6%), а в реанимационной на 80% меньше (5,2%). С неб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ольшими, промежутками на втором и третьем месте в отделении распологались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(17,2%) здесь он встречался в три раза чаще, чем в реанимационной (4,3%)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(14,7%), в реанимационной - 9%. В реанимационном отделении основными лидерами являлис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(20,6%)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(17,9%) встречались в два раза чаще в самом отделении. Высеваемость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реанимационной - 11,7% а в отделении 8,4%. В среднем по двум отделениям и по реанимационным наиболее часто выделяли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(22,1%),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(15,8%),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(13,8%),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(8%),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(6,8%).</w:t>
      </w:r>
    </w:p>
    <w:p w14:paraId="61CD4F2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Количество штаммов и частота выявления основных возбудителей ГСИ за период 2012 год представлена в таблице 5.</w:t>
      </w:r>
    </w:p>
    <w:p w14:paraId="1C62987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Исходя из данной таблицы, 5 можно провести сравнение по высеваемости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иболее значимых в этиологии возбудителей ГСИ за летний период и за год, в двух изучаемых отделениях и реанимационных отделениях. Так в ожоговом отделении и реанимационной основные возбудители за год и за летний период те же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а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А вот в отделении гнойной хирургии и реанимационной имеются не большие различия.</w:t>
      </w:r>
    </w:p>
    <w:p w14:paraId="0D80968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 за летний период как уже было рассмотрено раньше в отделении гнойной хирургии лидировали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а 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весь год исходя из таблицы преимущество имели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с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и лишь за ними в равном количестве высевались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Исходя из этого можно сделать вывод, что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высевались чаще в летний пери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од в данном отделении, чем в зимний. В реанимационном отделений же за летний период основными стали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с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Практический такая же картина и по высеваемости за год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с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14:paraId="191C805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573FFF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Таблица 5 - Количество штаммов и частота выявления основных возбудителей ГСИ за период с 1.07.12 по 1.08.13 гг.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623"/>
        <w:gridCol w:w="1892"/>
        <w:gridCol w:w="1489"/>
        <w:gridCol w:w="1850"/>
      </w:tblGrid>
      <w:tr w:rsidR="00000000" w14:paraId="4C209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2E89D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Микроорганизмы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6A7CB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Ожоговое отделение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3FEF5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Реанимационное ожоговое отделение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CED66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Отделение гнойной хирургии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B41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Реанимационно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е отделение гнойной хирургии</w:t>
            </w:r>
          </w:p>
        </w:tc>
      </w:tr>
      <w:tr w:rsidR="00000000" w14:paraId="408A5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48D71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P.aeruginosa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6F2ED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256(34,9%)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3F5F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200(29%)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10AF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97(10,8%)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323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131(11,9%)</w:t>
            </w:r>
          </w:p>
        </w:tc>
      </w:tr>
      <w:tr w:rsidR="00000000" w14:paraId="622D9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D8A15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baumannii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B2783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178(24,2%)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B9FE1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179(25,6%)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558FB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96(10,7%)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7E1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205(18,6%)</w:t>
            </w:r>
          </w:p>
        </w:tc>
      </w:tr>
      <w:tr w:rsidR="00000000" w14:paraId="58E4B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6FCFE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neumoniae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87045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60(8,1%)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BE656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83(11,8%)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442A1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131(14,6%)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2EE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230(25,8%)</w:t>
            </w:r>
          </w:p>
        </w:tc>
      </w:tr>
      <w:tr w:rsidR="00000000" w14:paraId="1A702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515B9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 xml:space="preserve"> aureus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34158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64(8,7%)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2A120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12(1,7%)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01EB9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150(16,8%)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967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60(5,4%)</w:t>
            </w:r>
          </w:p>
        </w:tc>
      </w:tr>
      <w:tr w:rsidR="00000000" w14:paraId="739B0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9695F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 xml:space="preserve"> coli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038EA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10(1,3%)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8379E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21(3%)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E93ED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110(12,3%)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358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123(11,2%)</w:t>
            </w:r>
          </w:p>
        </w:tc>
      </w:tr>
      <w:tr w:rsidR="00000000" w14:paraId="3FF1D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7363F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E. faecalis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CE1DB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42(5,7%)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57F24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41(5,9%)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F5F84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88(9,8%)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3B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65(6,0%)</w:t>
            </w:r>
          </w:p>
        </w:tc>
      </w:tr>
      <w:tr w:rsidR="00000000" w14:paraId="7186B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80447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 xml:space="preserve"> cloaceae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CEF1A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33(4,5%)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187F0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30(4,3%)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CD618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20(2,2%)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E7F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15(1,4%)</w:t>
            </w:r>
          </w:p>
        </w:tc>
      </w:tr>
      <w:tr w:rsidR="00000000" w14:paraId="6DC7B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90346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 xml:space="preserve"> faecium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36CB1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3(0,4%)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1A781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8(1, 1%)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7CF2E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18(2%)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444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65(6,0%)</w:t>
            </w:r>
          </w:p>
        </w:tc>
      </w:tr>
      <w:tr w:rsidR="00000000" w14:paraId="0EA90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3EF3A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P. miriabillis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16C95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10(1,3%)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37608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22(3,1%)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7FFFC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29(32%)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471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31(2,9%)</w:t>
            </w:r>
          </w:p>
        </w:tc>
      </w:tr>
      <w:tr w:rsidR="00000000" w14:paraId="15A8E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12864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C. albicans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B5D19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4(0,5%)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3592F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12(1,7%)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54387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12(1,3%)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120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52(4,7%)</w:t>
            </w:r>
          </w:p>
        </w:tc>
      </w:tr>
      <w:tr w:rsidR="00000000" w14:paraId="60DE0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032C7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C.tropicalis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CCB16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2(0,2%)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BED22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9(1,2%)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8FEC5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BF5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28(2,6%)</w:t>
            </w:r>
          </w:p>
        </w:tc>
      </w:tr>
      <w:tr w:rsidR="00000000" w14:paraId="6DBE1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A1B86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Прочие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2C5A5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23(3,1%)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93101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19(2,72%)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DD946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38(4,26%)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2C6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37(4%)</w:t>
            </w:r>
          </w:p>
        </w:tc>
      </w:tr>
      <w:tr w:rsidR="00000000" w14:paraId="624D8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E81D8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Всего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штаммов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C2B15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733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195D6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698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1FE38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892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4A2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1098</w:t>
            </w:r>
          </w:p>
        </w:tc>
      </w:tr>
      <w:tr w:rsidR="00000000" w14:paraId="35C7F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2A73B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Общее количество видов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A6083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965D4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846BB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406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45</w:t>
            </w:r>
          </w:p>
        </w:tc>
      </w:tr>
    </w:tbl>
    <w:p w14:paraId="5370BC4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6F3EAC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таблице 6 показано, что преимущество имели грамотри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цательные микроорганизмы над грамположительными. При сравнений отделении и реанимационных по количественному составу четко было видно преобладание реанимационных отделений.</w:t>
      </w:r>
    </w:p>
    <w:p w14:paraId="7681A45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Особенно лидировали отделения гнойной хирургии и реанимационное, как по количеству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микроорганизмов, так и по грибам. </w:t>
      </w:r>
    </w:p>
    <w:p w14:paraId="668B4AB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Таблица 6 - Количество и частота Г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Г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микроорганизмов обнаруженных в двух изучаемых отделениях и реанимационных отделениях.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1643"/>
        <w:gridCol w:w="1475"/>
        <w:gridCol w:w="2359"/>
        <w:gridCol w:w="1246"/>
      </w:tblGrid>
      <w:tr w:rsidR="00000000" w14:paraId="2F9A4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BF357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Отделения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2D2E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Г+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12868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Г-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BF6D8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Дрожжеподобные грибы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1D1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Всего штаммов</w:t>
            </w:r>
          </w:p>
        </w:tc>
      </w:tr>
      <w:tr w:rsidR="00000000" w14:paraId="32675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ECA2E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Отделение гнойной хирургии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3387D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11(37,9%)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EDFA0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15(51,7%)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9C97C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3(10,3%)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CB7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29</w:t>
            </w:r>
          </w:p>
        </w:tc>
      </w:tr>
      <w:tr w:rsidR="00000000" w14:paraId="070EA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CD987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Реанимационное отделение гнойной хирургии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5EA35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11(34,3%)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ACE41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16(50%)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B856D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5(15,6%)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97A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32</w:t>
            </w:r>
          </w:p>
        </w:tc>
      </w:tr>
      <w:tr w:rsidR="00000000" w14:paraId="1B43D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08D53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Ожоговое отделение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E9AD6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6(37,5%)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AD0D6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8(50%)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E7CD8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2(12,5%)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CAB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16</w:t>
            </w:r>
          </w:p>
        </w:tc>
      </w:tr>
      <w:tr w:rsidR="00000000" w14:paraId="6755E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02482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Реанимационное ожоговое отделение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9670D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9(42,8%)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7285F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11(52,3%)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8A73F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1(4,7%)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30F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21</w:t>
            </w:r>
          </w:p>
        </w:tc>
      </w:tr>
    </w:tbl>
    <w:p w14:paraId="66A2503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BEC199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Высеваемость Г- микрофлоры в отделе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нии гнойной хирургии(51%) на 1% была больше чем в ожоговом отделении (50 %). Практический одинаковая картина была при высеваемости Г+ микрофлоры, так в гнойной хирургии- 37,9%, в ожоговом отделении - 37,5%. Дрожжеподобные грибы в гнойной хирургии - 10,3%,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 в ожоговом отделении на 2,5% было больше - 12,5%. В реанимационных же лидировало ожоговое отделение. Высев Г- микроорганизмов в гнойной хирургии составлял 50% от общего числа, а в ожоговом 52,3%. Г+микроорганизмы в гнойной хирургии состовляли 34,3%, а в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ожоговом 42,8%. По высеву дрожжеподобных грибов лидером являлась гнойная хирургия 15,6%, в три раза больше чем в ожоговом 4,7 %.</w:t>
      </w:r>
    </w:p>
    <w:p w14:paraId="2B9E4D8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Данные Шахмурадян Р.М. [2001] по высеваемости микрофлоры свиделествовали о преобладании Г+микрофлоры над Г-. И в ожоговом отде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лении и в отделении гнойной хирургии из грамположительных наиболее часто высевались представители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(52,8%). Из грамотрицательных наибольшей частотой встречаемости обладали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(22,8%) и представители семейства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Enterobacteriacea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(13,1%), а именно: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Proteus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(3,5%),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Klebsiella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(1,8%),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Proteus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mirabilis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(2,1%)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(1,8%). Дрожжеподобные грибы не высевались.</w:t>
      </w:r>
    </w:p>
    <w:p w14:paraId="7311438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свою очередь данные А.Ю. Струкова [2008] говорят обратное, здесь в отделении гнойной хирургии лидировали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а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(21,9%),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(10,9%%),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(10,3%). А вот в ожоговом отделении лидерами были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(29,9%),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.а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(17,2%)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(14,6%), т.е. в данной ситуации как Г- так и Г+ микрофлора вышли на одну ступень лидерства. Дрожжеподоб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ные грибы высевались в незначительных количествах.</w:t>
      </w:r>
    </w:p>
    <w:p w14:paraId="78588C2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Таким образом, при сравнении высевов 2001, 2008 и 2013 года по составу микрофлоры можно сделать заключение, что грамотрицательная микрофлора по немного вытесняя грамположительную занимала лидирующее место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ГСИ ожогового и хирургического отделении.</w:t>
      </w:r>
    </w:p>
    <w:p w14:paraId="7806772E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Динамика высеваемости наиболее распространенных возбудителей ГСИ за июнь-июль 2001, 2008 и 2013 г. представлена на рисунке 2 и 3.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</w:t>
      </w:r>
    </w:p>
    <w:p w14:paraId="2B172203" w14:textId="77777777" w:rsidR="00000000" w:rsidRDefault="0011776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 ри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сунк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а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2 видно, что в ожоговом отделении картина существенно меняется.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us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lang w:val="en-US"/>
        </w:rPr>
        <w:t xml:space="preserve"> занимавший первое место в 2001г. уже в 2008г. сдает свои позиции и занимает второе место сокращая при этом долю высевов на 13%, что вследствий приводит к выпадению его из пятерки лидеров на сегодняшний день,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 на втором месте в 2001 г.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оторый прибавив 7% переходит н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а первом месте в 2008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г.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сохраняет свое лидерство и по сей день. Важно отметить, что он не только не сократил, а наоборот приувеличил долю высеваемости на 1</w:t>
      </w:r>
      <w:r>
        <w:rPr>
          <w:rFonts w:ascii="Times New Roman CYR" w:hAnsi="Times New Roman CYR" w:cs="Times New Roman CYR"/>
          <w:kern w:val="1"/>
          <w:sz w:val="28"/>
          <w:szCs w:val="28"/>
        </w:rPr>
        <w:t>6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%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 2008 г, а с 2001 г. в два раза. На третьем месте в 2001 г. расп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оложился представитель вида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epidermidis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в 2008 он уходит на 9 место, а в 2013 даже не входит в десятку. В 2008 г. на третьем месте в ожоговом отделени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а в 2013 г. он уже становится вторым в линейке лидеров прибавив чуть меньше 2%. И в 200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8 и в 2013 гг. за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равных количествах, следует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14:paraId="3180A222" w14:textId="77777777" w:rsidR="00000000" w:rsidRDefault="0011776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целом можно сказать, что грамположительная микрофлора на сегодняшний день сдвинута грамотрицательной. Нельзя не отметить более или менее стабильное положение энтерококков, которые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за данный промежуток времени остаются практический на тех же позициях с едва ли заментной динамикой.</w:t>
      </w:r>
    </w:p>
    <w:p w14:paraId="2ED8D269" w14:textId="337F76A2" w:rsidR="00000000" w:rsidRDefault="0011776C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 w:rsidR="009751E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97D24F" wp14:editId="7D9AB785">
            <wp:extent cx="4867275" cy="335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</w:t>
      </w:r>
    </w:p>
    <w:p w14:paraId="4F0CDABD" w14:textId="77777777" w:rsidR="00000000" w:rsidRDefault="0011776C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kern w:val="1"/>
          <w:sz w:val="28"/>
          <w:szCs w:val="28"/>
        </w:rPr>
        <w:t>2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- Высеваемость наиболее существенных в этиологии возбудителей ГСИ за летние месяцы 2001, 2008 и 2013 годо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в ожоговом отделении.</w:t>
      </w:r>
    </w:p>
    <w:p w14:paraId="3B306146" w14:textId="77777777" w:rsidR="00000000" w:rsidRDefault="0011776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A108163" w14:textId="77777777" w:rsidR="00000000" w:rsidRDefault="0011776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Высеваемость наиболее существенных в этиологии возбудителей ГСИ за летние месяцы 2001, 2008 и 2013 годов в отделении гнойной хирургии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представлена на рисунке 3.</w:t>
      </w:r>
    </w:p>
    <w:p w14:paraId="76408D53" w14:textId="77777777" w:rsidR="00000000" w:rsidRDefault="0011776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Совершенно другая динамика просматривается в отделении гнойной хирурги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и. В 2001г. так же как и в ожоговом отделении главные лидеры грамположительная микрофлора, а в особенности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lang w:val="en-US"/>
        </w:rPr>
        <w:t>. В 2008г. он теряет долю высеваемости на 14%, но несмотря на это он остается лидером. Так же как и в ожоговом отделении здесь уже лидирует г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lang w:val="en-US"/>
        </w:rPr>
        <w:t>рамотрицательная микрофлора.</w:t>
      </w:r>
    </w:p>
    <w:p w14:paraId="257AAB9B" w14:textId="77777777" w:rsidR="00000000" w:rsidRDefault="0011776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>В 2013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г.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noProof/>
          <w:kern w:val="1"/>
          <w:sz w:val="28"/>
          <w:szCs w:val="28"/>
          <w:lang w:val="en-US"/>
        </w:rPr>
        <w:t xml:space="preserve"> все таки не выдержал конкуренцию и утратив</w:t>
      </w:r>
      <w:r>
        <w:rPr>
          <w:rFonts w:ascii="Times New Roman CYR" w:hAnsi="Times New Roman CYR" w:cs="Times New Roman CYR"/>
          <w:kern w:val="1"/>
          <w:sz w:val="28"/>
          <w:szCs w:val="28"/>
        </w:rPr>
        <w:t>,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больше 10% оказ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ался</w:t>
      </w: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 на втором месте. А вот пьедестал первенства достается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который ещё в 2001г. составлял 3,5%, а в 2013 г. уже 24%.</w:t>
      </w:r>
    </w:p>
    <w:p w14:paraId="6E1615EC" w14:textId="77777777" w:rsidR="00000000" w:rsidRDefault="0011776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053FCE9" w14:textId="43D42879" w:rsidR="00000000" w:rsidRDefault="0011776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 w:rsidR="009751E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6BDA78" wp14:editId="1604739E">
            <wp:extent cx="4819650" cy="297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A725B" w14:textId="77777777" w:rsidR="00000000" w:rsidRDefault="0011776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kern w:val="1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</w:rPr>
        <w:t xml:space="preserve">Рисунок 3 - Высеваемость наиболее существенных в этиологии возбудителей ГСИ за летние месяцы 2001, 2008 и 2013 годов в отделении гнойной хирургии. </w:t>
      </w:r>
    </w:p>
    <w:p w14:paraId="3EA1BC44" w14:textId="77777777" w:rsidR="00000000" w:rsidRDefault="0011776C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DC040D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Второе место в 2001 и 2008гг. занимала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правда в 2008г. она потеряла 7% от 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исла высевов, после чего, несмотря на небольшое увеличение числа высевов в 2013г. она опустилась на 3 место. </w:t>
      </w:r>
    </w:p>
    <w:p w14:paraId="338349A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Третье место в 2008г. поделили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которые в 2013г. и вовсе опустились на третье и четвёртое.</w:t>
      </w:r>
    </w:p>
    <w:p w14:paraId="4EAE2AB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основном лидируют грамот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рицательные микроорганизмы, как в отделении гнойной хирургии, так и в ожоговом отделении.</w:t>
      </w:r>
    </w:p>
    <w:p w14:paraId="0AA9A98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исследуемых образцах бактерии обнаруживались как в монокультуре, так и в ассоциациях. Наиболее часто, микст инфекции обнаруживаются у больных со сниженной антиинфек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ционной резистентностью в условиях стационара [Седов, 1983]. Проблема смешанных (микст) инфекций приобретает актуальность в связи с широким их распространением и выраженной тяжестью клинических проявлений [Воробьёв А.А., 2003]. </w:t>
      </w:r>
    </w:p>
    <w:p w14:paraId="29D8EA2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19C5CD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Таблица - 7 Ассоциации 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кроорганизмов, обнаруженных за два летних месяца 2013 года в изучаемых отделениях и реанимационных отделениях.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1158"/>
        <w:gridCol w:w="1187"/>
        <w:gridCol w:w="1826"/>
        <w:gridCol w:w="1713"/>
        <w:gridCol w:w="1094"/>
      </w:tblGrid>
      <w:tr w:rsidR="00000000" w14:paraId="589E8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A1BF0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Вид ассоциации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2A481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Ожоговое отделение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1D33E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Отделение гнойной хирургии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5E48E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Реанимационное ожогового отделения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1F306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Реанимационное отделения гнойной хирургии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275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Всего</w:t>
            </w:r>
          </w:p>
        </w:tc>
      </w:tr>
      <w:tr w:rsidR="00000000" w14:paraId="59639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875D1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из 2-х видов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0AA3C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39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38F4A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29</w:t>
            </w: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0DDCA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30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D7629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5D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140</w:t>
            </w:r>
          </w:p>
        </w:tc>
      </w:tr>
      <w:tr w:rsidR="00000000" w14:paraId="5C443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62504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из-3-х видов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AEAAE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16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E03EF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</w:t>
            </w: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DC165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13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510F0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0F3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50</w:t>
            </w:r>
          </w:p>
        </w:tc>
      </w:tr>
      <w:tr w:rsidR="00000000" w14:paraId="35704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CDF97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из 4-х видов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E7E6A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87824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9CFAA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4919A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24D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</w:t>
            </w:r>
          </w:p>
        </w:tc>
      </w:tr>
      <w:tr w:rsidR="00000000" w14:paraId="5F210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EAFAF8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Всего ассоциаций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EC8BA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56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B7654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40</w:t>
            </w: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B64C0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46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8FC1E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4D9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202</w:t>
            </w:r>
          </w:p>
        </w:tc>
      </w:tr>
      <w:tr w:rsidR="00000000" w14:paraId="1CAFC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67037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Число положительных высевов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C979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122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51426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127</w:t>
            </w: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6CE6C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109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DEEC5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164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888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522</w:t>
            </w:r>
          </w:p>
        </w:tc>
      </w:tr>
      <w:tr w:rsidR="00000000" w14:paraId="5C312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1C5A5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% от числа положительных высевов</w:t>
            </w: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C2562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45,90%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6F155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32,60%</w:t>
            </w:r>
          </w:p>
        </w:tc>
        <w:tc>
          <w:tcPr>
            <w:tcW w:w="1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9387C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42,20%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CC7B7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36,50%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4BF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38,60%</w:t>
            </w:r>
          </w:p>
        </w:tc>
      </w:tr>
    </w:tbl>
    <w:p w14:paraId="65FBFDE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F49B59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 два летних месяц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2013 года количество ассоциаций по двум исследуемым отделениям составило 96, что составляет 18,3% от общего числа положительных высевов (522) а по реанимационным отделениям- 106, что составляет 20,3% от общего числа положительных высевов (522). Ассоциаци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микроорганизмов, обнаруженные, в изучаемых отделениях и реанимационных представлены в 7 таблице</w:t>
      </w:r>
    </w:p>
    <w:p w14:paraId="19C8D7D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Как видно из таблицы 7, наиболее часто встречались ассоциации из двух видов микроорганизмов (69,3%), а случаи выявления ассоциации из 4 видов микроорганизмов 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единичны (5,9%). Высокое количество ассоциации по-прежнему является большой проблемой современной медицины. При сравнении отделения гнойной хирургии (32,6%) и ожогового (45,9%) очевидно лидерство ожогового отделения. Чуть иная картина в реанимационных отде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лениях, здесь по общему числу ассоциации лидировала гнойная хирургия, а вот в перерасчете на проценты с небольшим отрывом опережает ожоговое реанимационное отделение (42,2%), чем гнойная (36,5%). </w:t>
      </w:r>
    </w:p>
    <w:p w14:paraId="490D5FD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 таблицы 8 видно, что наиболее часто в июне-июле 2013 год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встречались ассоциации, имеющие следующтй состав: A.baumannii + P.aeruginosa (21 случаев), P.aeruginosa + K.pneumoniae (10 случаев), S.marcescens + P.aeruginosa (8 случаев). С клинической точки зрения, наиболее опасными для больных являются ассоциации, 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остоящие из патогенных микроорганизмов A.baumannii, P.aeruginosa и K.pneumoniae, так как именно эти микроорганизмы обладают высокой степенью устойчивости к антимикробным препаратам. </w:t>
      </w:r>
    </w:p>
    <w:p w14:paraId="2121D9C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Сравнив с предыдущими годами можно опять - таки сделать вывод о характере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доминирующей микрофлоры. Так в 2001г. в 100% случаев в ассоциациях встречались три основных возбудителя: P.aeruginosa+S.aureus (11 случая), S.aureus+Acinetobacter sp. (4случая), S.aureus+Enterobacter sp. (3 случая) Гораздо реже микст-инфекции встречалтсь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отделении гнойной хирургии, так в ожоговом отделении было выделено 247 ассоциации,а в гнойной хирургии всего 25. В 2008г. наиболее часто встречаемые ассоциации так же состояли из: S.aureus+P.aeruginosa (12 случаев), S.aureus+A.baumannii (9 случаев), P.ae</w:t>
      </w:r>
      <w:r>
        <w:rPr>
          <w:rFonts w:ascii="Times New Roman CYR" w:hAnsi="Times New Roman CYR" w:cs="Times New Roman CYR"/>
          <w:kern w:val="1"/>
          <w:sz w:val="28"/>
          <w:szCs w:val="28"/>
        </w:rPr>
        <w:t>ruginosa+K.pneumoniae (9 случаев). В отделении гнойной хирургии микст инфекции встречались реже (23,4%), чем в ожоговом отделении (25,9%). Исходя из вышеизложенного очевиден рост Г- микрофлоры над Г+.</w:t>
      </w:r>
    </w:p>
    <w:p w14:paraId="2AAC5CA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сравнений общего количества ассоциаций за летний пе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риод 2013(202 случая) года с 2001(110 случаев) и 2008(121 случая) гг. нами были обработаны эти данные математический и установили, что 2001 и 2013 года достоверно выше в 2013г. и t =4,62; р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>0,05. В 2008 и 2013 гг. процент достоверности выше опять таки в 20</w:t>
      </w:r>
      <w:r>
        <w:rPr>
          <w:rFonts w:ascii="Times New Roman CYR" w:hAnsi="Times New Roman CYR" w:cs="Times New Roman CYR"/>
          <w:kern w:val="1"/>
          <w:sz w:val="28"/>
          <w:szCs w:val="28"/>
        </w:rPr>
        <w:t>13г. и t=4,83; р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>0,05, а при сравнений 2001 и 2008 гг. достоверность превышала в 2008г. и составляла t=8,13; р</w:t>
      </w:r>
      <w:r>
        <w:rPr>
          <w:rFonts w:ascii="Times New Roman" w:hAnsi="Times New Roman" w:cs="Times New Roman"/>
          <w:kern w:val="1"/>
          <w:sz w:val="28"/>
          <w:szCs w:val="28"/>
        </w:rPr>
        <w:t>≤</w:t>
      </w:r>
      <w:r>
        <w:rPr>
          <w:rFonts w:ascii="Times New Roman CYR" w:hAnsi="Times New Roman CYR" w:cs="Times New Roman CYR"/>
          <w:kern w:val="1"/>
          <w:sz w:val="28"/>
          <w:szCs w:val="28"/>
        </w:rPr>
        <w:t>0,05.</w:t>
      </w:r>
    </w:p>
    <w:p w14:paraId="316AE60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D0699D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Таблица 8 - Состав наиболее распространенных ассоциации, обнаруженных за июнь-июль 2013 года в изучаемых отделениях.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963"/>
        <w:gridCol w:w="2005"/>
        <w:gridCol w:w="1934"/>
      </w:tblGrid>
      <w:tr w:rsidR="00000000" w14:paraId="516A9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47BE8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Состав ассоциации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64B4D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его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7A11E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Ожоговое отделение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233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Гнойная хирургия</w:t>
            </w:r>
          </w:p>
        </w:tc>
      </w:tr>
      <w:tr w:rsidR="00000000" w14:paraId="4D56E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365AC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A.baumannii + P.aeruginosa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45996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21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1AC9B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18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D61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</w:tr>
      <w:tr w:rsidR="00000000" w14:paraId="13D62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8047C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S.marcescens + P.aeruginosa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4DFBB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BEDA0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EEA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</w:t>
            </w:r>
          </w:p>
        </w:tc>
      </w:tr>
      <w:tr w:rsidR="00000000" w14:paraId="250FF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C8A6B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E.faecalis + A. baumannii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B0C49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720C2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ECD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</w:t>
            </w:r>
          </w:p>
        </w:tc>
      </w:tr>
      <w:tr w:rsidR="00000000" w14:paraId="557B4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0B0D3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P.aeruginosa + K.pneumoniae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07166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F441D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D04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</w:t>
            </w:r>
          </w:p>
        </w:tc>
      </w:tr>
      <w:tr w:rsidR="00000000" w14:paraId="27669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201FB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P.mirabilis + A. baumannii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6D059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7C83E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9C5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</w:tr>
      <w:tr w:rsidR="00000000" w14:paraId="306AE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06BE2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A. baumannii + P.aeruginosa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B9AFC4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98C4A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007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</w:t>
            </w:r>
          </w:p>
        </w:tc>
      </w:tr>
    </w:tbl>
    <w:p w14:paraId="111FCBE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BDDC6E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связи с тем, что в рану микроорганизмы попадают с объектов внешней среды, мы в качестве примера провели санитарно-микробиологические исследования в реанимационных отделениях с объектов окружающей среды, которые в част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ности могут послужить резервуаром возбудителей ГСИ в больничной среде.</w:t>
      </w:r>
    </w:p>
    <w:p w14:paraId="5623E33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Нами проводились посевы на стерильность и смывы с таких объектов окружающей среды как; руки медперсонала, аппаратура, спец. одежда медперсонала, трубки отсосов, манипуляционные столы, 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аковины, пеленки стерильного лотка, столы для приготовления смесей, операционные столы, шовные столы, шовный материал и др. </w:t>
      </w:r>
    </w:p>
    <w:p w14:paraId="39D1366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Всего было взято 803 объекта внешней среды, из них 363 в АРО-4 и 440 в АРО-5. Результаты частоты выявления возбудителей из смывов 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внешней среды представлены в таблице 9.</w:t>
      </w:r>
    </w:p>
    <w:p w14:paraId="2A221EA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9FF072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Таблица 9 - Частота выявления возбудителей из смывов с объектов окружающей среды по реанимационным отделениям ККБ за 2013 год (с 01.01.2013 по 01.12.2013 г.)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746"/>
        <w:gridCol w:w="927"/>
        <w:gridCol w:w="968"/>
        <w:gridCol w:w="1010"/>
        <w:gridCol w:w="1121"/>
        <w:gridCol w:w="1052"/>
        <w:gridCol w:w="954"/>
        <w:gridCol w:w="958"/>
      </w:tblGrid>
      <w:tr w:rsidR="00000000" w14:paraId="46360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C2EB4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Отделения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C95AA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Всего штам.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A7EB0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S.aureus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EF1E2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Е.coli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650FD1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P.aerug.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1CA79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K.р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neum.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56C79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A.baum.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34B7D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S.marc.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6D5C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Прочие</w:t>
            </w:r>
          </w:p>
        </w:tc>
      </w:tr>
      <w:tr w:rsidR="00000000" w14:paraId="103D8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D3772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АРО-4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8F2F6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1A04D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1(4,5%)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37989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E5004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5(22,7%)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4907BA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BA332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13(59%)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4A1F90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A577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3(13,6%)</w:t>
            </w:r>
          </w:p>
        </w:tc>
      </w:tr>
      <w:tr w:rsidR="00000000" w14:paraId="76FAD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0AE88E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АРО-5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8849BB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8162F9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2(4,8%)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ED4B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1(2,4%)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F2ED1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1(2,4%)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7F1E5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 (26,9%)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BBE14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24(58,5%)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BE02F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1(2,4%)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6A9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1(2,4%)</w:t>
            </w:r>
          </w:p>
        </w:tc>
      </w:tr>
      <w:tr w:rsidR="00000000" w14:paraId="44FFC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BC2A1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A847D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9E55D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3(4,7%)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411932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1(1,5%)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706908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6(9,5%)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7A37E3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11(17,4%)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BEF375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35(55,5%)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8E89DF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1(1,5%)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1CF6" w14:textId="77777777" w:rsidR="00000000" w:rsidRDefault="001177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4(6,3%)</w:t>
            </w:r>
          </w:p>
        </w:tc>
      </w:tr>
    </w:tbl>
    <w:p w14:paraId="2297B52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10DA09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Как видно из таблицы 9, наиболее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часто в реанимационных отделениях высевали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35 штаммов, гораздо реже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р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11 штаммов,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другие микроорганизмы высевали ещё реже.</w:t>
      </w:r>
    </w:p>
    <w:p w14:paraId="72D596C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Это может быть связано с недобросовестностью выполнения своей работы медицинского персонала, 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так же с адгезивными свойствами микроорганизмов и их устойчивостью к антимикробным препаратам и к негативным условиям внешней среды. Одной из причин такой высеваемости может также быть и расширение штаба больницы, увеличение числа операционных отделении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перевязочных. В процентном соотношении, от общего числа, видно, что бактерии вида A. baumannii в реанимационном ожогового отделения (59%) и гнойной хирургии(58,5%) играли ведущую роль по высеваемости, и составиляли больше половины от общего числа. На втор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 месте по высеваемости P.aerug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реанимационном ожогового отделения (22,7%) и отделении гнойной хирургии (26,9%). Остальные микроорганизмы высевались в равной степени.</w:t>
      </w:r>
    </w:p>
    <w:p w14:paraId="0705D0F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52E860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Заключение</w:t>
      </w:r>
    </w:p>
    <w:p w14:paraId="64D7618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5C636D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результатам проведенной работы можно сделать следующие выводы:</w:t>
      </w:r>
    </w:p>
    <w:p w14:paraId="1033918F" w14:textId="77777777" w:rsidR="00000000" w:rsidRDefault="0011776C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 В ожоговом отделении за июнь-июль 2013года из 304 исследованных проб, 122 оказались с возбудителями ГСИ (40,5%), основные возбудители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(45,8%),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(16%)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(7,1%). В реанимационном ожогового отделения из 182 проб, 109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были с возбудителями ГСИ (51%), основными возбудители были теже, что и в отделении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(30,4%),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(20,3%),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(11,2%)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marcescens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(9%).</w:t>
      </w:r>
    </w:p>
    <w:p w14:paraId="2563C33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 В отделении гнойной хирургии из 172 исследованных проб, 127 были с возбудителями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ГСИ (73%), основные возбудители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(24,6%),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(17,2%)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(14,7%).В реанимационной гнойной хирургии из 465 проб, 164 были положительными (35,2%). Спектр основных возбудителей отличался от отделения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(20,6%),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manni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(17,9%),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(11,7%),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(9,2%)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faecalis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(5,2%). </w:t>
      </w:r>
    </w:p>
    <w:p w14:paraId="7F43D0A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При сравнении этиологической роли различных возбудителей ГСИ было выявлено, что высевалась в основном грамотрицательная микрофлора. В 2001г. это были представители рода Staphylococ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cus (более 50%), Pseudomonas (40,1%). В 2008 это уже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(47,7%), P.aeruginosa (40,8%),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(19,7%). А вот в 2013 г. абсолютными лидерами стали-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а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(более 70%),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(63%)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(50%). Нельзя не отметить представите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лей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Enterococcus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который и в 2001 (11%) и в 2008 (21,3%) сохранял долю своих высевов и в 2013г. (более 50%) даже стал лидером в отделении гнойной хирургии.</w:t>
      </w:r>
    </w:p>
    <w:p w14:paraId="67A90DDB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Летом 2013 г. микст инфекции от всех случаев выделения возбудителей ГСИ составили 38,6%. Чащ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встречались ассоциации из двух видов микроорганизмов. В ожоговом отделении -39 (45,9%), в отделении гнойной хирургии 29 (32,6%).В реанимационной ожогового отделения -30 (42,2%), а в реанимационной гнойной хирургии -42 (36,5%). Наиболее часто встречались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ассоциации, имеющие такой состав: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(21 случаев),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(10 случаев),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marcescens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(8 случаев).</w:t>
      </w:r>
    </w:p>
    <w:p w14:paraId="5B856D63" w14:textId="77777777" w:rsidR="00000000" w:rsidRDefault="0011776C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5.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Частота выявления основных возбудителей ГСИ в смывах с объектов внешней среды исключительно в 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еанимационных отделениях, составили в АРО -4 - 81,7%, а в АРО-5 -89,5%. Наиболее часто в реанимационных высевались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baumannii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(5,5%),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(1,7%),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(9,5%) и др.</w:t>
      </w:r>
    </w:p>
    <w:p w14:paraId="28C25F3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инфекция возбудитель хирургия этиологический</w:t>
      </w:r>
    </w:p>
    <w:p w14:paraId="43CB51D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Библиографический список</w:t>
      </w:r>
    </w:p>
    <w:p w14:paraId="6A0F79E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EC54440" w14:textId="77777777" w:rsidR="00000000" w:rsidRDefault="0011776C">
      <w:pPr>
        <w:widowControl w:val="0"/>
        <w:tabs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Акимкин В.Г. Профилактика внутрибольничных инфекций // Бюлл. ЗниСО. 1997. - № 1111. - С. 5-8.</w:t>
      </w:r>
    </w:p>
    <w:p w14:paraId="20D82C3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Аханова Е.В. Роль микроорганизмов рода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этиологии внутрибольничных инфекций в больничном комплексе г. Амавира 2006 год. Курсовая работа №2. - 3</w:t>
      </w:r>
      <w:r>
        <w:rPr>
          <w:rFonts w:ascii="Times New Roman CYR" w:hAnsi="Times New Roman CYR" w:cs="Times New Roman CYR"/>
          <w:kern w:val="1"/>
          <w:sz w:val="28"/>
          <w:szCs w:val="28"/>
        </w:rPr>
        <w:t>5 с.</w:t>
      </w:r>
    </w:p>
    <w:p w14:paraId="2024C8E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Проблемные госпитальные микроорганизмы.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Acinetobacter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kern w:val="1"/>
          <w:sz w:val="28"/>
          <w:szCs w:val="28"/>
        </w:rPr>
        <w:t>. - возбудитель или свидетель? / Б.З. Белоцерковский [и др.] // Журн. микробиол., эпидемиол. и иммунобиол. 2009. - №2. - С. 12-19.</w:t>
      </w:r>
    </w:p>
    <w:p w14:paraId="3E3BB24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Динамика устойчивости к антибиотикам и частота выделения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тафилококков и энтерококков у больных отделений реконструктивной хирургии / Н.С. Богомолова и [т.д.] // Журн. микробиол., эпидемиол. и иммунобиол. 2012. - №5. - С.37-45.</w:t>
      </w:r>
    </w:p>
    <w:p w14:paraId="13338419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Борисов Л.Б. Медицинская микробиология, вирусология, иммунология. - М., 2002. - 545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с.</w:t>
      </w:r>
    </w:p>
    <w:p w14:paraId="3A5F63F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Борисов Л.Б. Медицинская микробиология, вирусология, иммунология. - М., 2005. - 357 с.</w:t>
      </w:r>
    </w:p>
    <w:p w14:paraId="7889B22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Васильев В.С., Комаров В.И., Циркунов В.М. Практика инфекциониста. - Минск, 1993. - 483 с.</w:t>
      </w:r>
    </w:p>
    <w:p w14:paraId="55842BFA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 Верещагина С.А. Гнойные инфекции в многопрофильном хирургическом ста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ционаре. - Иркутск, 2005. - 265 с.</w:t>
      </w:r>
    </w:p>
    <w:p w14:paraId="4A97FD7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Воробьёв А.А, Кривошеин Ю.С. Медицинская и санитарная микробиология. - М., 2003. - 406 с.</w:t>
      </w:r>
    </w:p>
    <w:p w14:paraId="43E2E04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Воропаева С.Д. Условно-патогенные бактерии, возбудители госпитальных инфекций / Акушерство и гинекология. 1983. - №7. - С.253.</w:t>
      </w:r>
    </w:p>
    <w:p w14:paraId="71C2997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 Инфекционные осложнения после трансплантации сердца (госпитальный период) / Н.И. Габриэлян [и др.] // Журн. микробиол., эпидемиол. и иммунобиол. 2009. - №2. - С.23-27.</w:t>
      </w:r>
    </w:p>
    <w:p w14:paraId="51859736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Энтерококки как возбудители послеоперационных инфекционных осложнений / Н.И. Габриэ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лян [и др.] // Журн. микробиол., эпидемиол. и иммунобиол. 2007. - №5. - С. 50-53.</w:t>
      </w:r>
    </w:p>
    <w:p w14:paraId="0D06C29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Основные возбудители инфекционных осложнений у пострадавших с тяжелыми травмами / Н.И. Габриэлян [и др.] // Журн. микробиол., эпидемиол. и иммунобиол. 2012. - №5. - С. 22-2</w:t>
      </w:r>
      <w:r>
        <w:rPr>
          <w:rFonts w:ascii="Times New Roman CYR" w:hAnsi="Times New Roman CYR" w:cs="Times New Roman CYR"/>
          <w:kern w:val="1"/>
          <w:sz w:val="28"/>
          <w:szCs w:val="28"/>
        </w:rPr>
        <w:t>4.</w:t>
      </w:r>
    </w:p>
    <w:p w14:paraId="5763073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Голубкова А.А., Богушевич Ю.А. // Гнойно-септические инфекции в отделении реанимации и интенсивной терапии хирургической клиники. Журн. микробиол., эпидемиол. и иммунобиол. 2009. №2. - С.69-71.</w:t>
      </w:r>
    </w:p>
    <w:p w14:paraId="0D19DC2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Донецкая Г.А. Клиническая микробиология. - М., 2011. - </w:t>
      </w:r>
      <w:r>
        <w:rPr>
          <w:rFonts w:ascii="Times New Roman CYR" w:hAnsi="Times New Roman CYR" w:cs="Times New Roman CYR"/>
          <w:kern w:val="1"/>
          <w:sz w:val="28"/>
          <w:szCs w:val="28"/>
        </w:rPr>
        <w:t>474 с.</w:t>
      </w:r>
    </w:p>
    <w:p w14:paraId="3420471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Егорова О.Н. // Инфекции, обусловленные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отделении реанимации. Журн. микробиол., эпидемиол. и иммунобиол. 2011. - №5. - С.51-54.</w:t>
      </w:r>
    </w:p>
    <w:p w14:paraId="5555408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Жилина С.В., Миронов А.Ю., Поликарпова С.В. //Ацинетобактерии при инфекциях кожи и мягких тк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аней. Журн. микробиол., эпидемиол. и иммунобиол. 2008. - №9. - С. 45-56.</w:t>
      </w:r>
    </w:p>
    <w:p w14:paraId="4298A9A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Медицинская микробиология, вирусология и иммунология / Под редакцией Зверева В.В., Бойченко М.Н. - М., 2011. Том 1, 447с.</w:t>
      </w:r>
    </w:p>
    <w:p w14:paraId="75B1FB48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Медицинская микробиология, вирусология и иммунология /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 редакцией Зверева В.В., Бойченко М.Н. - М., 2011. Том 2, 477с.</w:t>
      </w:r>
    </w:p>
    <w:p w14:paraId="4801E42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Зиневич В.П., Колуканов И.Е. Госпитальная инфекция: этиология и принципы рациональной антибиотикотерапии. Учебное пособие. 1989. - С. 115.</w:t>
      </w:r>
    </w:p>
    <w:p w14:paraId="0B9A94B2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Ковальчук Л.В., Ганковск Л.В., Мешкова Р.Я. Клин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ическая иммунология и аллергология с основами общей иммунологии. - М., 2012. 639с.</w:t>
      </w:r>
    </w:p>
    <w:p w14:paraId="4447330D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Коротяев А.И., Бабичев С.А. Медицинская микробиология, иммунология и вирусология. - СПб., 2002. 592с.</w:t>
      </w:r>
    </w:p>
    <w:p w14:paraId="7A7E5103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Лакин Г.Ф. Биометрия. - М., 1980. 296с.</w:t>
      </w:r>
    </w:p>
    <w:p w14:paraId="5AF6D161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 Медицинская микробиологи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/ Под редакцией Покровского В.И. - М., 2006. 765с.</w:t>
      </w:r>
    </w:p>
    <w:p w14:paraId="49CB68A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 Попова Л.Д., Чеснокова М.Г., Стасенко В.Л. // О частоте возбудителей нозокомиальных инфекции в отделениях реанимации и интенсивной терапии многопрофильного стационара. Журн. микробиол., эпидемиол. и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ммунобиол. 2007. - №3. - С.63-65.</w:t>
      </w:r>
    </w:p>
    <w:p w14:paraId="1B7AB68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Приказ Министерства здравоохранения Р.Ф.№535 от 22 апреля 1985 г. Об унификации микробиологических (бактериологических) методов исследования, применяемых вклинико-диагностических лабораториях лечебно-профилакетических уч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реждений». М., 1985.133с.</w:t>
      </w:r>
    </w:p>
    <w:p w14:paraId="4DB8DCB7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Приказ №720 от 31июля 1978 г. « Об улучшении медицинской помощи больным с гнойными хирургическими заболеваниями и усилении мер по борьбе с ВБИ». М., 1978. 86с. </w:t>
      </w:r>
    </w:p>
    <w:p w14:paraId="47F82E7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Пыж А.Э., Никандрова В.Н. // Вклад сине-зеленых пигментов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Pseudom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onas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гемолитическую активность культурной жидкости. Журн. микробиол., эпидемиол. и иммунобиол. 2001. №1. С. 19-25.</w:t>
      </w:r>
    </w:p>
    <w:p w14:paraId="171CAC0F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Рыбальченко О.В. Энтеробактерии - возбудители инфекционных заболеваний человека. Спб. 2003. 115с. </w:t>
      </w:r>
    </w:p>
    <w:p w14:paraId="420180D5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Седов В.И. Внутрибольничн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ая энтерококковая инфекция // Хирургия.1993. №11. С.86-90.</w:t>
      </w:r>
    </w:p>
    <w:p w14:paraId="4EB84CDC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Струков А.Ю. Этиологические особенности гнойно-септических инфекций в ожоговом отделении и отделении гнойной хирургии ККБ. г. Краснодар. Дипломная работа. 2009. 57с.</w:t>
      </w:r>
    </w:p>
    <w:p w14:paraId="0F6979D4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Тотолян А.А., Малеев В.В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Современные проблемы стрептококковой инфекции. Микробиология. 1996. №2. С.117-120.</w:t>
      </w:r>
    </w:p>
    <w:p w14:paraId="5C736EB0" w14:textId="77777777" w:rsidR="00000000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Туртюков В.Б., Ибрагимова Т.Д., Шмагунова Е.В. / Этиология гнойно-септических осложнений при ожоговой травме и мониторинг чувствительности микроорганизмов к антибиотикам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// Журн. микробиол., эпидемиол. и иммунобиол. 2014. №2. С. 129.</w:t>
      </w:r>
    </w:p>
    <w:p w14:paraId="536A4A60" w14:textId="77777777" w:rsidR="0011776C" w:rsidRDefault="0011776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Щербо А.П. Больничная гигиена. СПб., 2000. 491 с.</w:t>
      </w:r>
    </w:p>
    <w:sectPr w:rsidR="001177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E3"/>
    <w:rsid w:val="0011776C"/>
    <w:rsid w:val="009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11C05"/>
  <w14:defaultImageDpi w14:val="0"/>
  <w15:docId w15:val="{41004668-E362-4FD5-A8A6-A3BAC868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10557</Words>
  <Characters>60181</Characters>
  <Application>Microsoft Office Word</Application>
  <DocSecurity>0</DocSecurity>
  <Lines>501</Lines>
  <Paragraphs>141</Paragraphs>
  <ScaleCrop>false</ScaleCrop>
  <Company/>
  <LinksUpToDate>false</LinksUpToDate>
  <CharactersWithSpaces>70597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2024-12-20T07:56:00Z</dcterms:created>
  <dcterms:modified xsi:type="dcterms:W3CDTF">2024-12-20T07:56:00Z</dcterms:modified>
</cp:coreProperties>
</file>