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206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13BAAC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1314E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155A0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2C7BD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98B0B7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C037B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27570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41992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9E4F0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4BA1A7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856E2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DF393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A1C5A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B292C2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Клініко-фармакологічні аспекти застосування петлевих діуретиків при артеріальній гіпертензії</w:t>
      </w:r>
    </w:p>
    <w:p w14:paraId="758FB7B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14:paraId="258903AA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5E4C2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ХХІ ст. значна розповсюдженість артеріальної гіпертензії (АГ) залишається провідною медико-соціальною проблемою, яка привертає увагу інтер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ністів в усьому світі. АГ - найбільш поширене неінфекційне захворювання на Землі, що значною мірою визначає високу смертність осіб працездатного віку та інвалідність від серцево-судинних і цереброваскулярних захворювань.</w:t>
      </w:r>
    </w:p>
    <w:p w14:paraId="009D35C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впевненістю можна сказати, що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облема АГ за останні 20 років найретельніше досліджується, найчастіше дискутується і найдетальніше висвітлюється як у світовій, так і в українській медичній літературі, рекомендаціях та настановах.</w:t>
      </w:r>
    </w:p>
    <w:p w14:paraId="2A244465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рекомендації щодо лікування АГ, опубліковані Всесв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ітньою організацією охорони здоров’я (</w:t>
      </w:r>
      <w:r>
        <w:rPr>
          <w:rFonts w:ascii="Times New Roman CYR" w:hAnsi="Times New Roman CYR" w:cs="Times New Roman CYR"/>
          <w:sz w:val="28"/>
          <w:szCs w:val="28"/>
        </w:rPr>
        <w:t>World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Health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Organization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WHO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та Міжнародною </w:t>
      </w:r>
      <w:r>
        <w:rPr>
          <w:rFonts w:ascii="Times New Roman CYR" w:hAnsi="Times New Roman CYR" w:cs="Times New Roman CYR"/>
          <w:sz w:val="28"/>
          <w:szCs w:val="28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пілкою дослідження АГ.[14]</w:t>
      </w:r>
    </w:p>
    <w:p w14:paraId="4C60A64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Виходячи з того, що деякі діагностичні і терапевтичні рекомендації </w:t>
      </w:r>
      <w:r>
        <w:rPr>
          <w:rFonts w:ascii="Times New Roman CYR" w:hAnsi="Times New Roman CYR" w:cs="Times New Roman CYR"/>
          <w:sz w:val="28"/>
          <w:szCs w:val="28"/>
        </w:rPr>
        <w:t>WHO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ISH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можливо, не повністю підходять для всіх Європейських країн, систем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охорони здоров’я та економічні можливості яких значно різняться, опубліковані особливі методичні рекомендації Європейського товариства гіпертензії (</w:t>
      </w:r>
      <w:r>
        <w:rPr>
          <w:rFonts w:ascii="Times New Roman CYR" w:hAnsi="Times New Roman CYR" w:cs="Times New Roman CYR"/>
          <w:sz w:val="28"/>
          <w:szCs w:val="28"/>
        </w:rPr>
        <w:t>European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Society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Hypertension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ESH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та Європейського товариства кардіологів (</w:t>
      </w:r>
      <w:r>
        <w:rPr>
          <w:rFonts w:ascii="Times New Roman CYR" w:hAnsi="Times New Roman CYR" w:cs="Times New Roman CYR"/>
          <w:sz w:val="28"/>
          <w:szCs w:val="28"/>
        </w:rPr>
        <w:t>European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Society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of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Cardi</w:t>
      </w:r>
      <w:r>
        <w:rPr>
          <w:rFonts w:ascii="Times New Roman CYR" w:hAnsi="Times New Roman CYR" w:cs="Times New Roman CYR"/>
          <w:sz w:val="28"/>
          <w:szCs w:val="28"/>
        </w:rPr>
        <w:t>ology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ESC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щодо лікування АГ [14]</w:t>
      </w:r>
    </w:p>
    <w:p w14:paraId="32D7604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умовах розвитку системи охорони здоров’я в країнах Європи для пацієнтів з АГ може бути застосована більш глибока оцінка серцево-судинного ризику та ураження органів, а також наявний більш широкий вибір антигіпертензивн</w:t>
      </w:r>
      <w:r>
        <w:rPr>
          <w:rFonts w:ascii="Times New Roman CYR" w:hAnsi="Times New Roman CYR" w:cs="Times New Roman CYR"/>
          <w:sz w:val="28"/>
          <w:szCs w:val="28"/>
        </w:rPr>
        <w:t>ого лікування. Так, G. Mancia та співавторами (2010) представлена остання редакція спільних рекомендацій ESH/ESC з виправленнями та доповненнями до діючих Європейських рекомендацій щодо лікування АГ.[18]</w:t>
      </w:r>
    </w:p>
    <w:p w14:paraId="0B9620D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 стояли осторонь проблеми АГ і українські кардіоло</w:t>
      </w:r>
      <w:r>
        <w:rPr>
          <w:rFonts w:ascii="Times New Roman CYR" w:hAnsi="Times New Roman CYR" w:cs="Times New Roman CYR"/>
          <w:sz w:val="28"/>
          <w:szCs w:val="28"/>
        </w:rPr>
        <w:t>ги. Так, Указом Президента України від 04.02.1999 р. № 117/99 затверджено Національну програму профілактики і лікування артеріальної гіпертензії в Україні, яка діяла протягом 1999-2010 рр. З 1999 р. вийшли 4 редакції рекомендацій Української асоціації кард</w:t>
      </w:r>
      <w:r>
        <w:rPr>
          <w:rFonts w:ascii="Times New Roman CYR" w:hAnsi="Times New Roman CYR" w:cs="Times New Roman CYR"/>
          <w:sz w:val="28"/>
          <w:szCs w:val="28"/>
        </w:rPr>
        <w:t>іологів з профілактики та лікування АГ (4-те видання, виправлене та доповнене, розроб</w:t>
      </w:r>
      <w:r>
        <w:rPr>
          <w:rFonts w:ascii="Times New Roman CYR" w:hAnsi="Times New Roman CYR" w:cs="Times New Roman CYR"/>
          <w:sz w:val="28"/>
          <w:szCs w:val="28"/>
        </w:rPr>
        <w:softHyphen/>
        <w:t>лено як посібник до програми) (Свіщенко Є.П. та співавт., 2008). У 2009 р. вийшла Настанова з кардіології, рекомендована Асоціацією кардіологів України та вченою радою На</w:t>
      </w:r>
      <w:r>
        <w:rPr>
          <w:rFonts w:ascii="Times New Roman CYR" w:hAnsi="Times New Roman CYR" w:cs="Times New Roman CYR"/>
          <w:sz w:val="28"/>
          <w:szCs w:val="28"/>
        </w:rPr>
        <w:t>ціонального наукового центру «Інститут кардіології імені академіка М.Д. Стражеска» НАМН України для широкого кола фахівців: кардіологів, ревматологів, кардіохірургів, реаніматологів, терапевтів, сімейних лікарів, наукових співробітників, студентів вищих ме</w:t>
      </w:r>
      <w:r>
        <w:rPr>
          <w:rFonts w:ascii="Times New Roman CYR" w:hAnsi="Times New Roman CYR" w:cs="Times New Roman CYR"/>
          <w:sz w:val="28"/>
          <w:szCs w:val="28"/>
        </w:rPr>
        <w:t>дичних навчальних закладів.[3]</w:t>
      </w:r>
    </w:p>
    <w:p w14:paraId="1975F0A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артеріальної гіпертензії (АГ) залишається однією з найактуальніших проблем сучасної медицини. Це пов’язане, по-перше, із високою поширеністю АГ: в Україні в 2008 році зареєстровано 11,3 млн пацієнтів з АГ; по-друге,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високою частотою виникнення серцево-судинних ускладнень, обумовлених АГ; по-третє, з достатньо простим способом запобігання виникненню цих ускладнень завдяки контролю артеріального тиску (АТ); по-четверте, з існуванням проблем контролю АТ - за даними K.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Wolf-Maier et al. АТ не контролюється у 60 % пацієнтів в Англії, у 70 % - в Німеччині, у 72 % - в Італії, у 79 % - у Швеції та у 81 % - в Іспанії [3]. Одним із шляхів підвищення контролю АТ є застосування ефективних ліків. Діуретики є однією із п’яти груп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антигіпертензивних препаратів, рекомендованих для лікування АГ як у вигляді моно-, так і комбінованої терапії. Ця група вже давно існує на ринку і зарекомендувала себе як ефективні та доступні ліки. Згідно із рекомендаціями Американського товариства гіпер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тензії (2003), кожний пацієнт із рівнем АТ 160/100 мм рт.ст. має отримувати діуретик, якщо не має протипоказань.[5]</w:t>
      </w:r>
    </w:p>
    <w:p w14:paraId="5C9D303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Основна частина</w:t>
      </w:r>
    </w:p>
    <w:p w14:paraId="1550BFF9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E17A3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рівень знань не дає можливості ставити завдання щодо цілковитого виліковування АГ, але проведення ефективно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терапії та запобігання прогресуванню захворювання є реальним завданням.</w:t>
      </w:r>
    </w:p>
    <w:p w14:paraId="46196F4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лікування - зниження смертності від серцево-судинних захворювань. Чим вищий артеріальний тиск (АТ), тим вищий ризик мозкового інсульту, ішемічної хвороби серця (ІХС) та передчас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смерті. Довготривала АГ призводить до ураження органів-мішеней - гіпертрофії лівого шлуночка (ГЛШ), серцевої недостатності (СН), порушення функції нирок, аж до розвитку ниркової недостатності тощо. Навіть незначне підвищення АТ несе в собі істотний риз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 для здоров’я. Так, 60% серцево-судинних ускладнень спостерігають у хворих із помірним підвищенням діастолічного АТ (не вищим за 95 мм рт. ст.), оскільки такі пацієнти становлять переважну більшість осіб із підвищеним АТ. Лікуванню підлягають також хворі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ожирінням, дисліпідемією та іншими супутніми факторами ризику.[16]</w:t>
      </w:r>
    </w:p>
    <w:p w14:paraId="58CE1F6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Основні принципи лікування АГ:</w:t>
      </w:r>
    </w:p>
    <w:p w14:paraId="76987A6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Лікування (немедикаментозне і медикаментозне) необхідно починати якомога раніше і проводити його постійно, як правило, протягом всього життя. Поняття «к</w:t>
      </w:r>
      <w:r>
        <w:rPr>
          <w:rFonts w:ascii="Times New Roman CYR" w:hAnsi="Times New Roman CYR" w:cs="Times New Roman CYR"/>
          <w:sz w:val="28"/>
          <w:szCs w:val="28"/>
        </w:rPr>
        <w:t>урсове лікування» до антигіпертензивної терапії неприйнятне.</w:t>
      </w:r>
    </w:p>
    <w:p w14:paraId="529BB6A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Усі особи з підвищеним АТ підлягають немедикаментозному лікуванню чи модифікації способу життя. </w:t>
      </w:r>
      <w:r>
        <w:rPr>
          <w:rFonts w:ascii="Times New Roman CYR" w:hAnsi="Times New Roman CYR" w:cs="Times New Roman CYR"/>
          <w:sz w:val="28"/>
          <w:szCs w:val="28"/>
        </w:rPr>
        <w:t>Дієтичні рекомендації відіграють важливу роль серед немедикаментозних методів корекції АГ.</w:t>
      </w:r>
    </w:p>
    <w:p w14:paraId="3ABAEF39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Схем</w:t>
      </w:r>
      <w:r>
        <w:rPr>
          <w:rFonts w:ascii="Times New Roman CYR" w:hAnsi="Times New Roman CYR" w:cs="Times New Roman CYR"/>
          <w:sz w:val="28"/>
          <w:szCs w:val="28"/>
        </w:rPr>
        <w:t>а лікування має бути простою (за можливості - за принципом «одна таб</w:t>
      </w:r>
      <w:r>
        <w:rPr>
          <w:rFonts w:ascii="Times New Roman CYR" w:hAnsi="Times New Roman CYR" w:cs="Times New Roman CYR"/>
          <w:sz w:val="28"/>
          <w:szCs w:val="28"/>
        </w:rPr>
        <w:softHyphen/>
        <w:t>летка на день»), що сприяє збільшенню кількості хворих, які дійсно лікуються, і відповідно - зменшенню кількості тих, які припиняють лікування.</w:t>
      </w:r>
    </w:p>
    <w:p w14:paraId="30782D4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Перевагу слід надавати антигіпертензивним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препаратам тривалої дії («ретард», </w:t>
      </w:r>
      <w:r>
        <w:rPr>
          <w:rFonts w:ascii="Times New Roman CYR" w:hAnsi="Times New Roman CYR" w:cs="Times New Roman CYR"/>
          <w:sz w:val="28"/>
          <w:szCs w:val="28"/>
        </w:rPr>
        <w:t>sustained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release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SR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що дозволяє запобігти виникненню значних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коливань АТ протягом доби, а також зменшити кількість таблеток, які необхідно приймати.</w:t>
      </w:r>
    </w:p>
    <w:p w14:paraId="0D6DF94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Хворі літнього віку з ізольованою систолічною </w:t>
      </w:r>
      <w:r>
        <w:rPr>
          <w:rFonts w:ascii="Times New Roman CYR" w:hAnsi="Times New Roman CYR" w:cs="Times New Roman CYR"/>
          <w:sz w:val="28"/>
          <w:szCs w:val="28"/>
        </w:rPr>
        <w:t>АГ підлягають ліку</w:t>
      </w:r>
      <w:r>
        <w:rPr>
          <w:rFonts w:ascii="Times New Roman CYR" w:hAnsi="Times New Roman CYR" w:cs="Times New Roman CYR"/>
          <w:sz w:val="28"/>
          <w:szCs w:val="28"/>
        </w:rPr>
        <w:t>ванню так само, як і особи із систоло-діастолічною АГ.</w:t>
      </w:r>
    </w:p>
    <w:p w14:paraId="4EFFDAC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 У пацієнтів із вторинною АГ першочерговим завданням є лікування її причини. АГ також підлягає обов’язковій корекції.</w:t>
      </w:r>
    </w:p>
    <w:p w14:paraId="4878C58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Основні переваги антигіпертензивної терапії зумовлені зниженням АТ </w:t>
      </w:r>
      <w:r>
        <w:rPr>
          <w:rFonts w:ascii="Times New Roman CYR" w:hAnsi="Times New Roman CYR" w:cs="Times New Roman CYR"/>
          <w:sz w:val="28"/>
          <w:szCs w:val="28"/>
        </w:rPr>
        <w:t>per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se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значн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мірою не залежать від застосованих лікарських засобів [6]</w:t>
      </w:r>
    </w:p>
    <w:p w14:paraId="5C3FBA7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Проведено безліч досліджень, у яких вивчали різні підходи до антигіпертензивної терапії та оцінювали фатальні й нефатальні події у пацієнтів з АГ. </w:t>
      </w:r>
      <w:r>
        <w:rPr>
          <w:rFonts w:ascii="Times New Roman CYR" w:hAnsi="Times New Roman CYR" w:cs="Times New Roman CYR"/>
          <w:sz w:val="28"/>
          <w:szCs w:val="28"/>
        </w:rPr>
        <w:t>Найбільш значимими доказами з існуючих є результ</w:t>
      </w:r>
      <w:r>
        <w:rPr>
          <w:rFonts w:ascii="Times New Roman CYR" w:hAnsi="Times New Roman CYR" w:cs="Times New Roman CYR"/>
          <w:sz w:val="28"/>
          <w:szCs w:val="28"/>
        </w:rPr>
        <w:t>ати рандомізованих плацебо-контрольованих випробувань, які можна підсумувати так:</w:t>
      </w:r>
    </w:p>
    <w:p w14:paraId="13E0636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Антигіпертензивна терапія істотно знижує серцево-судинну захворюваність і смертність, але менш істотно впливає на загальну смертність.</w:t>
      </w:r>
    </w:p>
    <w:p w14:paraId="22535FC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Поліпшення прогнозу під впливом 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игіпертензивної терапії спостерігають у хворих всіх вікових (включаючи осіб з ізольованою систолічною </w:t>
      </w:r>
      <w:r>
        <w:rPr>
          <w:rFonts w:ascii="Times New Roman CYR" w:hAnsi="Times New Roman CYR" w:cs="Times New Roman CYR"/>
          <w:sz w:val="28"/>
          <w:szCs w:val="28"/>
        </w:rPr>
        <w:t>АГ) та етнічних груп.</w:t>
      </w:r>
    </w:p>
    <w:p w14:paraId="738D656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Антигіпертензивна терапія на 50% знижує ризик розвитку СН, на 30-40% - фатального і нефатального інсульту та на 20% - ризик корон</w:t>
      </w:r>
      <w:r>
        <w:rPr>
          <w:rFonts w:ascii="Times New Roman CYR" w:hAnsi="Times New Roman CYR" w:cs="Times New Roman CYR"/>
          <w:sz w:val="28"/>
          <w:szCs w:val="28"/>
        </w:rPr>
        <w:t>арних подій.[25]</w:t>
      </w:r>
    </w:p>
    <w:p w14:paraId="1278D92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Сучасний арсенал лікарських засобів для лікування пацієнтів із серцево-судинними захворюваннями надзвичайно великий і включає близько 20 основних фармакологічних груп, що нараховують сотні препаратів із різними механізмами дії. Це вимагає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лікаря-інтерніста володіння глибокими і різнобічними знаннями в галузі клінічної фармакології як фундаментальної основи, відповідно до позицій доказової медицини та раціональної фармакотерапії.[25]</w:t>
      </w:r>
    </w:p>
    <w:p w14:paraId="4130270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раціональною фармакотерапією розуміють призначення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хворим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лікарських засобів згідно з клінічною ситуацією у дозах, які відповідають індивідуальним потребам, на адекватний період та з найменшими витратами для пацієнтів і суспільства. Підґрунтям раціональної фармакотерапії є клінічна фармакологія - наука,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вивчає взаємодію лікарських засобів з організмом здорової та хворої людини.[8]</w:t>
      </w:r>
    </w:p>
    <w:p w14:paraId="6F57152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Принципи здійснення раціональної фармакотерапії включають:</w:t>
      </w:r>
    </w:p>
    <w:p w14:paraId="7AD38DE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Завдання для здійснення раціональної фармакотерапії:</w:t>
      </w:r>
    </w:p>
    <w:p w14:paraId="20F79FD3" w14:textId="77777777" w:rsidR="00000000" w:rsidRDefault="006E36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вибір фармакологічної групи лікарських засобів;</w:t>
      </w:r>
    </w:p>
    <w:p w14:paraId="56BB317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вибір </w:t>
      </w:r>
      <w:r>
        <w:rPr>
          <w:rFonts w:ascii="Times New Roman CYR" w:hAnsi="Times New Roman CYR" w:cs="Times New Roman CYR"/>
          <w:sz w:val="28"/>
          <w:szCs w:val="28"/>
        </w:rPr>
        <w:t>лікарських засобів, конкретного представника фармакологічної групи (оригінального лікарського засобу або його копії-генерика);</w:t>
      </w:r>
    </w:p>
    <w:p w14:paraId="6664F3C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призначення адекватного режиму дозування.</w:t>
      </w:r>
    </w:p>
    <w:p w14:paraId="49E8DB7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Визначення фармакологічної мішені.</w:t>
      </w:r>
    </w:p>
    <w:p w14:paraId="0537D9E5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фармакологічним ефектом лікарськ</w:t>
      </w:r>
      <w:r>
        <w:rPr>
          <w:rFonts w:ascii="Times New Roman CYR" w:hAnsi="Times New Roman CYR" w:cs="Times New Roman CYR"/>
          <w:sz w:val="28"/>
          <w:szCs w:val="28"/>
        </w:rPr>
        <w:t>их засобів.</w:t>
      </w:r>
    </w:p>
    <w:p w14:paraId="4AAED71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 Контроль за можливим розвитком резистентності до лікарських засобів та синдрому відміни та заходи щодо їх запобігання.</w:t>
      </w:r>
    </w:p>
    <w:p w14:paraId="307F8B3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 Урахування особливостей фармакотерапії залежно від віку хворих, у період вагітності та годування грудьми.</w:t>
      </w:r>
    </w:p>
    <w:p w14:paraId="280BA2DB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Урахування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особливостей фармакотерапії залежно від наявності різних видів токсикоманій (тютюнопаління, алкоголізм, наркоманія).[11]</w:t>
      </w:r>
    </w:p>
    <w:p w14:paraId="61736D0B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етапи фармакокінетики лікарських засобів - всмоктування, розподіл, метаболізм (біотрансформація) - перебувають під контролем відпов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ідних генів. Не викликає сумнівів те, що особливості фармакокінетики лікарських речовин мають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ливості, зумовлені генетичною індивідуальністю пацієнтів, їх віком, біологічними ритмами, а також наявністю супутніх захворювань.[23]</w:t>
      </w:r>
    </w:p>
    <w:p w14:paraId="242B35C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Інтер- та інтраіндивіду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альна варіабельність ферментів біотрансформації лікарських засобів визначає відмінності у фармакокінетиці та фармакодинаміці, зумовлюючи:</w:t>
      </w:r>
    </w:p>
    <w:p w14:paraId="28BA297F" w14:textId="77777777" w:rsidR="00000000" w:rsidRDefault="006E36B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надмірний терапевтичний ефект - при низькій активності (у повільних фенотипів);</w:t>
      </w:r>
    </w:p>
    <w:p w14:paraId="08D6B4B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підвищену токсичність лікарського </w:t>
      </w:r>
      <w:r>
        <w:rPr>
          <w:rFonts w:ascii="Times New Roman CYR" w:hAnsi="Times New Roman CYR" w:cs="Times New Roman CYR"/>
          <w:sz w:val="28"/>
          <w:szCs w:val="28"/>
        </w:rPr>
        <w:t>засобу у результаті відсутності його трансформації (у повільних фенотипів);</w:t>
      </w:r>
    </w:p>
    <w:p w14:paraId="2FDED60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знижений терапевтичний ефект - при високій активності (у швидких фенотипів);</w:t>
      </w:r>
    </w:p>
    <w:p w14:paraId="12C66BD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появу токсичних метаболічних продуктів, що утворюються на різних шляхах метаболізму.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[15]</w:t>
      </w:r>
    </w:p>
    <w:p w14:paraId="6123FD0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Незважаюч</w:t>
      </w:r>
      <w:r>
        <w:rPr>
          <w:rFonts w:ascii="Times New Roman CYR" w:hAnsi="Times New Roman CYR" w:cs="Times New Roman CYR"/>
          <w:sz w:val="28"/>
          <w:szCs w:val="28"/>
        </w:rPr>
        <w:t>и на високу інформатизацію, достовірних методів прогнозування індивідуальної переносимості того чи іншого препарату в лікарській практиці не існує, хоча визначення фенотипу активності ферментів дозволяє прогнозувати декілька відповідей організму на лікарсь</w:t>
      </w:r>
      <w:r>
        <w:rPr>
          <w:rFonts w:ascii="Times New Roman CYR" w:hAnsi="Times New Roman CYR" w:cs="Times New Roman CYR"/>
          <w:sz w:val="28"/>
          <w:szCs w:val="28"/>
        </w:rPr>
        <w:t>кі засоби, що застосовуються:</w:t>
      </w:r>
    </w:p>
    <w:p w14:paraId="3CAE10C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Токсичність лікарського засобу зумовлена його вихідним (нативним) складом при елімінації винятково шляхом дез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активації поліморфним ензимом. Ніяких додаткових шляхів («стежок») метаболізму не існує (наприклад накопичення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дуктів метаболізму в повільних фенотипів (ізоніазидні невропатії, хвороба Паркінсона, індукована пестицидами)).</w:t>
      </w:r>
    </w:p>
    <w:p w14:paraId="7CC5FD4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 поліморфних шляхах метаболізму можливе зміщення на альтернативний, додатковий шлях з утворенням реактивної проміжної ланки токсичності (на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приклад у повільних фенотипів із розвитком факторів ризику токсичності (ізоніазидна гепатотоксичність)).</w:t>
      </w:r>
    </w:p>
    <w:p w14:paraId="529270F9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Токсичність провокується реактивним метаболітом, що генерується при дії поліморфного ензиму. В цих випадках швидкі метаболізатори, порівняно з повіл</w:t>
      </w:r>
      <w:r>
        <w:rPr>
          <w:rFonts w:ascii="Times New Roman CYR" w:hAnsi="Times New Roman CYR" w:cs="Times New Roman CYR"/>
          <w:sz w:val="28"/>
          <w:szCs w:val="28"/>
        </w:rPr>
        <w:t>ьними, мають більш високий ризик розвитку інтоксикації або хімічного канцерогенезу.[7]</w:t>
      </w:r>
    </w:p>
    <w:p w14:paraId="5704D4C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Застосування плацебо при АГ вважають неприйнятним через очевидність користі антигіпертензивної терапії, тому такі дослідження на сьогодні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проводять. Протягом останніх</w:t>
      </w:r>
      <w:r>
        <w:rPr>
          <w:rFonts w:ascii="Times New Roman CYR" w:hAnsi="Times New Roman CYR" w:cs="Times New Roman CYR"/>
          <w:sz w:val="28"/>
          <w:szCs w:val="28"/>
        </w:rPr>
        <w:t xml:space="preserve"> 10 років всі дослідження щодо лікування АГ мають характер порівняння різних препаратів не з плацебо, а між собою.</w:t>
      </w:r>
    </w:p>
    <w:p w14:paraId="6F62B0D9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Плацебо може бути використане додатково до базової терапії. У таких випадках досліджуваний препарат додають до тієї ж самої базової терапії.</w:t>
      </w:r>
    </w:p>
    <w:p w14:paraId="382772A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ряду досліджень показали, що зниження АТ хоча б на кілька мм рт. ст. зменшує ризик розвитку ускладнень на 20-30%. У цілому більш істотне зниження АТ дає більш істотний превентивний ефект щодо ускладнень, незалежно від характеру терапії, що засто</w:t>
      </w:r>
      <w:r>
        <w:rPr>
          <w:rFonts w:ascii="Times New Roman CYR" w:hAnsi="Times New Roman CYR" w:cs="Times New Roman CYR"/>
          <w:sz w:val="28"/>
          <w:szCs w:val="28"/>
        </w:rPr>
        <w:t>совують. Порівняння різних класів антигіпертензивних препаратів між собою свідчить, що вони мають певні особливості щодо запобігання ускладненням.[19]</w:t>
      </w:r>
    </w:p>
    <w:p w14:paraId="5C65B027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показує метааналіз </w:t>
      </w:r>
      <w:r>
        <w:rPr>
          <w:rFonts w:ascii="Times New Roman CYR" w:hAnsi="Times New Roman CYR" w:cs="Times New Roman CYR"/>
          <w:sz w:val="28"/>
          <w:szCs w:val="28"/>
        </w:rPr>
        <w:t>BPLTTC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Blood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Pressure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Lowering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Treatment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Trialists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’ </w:t>
      </w:r>
      <w:r>
        <w:rPr>
          <w:rFonts w:ascii="Times New Roman CYR" w:hAnsi="Times New Roman CYR" w:cs="Times New Roman CYR"/>
          <w:sz w:val="28"/>
          <w:szCs w:val="28"/>
        </w:rPr>
        <w:t>Collaboration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антагоністи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льцію дещо ефективніші, ніж блокатори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-адренорецепторів, діуретики та інгібітори ангіотензинпере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творювального ферменту (ІАПФ) у запобіганні інсульту, але менш ефективні щодо запобігання СН. Щодо запобігання ІХС, зниження смертності від серцево-судинних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ахворювань і загальної смертності ці групи препаратів істотно не відрізняються між собою.[2]</w:t>
      </w:r>
    </w:p>
    <w:p w14:paraId="4423B94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Ефективність блокаторів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адренорецепторів у запобіганні інсульту нижча, ніж у блокаторів рецепторів ангіотензину </w:t>
      </w: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(БРА) і антагоністів кальцію. </w:t>
      </w:r>
      <w:r>
        <w:rPr>
          <w:rFonts w:ascii="Times New Roman CYR" w:hAnsi="Times New Roman CYR" w:cs="Times New Roman CYR"/>
          <w:sz w:val="28"/>
          <w:szCs w:val="28"/>
        </w:rPr>
        <w:t>Це продемонстро</w:t>
      </w:r>
      <w:r>
        <w:rPr>
          <w:rFonts w:ascii="Times New Roman CYR" w:hAnsi="Times New Roman CYR" w:cs="Times New Roman CYR"/>
          <w:sz w:val="28"/>
          <w:szCs w:val="28"/>
        </w:rPr>
        <w:t>вано у дослідженнях LIFE (Losartan Intervention For Endpoint) і ASCOT (Anglo-Scandinavian Cardiac Outcomes Trial), у яких ризик інсульту був вищим у пацієнтів, які застосовували атенолол у поєднанні з тіазидним діуретиком, порівняно з пацієнтами, яким пров</w:t>
      </w:r>
      <w:r>
        <w:rPr>
          <w:rFonts w:ascii="Times New Roman CYR" w:hAnsi="Times New Roman CYR" w:cs="Times New Roman CYR"/>
          <w:sz w:val="28"/>
          <w:szCs w:val="28"/>
        </w:rPr>
        <w:t>одили лікування лозартаном або амлодипіном в поєднанні з периндоприлом (Scheen A.J., 2002; Moser M., 2005). Як показало дослідження BPLTT (Blood Pressure Lowering Treatment Trial), ІАПФ мають додаткову здатність запобігати ускладненням ІХС [24]</w:t>
      </w:r>
    </w:p>
    <w:p w14:paraId="2988F02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рекомендацій </w:t>
      </w:r>
      <w:r>
        <w:rPr>
          <w:rFonts w:ascii="Times New Roman CYR" w:hAnsi="Times New Roman CYR" w:cs="Times New Roman CYR"/>
          <w:sz w:val="28"/>
          <w:szCs w:val="28"/>
        </w:rPr>
        <w:t>ESH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ESC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Української асоціації кардіологів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 профілактики та лікування АГ для лікування АГ необхідно застосовувати антигіпертензивні препарати 5 основних класів - препарати першої лінії, які при застосуванні в еквівалентних дозах сприяють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зниженню АТ та суттєво знижують ризик серцево-судинних ускладнень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0572DE72" w14:textId="77777777" w:rsidR="00000000" w:rsidRDefault="006E36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діуретики;</w:t>
      </w:r>
    </w:p>
    <w:p w14:paraId="22CC64B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ІАПФ;</w:t>
      </w:r>
    </w:p>
    <w:p w14:paraId="16400417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антагоністи кальцію тривалої дії;</w:t>
      </w:r>
    </w:p>
    <w:p w14:paraId="30E9B0C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БРА;</w:t>
      </w:r>
    </w:p>
    <w:p w14:paraId="102EEA7B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блокатори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-адренорецепторів.</w:t>
      </w:r>
    </w:p>
    <w:p w14:paraId="72E628A7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 антигіпертензивних препаратів другої лінії відносять:</w:t>
      </w:r>
    </w:p>
    <w:p w14:paraId="02B282D0" w14:textId="77777777" w:rsidR="00000000" w:rsidRDefault="006E36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блокатори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>адренорецепторів;</w:t>
      </w:r>
    </w:p>
    <w:p w14:paraId="155107A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агоністи </w:t>
      </w:r>
      <w:r>
        <w:rPr>
          <w:rFonts w:ascii="Times New Roman" w:hAnsi="Times New Roman" w:cs="Times New Roman"/>
          <w:sz w:val="28"/>
          <w:szCs w:val="28"/>
        </w:rPr>
        <w:t xml:space="preserve">α2- </w:t>
      </w:r>
      <w:r>
        <w:rPr>
          <w:rFonts w:ascii="Times New Roman CYR" w:hAnsi="Times New Roman CYR" w:cs="Times New Roman CYR"/>
          <w:sz w:val="28"/>
          <w:szCs w:val="28"/>
        </w:rPr>
        <w:t>адренорецепторів цент</w:t>
      </w:r>
      <w:r>
        <w:rPr>
          <w:rFonts w:ascii="Times New Roman CYR" w:hAnsi="Times New Roman CYR" w:cs="Times New Roman CYR"/>
          <w:sz w:val="28"/>
          <w:szCs w:val="28"/>
        </w:rPr>
        <w:softHyphen/>
        <w:t>ральної дії;</w:t>
      </w:r>
    </w:p>
    <w:p w14:paraId="609F844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алкалоїди раувольфії;</w:t>
      </w:r>
    </w:p>
    <w:p w14:paraId="62A3B81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агоністи імідазолінових рецепторів.</w:t>
      </w:r>
    </w:p>
    <w:p w14:paraId="3DDA520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Існує значно менше доказів ефективного зниження ризику серцево-судинних ускладнень при застосуванні препаратів другої лінії порівняно з препарата</w:t>
      </w:r>
      <w:r>
        <w:rPr>
          <w:rFonts w:ascii="Times New Roman CYR" w:hAnsi="Times New Roman CYR" w:cs="Times New Roman CYR"/>
          <w:sz w:val="28"/>
          <w:szCs w:val="28"/>
        </w:rPr>
        <w:t>ми першої лінії.[1]</w:t>
      </w:r>
    </w:p>
    <w:p w14:paraId="7B8A94A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 для лікування АГ застосовують тіазидні, тіазидоподібні та калійзберігаючі діуретики. Традиційно петльові діуретики рідко застосовували для лікування АГ через їх короткочасну дію та слабкий антигіпертензивний ефект, необхідніс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приймати декілька разів на день, більш слабкий вазодилатуючий ефект та виражену активацію контррегуляторних систем, направлених на затримку рідини та солі [2]. Винятком були пацієнти із вираженим набряковим синдромом та із нирковою дисфункцією, при якій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застосування петльових діуретиків має переваги над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softHyphen/>
        <w:t>тіазидами тому, що тіазидні діуретики втрачають ефект при швидкості клубочкової фільтрації &lt; 20 мл/хв (або ж при рівні креатиніну 150 ммоль/л та вище).</w:t>
      </w:r>
    </w:p>
    <w:p w14:paraId="0E770739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 появою нового петльового діуретика торасеміду з’я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вилася можливість широко застосовувати його для лікування АГ [1-5, 7, 9, 12-15, 23]. Торасемід - діуретик із класу сульфанілпіридинів, який гальмує реальну реабсорбцію іонів натрію та хлору у висхідній частині петлі Генле. Антигіпертензивна дія торасеміду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пов’язана із зниженням загального периферичного опору за рахунок нормалізації порушеного електролітного балансу та зниження вмісту Са2+ в клітинах м’язового шару артерій. Є також дані, що на фоні прийому торасеміду зменшується активність ренін-ангіотензино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 системи та чутливість рецепторів ангіотензину ІІ першого типу, що призводить до блокади індукованого ним вазоспазму [16]. Торасемід має також антиальдостеронові властивості: блокує індуковану ангіотензином ІІ продукцію альдостерону та інгібує зв’язуван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 альдостерону в тубулярних клітинах нирок подібно до спіронолактону [12]. </w:t>
      </w:r>
    </w:p>
    <w:p w14:paraId="075CBCC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 збільшує синтез простацикліну та зменшує утворення тромбоксану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Тромбоксан А2 синтезується активованими тромбоцитами. Він стимулює активацію нових тромбоцитів і їх агр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егацію. Агрегація тромбоцитів досягається підвищенням рівня експресії глікопротеїнового комплексу GP IIb/IIIa на їх мембранах. Циркулюючий фібриноген зв'язується з цим комплексом зміцнюючи тромб. Саме в зменшенні утворенні тромбоксану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отже і з запо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біганні тромбоутворення полягає антифібринолітичний ефект препарату [2, 3].</w:t>
      </w:r>
    </w:p>
    <w:p w14:paraId="0BC1B73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Торасемід зв’язується з білками плазми крові на 99 %. Період напіввиведення торасеміду та його метаболітів у здорових людей становить 3-4 години, що є більшим, ніж у фуросеміду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петльових діуретиків. Тривалість дії торасеміду - 6-12 годин на відміну від фуросеміду (2-2,5 год). При нирковій недостатності період напіввиведення торасеміду не змінюється [</w:t>
      </w:r>
      <w:r>
        <w:rPr>
          <w:rFonts w:ascii="Times New Roman CYR" w:hAnsi="Times New Roman CYR" w:cs="Times New Roman CYR"/>
          <w:sz w:val="28"/>
          <w:szCs w:val="28"/>
        </w:rPr>
        <w:t>9;10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], при печінковій та серцевій недостатності незначно збільшується [19,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20].</w:t>
      </w:r>
    </w:p>
    <w:p w14:paraId="219E8BE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Торасемід доставляється до просвіту канальців таким самим способом, як і органічні кислоти. При нирковій недостатності концентрація органічних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кислот збільшується, а кількість діючих нефронів зменшується, тому застосовують значно більші дози петльових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діуретиків, ніж при нормальній функції нирок [5]. Одним із шляхів підвищення ефективності терапії при нирковій недостатності є застосування препаратів із високою біодоступністю. Як показали дослідження, біодоступність торасеміду становить 90-100 % і збері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гається при застосуванні високих доз. Більше того, при ураженні нирок торасемід, на відміну від інших салуретиків, зберігає властивість збільшення ефекту при підвищенні дози. Це означає, що застосування торасеміду у цієї категорії хворих є більш перспектив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[25, 2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14:paraId="5A6ADFD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показали численні дослідження, торасемід, на відміну від інших петльових та, особливо, тіазидних діуретиків, не впливає на метаболізм глюкози і ліпідів, пуриновий та електролітний обмін. Це робить можливим його тривале використання для лік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серцево-судинних захворювань, у тому числі АГ як неускладненої, так і ускладненої серцевою або нирковою недостатністю, метаболічними порушеннями [21, 25]. В декількох дослідженнях було показано, що торасемід не поступався своєю антигіпертензивною еф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ективністю тіазидним та тіазидоподібним діуретикам або їх комбінації із калійзберігаючими діуретиками [4, 8, 10, 11, 22, 26]. При цьому було відмічено, що ефект торасеміду розвивався поступово та не спостерігалося вираженого пікового зниження АТ, як при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ийомі тіазидів. Це особливо важливо для людей похилого віку, у яких тіазидні діуретики можуть викликати виражені ортостатичні реакції. Торасемід можна успішно комбінувати з інгібіторами ангіотензинперетворювального ферменту (ІАПФ) та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адреноблокаторами [1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3].</w:t>
      </w:r>
    </w:p>
    <w:p w14:paraId="511ACFD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хронічне ураження нирок говорять за наявності протеїнурії (мікроальбумінурії) або ж при стійкому зниженні рівня клубочкової фільтрації менше 60 мл/хв [17]. Рівень клубочкової фільтрації можна визначати за допомогою розрахункового методу на основі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имірювання рівня креатиніну сироватки крові. У цілому ряді досліджень підтверджено існування негативної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достовірної залежності між рівнем клубочкової фільтрації та частотою виникнення серцево-судинних ускладнень і смерті [6, 18, 24]. У дослідженні НОТ (Hyp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ertension Optimal Treatment) зниження швидкості клубочкової фільтрації до рівня, меншого за 60 мл/хв, призводило до достовірного збільшення ризику серцево-судинних подій в 1,58 раза, інсульту - в 1,5 раза, серцево-судинної смерті - в 1,8 раза, загальної см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ерті - в 1,65 раза [24]. За даними досліджень, частота виявлення зниженої функції нирок у пацієнтів з АГ становить 18 %, за наявності надлишкової маси тіла - 22,7 % та за наявності ожиріння - 22,8 % [17, 18]. Ця категорія хворих, як правило, потребує комбі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нованої антигіпертензивної терапії, і діуретки є обов’язковою складовою такої комбінації. При цьому перевагу мають саме петльові діуретики.</w:t>
      </w:r>
    </w:p>
    <w:p w14:paraId="0CA3570D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Тобто майже у кожного п’ятого хворого з АГ існує необхідність застосування петльових діуретиків, серед яких торасемі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 завдяки своїй високій біодоступності, більш тривалому періоду напіввиведення, меншому впливу на метаболізм, можливості блокувати контррегуляторні механізми є чи не найбільш перспективним препаратом.[13]</w:t>
      </w:r>
    </w:p>
    <w:p w14:paraId="714F443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F80E08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2.Особливості клінічної ефективності торасемида у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пацієнтів з АГ</w:t>
      </w:r>
    </w:p>
    <w:p w14:paraId="2F3EF0B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A4A17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Антигіпертензивний ефект торасемида був продемонстрований у кількох рандомізованих клінічних дослідженнях [12,13]. В одному з досліджень проводилося тривале (48 тижнів) спостереження за хворими на АГ, які брали торасемі [14]. При цьому стат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истично значущих відмінностей в «силі» антигіпертензивного ефекту при застосуванні торасемида в дозах 2,5 і 5 мг/добу не відзначалося. Кілька інших подібних досліджень підтверджують той факт, що доза торасемида 2,5 мг/добу для лікування пацієнтів з АГ є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тимальною [15-19]. При цьому у пацієнтів з 1 і 2 ступенем АТ заосування торасеміа в дозі 2,5 мг/добу може сприяти досягненню цільових значень АТ у 60-70% випадках.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Слід зазначити, що досягнення цільових значень АТ при тривалому застосуванні торасеміа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вається повільніше, ніж при застосуванні інших діуретиків та антигіпертензивних ЛЗ з інших груп, що особливо важливо для літніх пацієнтів, особливо тих, хто страждає супутніми цереброваскулярними захворюваннями [10]. У вітчизняному рандомізованому клінічно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дослідженні, в яке увійшли 52 жінки з АГ і відсутньою менструальної функції, протягом 24 тижнів порівнювався антигіпертензивний ефект торасеміда та гідрохлоротіазиду (у разі недосягнення цільового АТ до терапії приєднувався еналаприл). [20]. Важливою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астивістю торасемида є його здатність не змінювати фізіологічний циркадний ритм зміни АТ [21]. При цьому тривалість антигіпертензивного ефекту дозволяє застосовувати його 1-2 рази на добу.</w:t>
      </w:r>
    </w:p>
    <w:p w14:paraId="72D288D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 Національного інституту серця, легенів і крові США рег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ламентують застосування торасемида в якості антигіпертензивного засобу, особливо у пацієнтів з супутньою ХСН, захворюваннями нирок, в тому числі і у вигляді монотерапії [23]. При цьому рекомендованої стартової доза є доза 2,5-5 мг/добу, у разі недосягнення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цільових значень АТ протягом 4-6 тижнів допускається підвищення дози до 10 мг/добу.</w:t>
      </w:r>
    </w:p>
    <w:p w14:paraId="11D9D9E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  <w:t>артеріальний гіпертензія серцевий</w:t>
      </w:r>
    </w:p>
    <w:p w14:paraId="6D888B2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Висновок</w:t>
      </w:r>
    </w:p>
    <w:p w14:paraId="2A4ECE5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4E35D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торасемід є сучасним антигіпертензивним препаратом, що володіє клініко-фармакологічними особливостями, які дозво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ляють вибирати його у пацієнтів з АГ за принципом збігу профілю препарату і профілю пацієнта, тобто торасемид найбільшою мірою показаний пацієнтам:</w:t>
      </w:r>
    </w:p>
    <w:p w14:paraId="4F757F2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у яких патогенез АГ може бути обумовлений декількома механізмами (активація РААС, вазоспазм, сіль-чутливіс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тощо) за наявності у торасемида комплексного антигіпертензивної механізму дії;</w:t>
      </w:r>
    </w:p>
    <w:p w14:paraId="699CF96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у пацієнтів похилого і старечого віку, пацієнтів із САГ, супутньою ХСН, оскільки за профілем ефективності торасемид зіставимо з іншими діуретиками - групою вибору для паціє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нтів даної категорії;</w:t>
      </w:r>
    </w:p>
    <w:p w14:paraId="4617C6C5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профіль безпеки торасемида робить можливим його застосування у пацієнтів з АГ і супутніми цукровий діабет (в стадії компенсації), гіперурикемією (але не подагру), гіперліпідеміями під контроль м відповідних показників в плазмі крові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193146D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існує можливість використання фармакогенетичного тестування для персоналізації дозування торасеміда у пацієнтів з АГ.</w:t>
      </w:r>
    </w:p>
    <w:p w14:paraId="12766BD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літератури</w:t>
      </w:r>
    </w:p>
    <w:p w14:paraId="6413B52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196CC9" w14:textId="77777777" w:rsidR="00000000" w:rsidRDefault="006E36B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Клиническая фармакология. Общие вопросы клинической фармакологии : практикум : учебное пособие / Под ред. В.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Кукеса; Д. А. Сычева, Л. С. Долженкова, В. К. Прозорова. - М.: ГЭОТАР-Медиа, 2010.- 224 с. </w:t>
      </w:r>
    </w:p>
    <w:p w14:paraId="616F5021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Оганов Р.Г., Горбунов О.В. Торасемид- диуретик с особыми свойствами // Кардиоваскулярная терапия и профилактика.- 2007.- № 5.- С. 5-9.</w:t>
      </w:r>
    </w:p>
    <w:p w14:paraId="0661FE8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Рекомендации ВНОК «Диаг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ностика и лечение артериальной гипертензии. Российские рекомендации (четвертый пересмотр)». // Системные гипертензии.- 2010.- № 3.- С.5-26.</w:t>
      </w:r>
    </w:p>
    <w:p w14:paraId="786E09C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Ткачева О.Н., Шарашкина Н.В., Новикова И.М., Чухарева Н.А. Сравнительное исследование эффектов торасемида и гидрох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лотиазида в комбинированном лечении гипертонической болезни у женщин в постменопаузе // Сердец.- 2011.- Т.10.- № 3 (59).- С. 1-5.</w:t>
      </w:r>
    </w:p>
    <w:p w14:paraId="307B2DB5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Achhammer I., Eberhard R. Comparison of serum potassium levels during long-term treatment of hypertension patients with 2,5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mg torasemide o.d. or 50 mg triamterene/25 mg hydrochlorothiazide o.d. // Progress in Pharmacology and Clinical Pharmacology.- Stuttgart: Gustav-Fischer-Verlag.- 2010.- Vol. 8.- P. 211-220.</w:t>
      </w:r>
    </w:p>
    <w:p w14:paraId="009534A0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Achhammer I., Metz P. Low dose loop diuretics in essential hyper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tension: Experience with torasemide// Drugs.- 2011.- Vol. 41(Suppl 3).- P. 80-91. </w:t>
      </w:r>
    </w:p>
    <w:p w14:paraId="7710969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Baumgart P. Torasemide in comparison with thiazides in the treatment of hypertension // Cardiovasc. Drugs. Ther.- 2008.- Vol. 7(Suppl 1).- P. 63-68.</w:t>
      </w:r>
    </w:p>
    <w:p w14:paraId="526F29F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Baumgart P., Walger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P., von Eiff M., Achhammer I. Long-term efficacy and tolerance of torasemide in hypertension. // Progress in pharmacology and Clinical Pharmacology.- Stuttgart: Gustav-Fischer-Verlag, 2012.- Vol. 8.- P. 169-181. </w:t>
      </w:r>
    </w:p>
    <w:p w14:paraId="0DA9531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Boelke T., Achhammer I., Meyer-Sabellek 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.A. Blutdrucksenkung und metabolische Veranderungen bei essentiellen Hypertonikem nach Langzeitgabe unterschiedlicher Diuretika // Hochdruck.- 2010.- Vol. 9. - P. 40-41.</w:t>
      </w:r>
    </w:p>
    <w:p w14:paraId="33E4ED2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Boelke T., Piesche L. Influence of 2,5-5 mg torasemide o.d. versus 25-50 mg HCTZ/50-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100 triamterene o.d. on serum parameters in elderly patients with mild to moderate hypertension // Diuretics IV: Chemistry, Pharmacology and clinical Applications.- Amsterdam: Excerpta Medica, 2013.- P. 279-282. </w:t>
      </w:r>
    </w:p>
    <w:p w14:paraId="706A9E32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Bоlke T., Achhammer I. Torasemide: review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of its pharmacology and therapeutic use // Drugs of today.- 2010. - Vol. 8.- P. 1-28.</w:t>
      </w:r>
    </w:p>
    <w:p w14:paraId="4543EABC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Coca A. Long-term blood pressure control and metabolic disorders induced by torasemide in hypertension // Amer. J. Hypertens. - Vol. 14, 116A (April 2011).</w:t>
      </w:r>
    </w:p>
    <w:p w14:paraId="599110D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Fortuno 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., Muniz P., Ravassa S. et al. Torasemide inhibits angiotensin II-induced vasoconstriction and intracellular calcium iincrease in the aorta of spontaneously hypertensive rats // Hypertension.- 2009.- Vol. 34 (1).- P. 138-143.</w:t>
      </w:r>
    </w:p>
    <w:p w14:paraId="2D3F696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Lopez B., Querejeta R., Gonz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alez A. et al. Effects of loop diuretics on myocardial fibrosis and collagen type I turnover in chronic heart failure // J. Am. Coll. Cardiol.- 2008.- Vol. 2;43(11).- P. 2028-2035.</w:t>
      </w:r>
    </w:p>
    <w:p w14:paraId="74BAC2AB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Lopez-Aguilera J., Anguita-Sanchez M., Garcia-Fuertes D. et al. Torasemide Prolonged-Release: A Review of its use in the Management of Edema Associated with Congestive Heart Failure // Clin. Med. Rev. Vasc. Health. - 2010 Vol. 45(9).- P.204-213.</w:t>
      </w:r>
    </w:p>
    <w:p w14:paraId="3BCB13C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Masereel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B., Ferrari P., Ferrandi M. et al. Na+,2Cl-,K+ cotransport system as a marker of antihypertensive activity of new torasemide derivatives // Eur. J. Pharmacol.- 2008.- Vol. 4;219(3).- P. 385-394.</w:t>
      </w:r>
    </w:p>
    <w:p w14:paraId="78C39F1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National Heart, Lung, and Blood Institute National High Bl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ood Pressure Education Program. The sixth report of the Joint National Committee on Prevention, Detection, Evaluation, and Treatment of High Blood Pressure (JNC VI). Bethesda, MD: National Institutes of Health. (NIH publication No. 98-4080.).</w:t>
      </w:r>
    </w:p>
    <w:p w14:paraId="03BA828F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Porcellati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C., Verdecchia P., Schillaci G. et al. La torasemide, nuovo diuretico del’ansa, nell trattamento dell’ipertensione arteriosa: Studio con trolla to in doppla cecita // BasRazion Terapia.- 2010.- Vol. 20.- P. 407-410.</w:t>
      </w:r>
    </w:p>
    <w:p w14:paraId="252F55BB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Reyes A.J. Formal comparison of the an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tihypertensive effects of torasemide and other diuretics by the Montevideo mathematical model // Arzneimittelforschung.- 2008.- Vol. 38(1A).- P.194-199.</w:t>
      </w:r>
    </w:p>
    <w:p w14:paraId="23F8C01A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Reyes A.J., Chiesa P.D., Santucci M.R. et al. Hydrochlorothiazide versus a nondiuretic dose of torase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mide as once daily antihypertensive monopharmacotherapy in elderly patients; randomized and double-blind study // Progress in Pharmacology and Clinical Pharmacology. - Stuttgart: Gustav-Fischer-Verlag, 2007.- Vol. 8.- P. 183-209.</w:t>
      </w:r>
    </w:p>
    <w:p w14:paraId="18EE5EC5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Spannbrucker N., Achhamm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er I., Metz P., Glocke M. Comparative study on the hypertensive efficacy of torasemide and indapamide in patients with essential hypertension // Drug Res.- 2012.- Vol. 38(1).- P. 190-193. </w:t>
      </w:r>
    </w:p>
    <w:p w14:paraId="0BB65D53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Spieker C., Zidek W., Hacker W. et al. Assessment of intracellula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 sodium and calcium in essential hypertension during diuretic treatment // Arzneimittelforschung.- 2008.- Vol. 38 (1A).- P. 188-190.</w:t>
      </w:r>
    </w:p>
    <w:p w14:paraId="6E26DDA4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TORAFIC Investigators Group. Effects of prolonged-release torasemide versus furosemide on myocardial fibrosis in hyperte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nsive patients with chronic heart failure: a randomized, blinded-end point, active-controlled study // Clin. Ther.- 2011.- Vol. 33(9).- P.1204-1213.</w:t>
      </w:r>
    </w:p>
    <w:p w14:paraId="6411C806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Vormfelde S.V., Toliat M.R., Schirmer M. et al. The polymorphisms Asn130Asp and Val174Ala in OATP1B1 and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the CYP2C9 allele *3 independently affect torsemide pharmacokinetics and pharmacodynamics // Clin. Pharmacol. Ther.- 2008.- Vol. 83.- P. 815-817.</w:t>
      </w:r>
    </w:p>
    <w:p w14:paraId="19337A4E" w14:textId="77777777" w:rsidR="00000000" w:rsidRDefault="006E3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Werner D., Werner U., Meybaum A. et al. Determinants of steady-state torasemide pharmacokinetics: impact of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pharmacogenetic factors, gender and angiotensin II receptor blockers // Clin. Pharmacokinet. - 2008.- Vol. 47.- P. 323-332.</w:t>
      </w:r>
    </w:p>
    <w:p w14:paraId="66E7B9EE" w14:textId="77777777" w:rsidR="006E36B6" w:rsidRDefault="006E36B6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left="1429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26.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6E36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E"/>
    <w:rsid w:val="006E36B6"/>
    <w:rsid w:val="00A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D9D2D"/>
  <w14:defaultImageDpi w14:val="0"/>
  <w15:docId w15:val="{256C8F01-D34F-487E-9002-6EED207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4095</Words>
  <Characters>23347</Characters>
  <Application>Microsoft Office Word</Application>
  <DocSecurity>0</DocSecurity>
  <Lines>194</Lines>
  <Paragraphs>54</Paragraphs>
  <ScaleCrop>false</ScaleCrop>
  <Company/>
  <LinksUpToDate>false</LinksUpToDate>
  <CharactersWithSpaces>27388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2024-12-05T11:16:00Z</dcterms:created>
  <dcterms:modified xsi:type="dcterms:W3CDTF">2024-12-05T11:16:00Z</dcterms:modified>
</cp:coreProperties>
</file>