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B926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</w:t>
      </w:r>
    </w:p>
    <w:p w14:paraId="075FC179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F8DEA30" w14:textId="77777777" w:rsidR="00000000" w:rsidRDefault="00522FF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025E2C3A" w14:textId="77777777" w:rsidR="00000000" w:rsidRDefault="00522FF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Обзор литературы</w:t>
      </w:r>
    </w:p>
    <w:p w14:paraId="71D3590D" w14:textId="77777777" w:rsidR="00000000" w:rsidRDefault="00522FF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Стандартизация фитопрепаратов</w:t>
      </w:r>
    </w:p>
    <w:p w14:paraId="540C3977" w14:textId="77777777" w:rsidR="00000000" w:rsidRDefault="00522FF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Практическая часть</w:t>
      </w:r>
    </w:p>
    <w:p w14:paraId="740570CE" w14:textId="77777777" w:rsidR="00000000" w:rsidRDefault="00522FF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Методика контроля качества препарата "Адонизид"</w:t>
      </w:r>
    </w:p>
    <w:p w14:paraId="0FC5823B" w14:textId="77777777" w:rsidR="00000000" w:rsidRDefault="00522FF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Методика контроля качества препарат "Настойка строфанта"</w:t>
      </w:r>
    </w:p>
    <w:p w14:paraId="2721BA6C" w14:textId="77777777" w:rsidR="00000000" w:rsidRDefault="00522FF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Методика контроля качества препар</w:t>
      </w:r>
      <w:r>
        <w:rPr>
          <w:sz w:val="28"/>
          <w:szCs w:val="28"/>
          <w:lang w:val="ru-RU"/>
        </w:rPr>
        <w:t>ата "Экстракт боярышника жидкий"</w:t>
      </w:r>
    </w:p>
    <w:p w14:paraId="53F9826C" w14:textId="77777777" w:rsidR="00000000" w:rsidRDefault="00522FF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Методики контроля качества прописей, содержащих фитопрепараты</w:t>
      </w:r>
    </w:p>
    <w:p w14:paraId="260D4420" w14:textId="77777777" w:rsidR="00000000" w:rsidRDefault="00522FF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.5 Методика контроля качества препарата "Стоптуссин"</w:t>
      </w:r>
    </w:p>
    <w:p w14:paraId="65FB3FC3" w14:textId="77777777" w:rsidR="00000000" w:rsidRDefault="00522FF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72CA0842" w14:textId="77777777" w:rsidR="00000000" w:rsidRDefault="00522FF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14:paraId="4BABC5CF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7D07D87" w14:textId="77777777" w:rsidR="00000000" w:rsidRDefault="00522FFB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46C6A07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3E2C5B0C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6ADA04B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Внедрение новых подходов к оценке качества исходного растительн</w:t>
      </w:r>
      <w:r>
        <w:rPr>
          <w:sz w:val="28"/>
          <w:szCs w:val="28"/>
          <w:lang w:val="ru-RU"/>
        </w:rPr>
        <w:t>ого сырья и разработке комплексной технологии его переработки требует установления таких взаимосвязей, как состав - технология, технология -фармакологическое действие. Совершенствование технологии переработки лекарственного растительного сырья может привес</w:t>
      </w:r>
      <w:r>
        <w:rPr>
          <w:sz w:val="28"/>
          <w:szCs w:val="28"/>
          <w:lang w:val="ru-RU"/>
        </w:rPr>
        <w:t>ти к изменению не только качественного и количественного состава, но и фармакологического действия конечного продукта. Несомненно, что развитие новых технологий требует разработки и использования новых методов анализа для стандартизации сырья и целевых лек</w:t>
      </w:r>
      <w:r>
        <w:rPr>
          <w:sz w:val="28"/>
          <w:szCs w:val="28"/>
          <w:lang w:val="ru-RU"/>
        </w:rPr>
        <w:t>арственных препаратов.</w:t>
      </w:r>
    </w:p>
    <w:p w14:paraId="0DEB3B49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проведение мероприятий по стандартизации лекарственного растительного сырья и фитопрепаратов является важной и актуальной задачей на современном этапе развития фармацевтической науки и требует от специалистов, работающ</w:t>
      </w:r>
      <w:r>
        <w:rPr>
          <w:sz w:val="28"/>
          <w:szCs w:val="28"/>
          <w:lang w:val="ru-RU"/>
        </w:rPr>
        <w:t>их в этой области, тщательной систематизации и более детального анализа полученных в ходе экспериментов данных для их последующего включения в соответствующие разделы разрабатываемого нормативного документа.</w:t>
      </w:r>
    </w:p>
    <w:p w14:paraId="144E116D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Целью курсовой работы является изучение методов </w:t>
      </w:r>
      <w:r>
        <w:rPr>
          <w:sz w:val="28"/>
          <w:szCs w:val="28"/>
          <w:lang w:val="ru-RU"/>
        </w:rPr>
        <w:t>контроля качества продуктов, содержащих фитопрепараты.</w:t>
      </w:r>
    </w:p>
    <w:p w14:paraId="11FF3507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6A20A63" w14:textId="77777777" w:rsidR="00000000" w:rsidRDefault="00522FFB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1753E53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Обзор литературы</w:t>
      </w:r>
    </w:p>
    <w:p w14:paraId="59E4BF22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785520B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Стандартизация фитопрепаратов</w:t>
      </w:r>
    </w:p>
    <w:p w14:paraId="10A94FE8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A6B3DF0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данным всемирной организации здравоохранения (ВОЗ) лекарственные средства растительного происхождения составляют немалую часть объема</w:t>
      </w:r>
      <w:r>
        <w:rPr>
          <w:sz w:val="28"/>
          <w:szCs w:val="28"/>
          <w:lang w:val="ru-RU"/>
        </w:rPr>
        <w:t xml:space="preserve"> фарминдустрии. Значительная часть населения развивающихся стран в рамках системы первичной медико-санитарной помощи использует традиционные препараты природного происхождения. Результаты социологических исследований свидетельствуют о том, что более полови</w:t>
      </w:r>
      <w:r>
        <w:rPr>
          <w:sz w:val="28"/>
          <w:szCs w:val="28"/>
          <w:lang w:val="ru-RU"/>
        </w:rPr>
        <w:t>ны населения США и Германии предпочитает лечение травами, а почти каждый второй житель США принимает растительные лекарства ежедневно. Мировой объем продаж лекарственных средств на растительной основе в 2014 г. оценивался на уровне 26 млрд. долларов. При э</w:t>
      </w:r>
      <w:r>
        <w:rPr>
          <w:sz w:val="28"/>
          <w:szCs w:val="28"/>
          <w:lang w:val="ru-RU"/>
        </w:rPr>
        <w:t>том использование фитопрепаратов на мировом рынке характеризуется тенденцией к росту, и в ближайшие 10 лет доля лекарственных средств растительного происхождения в общих объемах потребления фармацевтических препаратов может достигнуть 60%.</w:t>
      </w:r>
    </w:p>
    <w:p w14:paraId="0F34050B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Такой объем обор</w:t>
      </w:r>
      <w:r>
        <w:rPr>
          <w:sz w:val="28"/>
          <w:szCs w:val="28"/>
          <w:lang w:val="ru-RU"/>
        </w:rPr>
        <w:t>ота лекарственных средств растительного происхождения обусловлен рядом причин, основными из которых являются этиопатогенетическое действие фитопрепаратов, индивидуальный подход к больному, возможность длительного приема, высокая степень безопасности при до</w:t>
      </w:r>
      <w:r>
        <w:rPr>
          <w:sz w:val="28"/>
          <w:szCs w:val="28"/>
          <w:lang w:val="ru-RU"/>
        </w:rPr>
        <w:t xml:space="preserve">статочной эффективности, а также относительная дешевизна и доступность. Безусловно, на сегодняшний день растительные препараты не могут полностью заменить терапию лекарствами синтетического происхождения, но могут найти эффективное применение при лечении. </w:t>
      </w:r>
      <w:r>
        <w:rPr>
          <w:sz w:val="28"/>
          <w:szCs w:val="28"/>
          <w:lang w:val="ru-RU"/>
        </w:rPr>
        <w:t>Рост потребления лекарственных трав и сборов наблюдается и на рынках таможенного союза.</w:t>
      </w:r>
    </w:p>
    <w:p w14:paraId="59B23D34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База данных препаратов природного происхождения составляет на сегодняшний день около 4000 наименований. Отсутствие четких критериев и методов оценки лекарственных расти</w:t>
      </w:r>
      <w:r>
        <w:rPr>
          <w:sz w:val="28"/>
          <w:szCs w:val="28"/>
          <w:lang w:val="ru-RU"/>
        </w:rPr>
        <w:t>тельных средств стало причиной того, что из одного вида сырья в настоящее время производят как лекарственные препараты, так и биологически активные добавки к пище. В результате нередки случаи необоснованного назначения и нерационального дозирования растите</w:t>
      </w:r>
      <w:r>
        <w:rPr>
          <w:sz w:val="28"/>
          <w:szCs w:val="28"/>
          <w:lang w:val="ru-RU"/>
        </w:rPr>
        <w:t>льных средств, недобросовестной их рекламы. Все это вводит в заблуждение как врача, так и пациента и в конечном счете, дискредитирует сам метод фитотерапии.</w:t>
      </w:r>
    </w:p>
    <w:p w14:paraId="25E2D54D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полноценного использования растительных препаратов в медицинской практике необходимо четко осоз</w:t>
      </w:r>
      <w:r>
        <w:rPr>
          <w:sz w:val="28"/>
          <w:szCs w:val="28"/>
          <w:lang w:val="ru-RU"/>
        </w:rPr>
        <w:t>навать тот факт, что стандартизация лекарственного растительного сырья и совершенствование методов контроля качества фитопрепаратов является важнейшим условием их эффективного применения.</w:t>
      </w:r>
    </w:p>
    <w:p w14:paraId="0A1DA38C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Основным сборником нормативных документов на лекарственные средства </w:t>
      </w:r>
      <w:r>
        <w:rPr>
          <w:sz w:val="28"/>
          <w:szCs w:val="28"/>
          <w:lang w:val="ru-RU"/>
        </w:rPr>
        <w:t>являются Государственные фармакопеи отдельных стран или Европы, в которых изложены общие статьи по стандартизации лекарственных средств и монографии по использованию отдельных видов сырья растительного происхождения. Кроме того, продолжают действовать госу</w:t>
      </w:r>
      <w:r>
        <w:rPr>
          <w:sz w:val="28"/>
          <w:szCs w:val="28"/>
          <w:lang w:val="ru-RU"/>
        </w:rPr>
        <w:t>дарственные стандарты (ГОСТы), отдельные фармакопейные статьи, по различным причинам не включенные в государственные фармакопеи.</w:t>
      </w:r>
    </w:p>
    <w:p w14:paraId="2E17EAA8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этих нормативных документах фитопрепараты, как правило, рассматриваются с точки зрения основных параметров, включающих:</w:t>
      </w:r>
    </w:p>
    <w:p w14:paraId="6691FCBB" w14:textId="77777777" w:rsidR="00000000" w:rsidRDefault="00522FFB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Ви</w:t>
      </w:r>
      <w:r>
        <w:rPr>
          <w:sz w:val="28"/>
          <w:szCs w:val="28"/>
          <w:lang w:val="ru-RU"/>
        </w:rPr>
        <w:t>зуальную характеристику (видовая принадлежность).</w:t>
      </w:r>
    </w:p>
    <w:p w14:paraId="099979A3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Качественные реакции (определение подлинности сырья).</w:t>
      </w:r>
    </w:p>
    <w:p w14:paraId="5FDC24AD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Количественный анализ (определение содержания уровня биологически активных соединений) и параметры валидации используемого метода.</w:t>
      </w:r>
    </w:p>
    <w:p w14:paraId="1B77DF1C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</w:t>
      </w:r>
      <w:r>
        <w:rPr>
          <w:sz w:val="28"/>
          <w:szCs w:val="28"/>
          <w:lang w:val="ru-RU"/>
        </w:rPr>
        <w:tab/>
        <w:t>Физико-химичес</w:t>
      </w:r>
      <w:r>
        <w:rPr>
          <w:sz w:val="28"/>
          <w:szCs w:val="28"/>
          <w:lang w:val="ru-RU"/>
        </w:rPr>
        <w:t>кие свойства биологически-активных соединений.</w:t>
      </w:r>
    </w:p>
    <w:p w14:paraId="60B6FBFA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Обоснование способа получения субстанции и лекарственной формы.</w:t>
      </w:r>
    </w:p>
    <w:p w14:paraId="66ED989C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Фармакологические свойства биологически активных соединений и лекарственной формы, а также соотношение химического состава лекарственного рас</w:t>
      </w:r>
      <w:r>
        <w:rPr>
          <w:sz w:val="28"/>
          <w:szCs w:val="28"/>
          <w:lang w:val="ru-RU"/>
        </w:rPr>
        <w:t>тительного сырья и фитопрепарата.</w:t>
      </w:r>
    </w:p>
    <w:p w14:paraId="44047D00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Возможные процессы трансформации БАС в ходе сушки, хранения, переработки лекарственного растительного сырья.</w:t>
      </w:r>
    </w:p>
    <w:p w14:paraId="7B3C4B27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стандартизации фитопрепаратов возникают определенные трудности. Стандартизацию растительного сырья и фитопр</w:t>
      </w:r>
      <w:r>
        <w:rPr>
          <w:sz w:val="28"/>
          <w:szCs w:val="28"/>
          <w:lang w:val="ru-RU"/>
        </w:rPr>
        <w:t>епаратов следует рассматривать как минимум с 2-х точек зрения. С одной стороны, нельзя рассматривать положения государственной фармакопеи как незыблемые величины, поскольку накопление новых научных данных вносит свои коррективы. Так, при описании внешних п</w:t>
      </w:r>
      <w:r>
        <w:rPr>
          <w:sz w:val="28"/>
          <w:szCs w:val="28"/>
          <w:lang w:val="ru-RU"/>
        </w:rPr>
        <w:t>ризнаков сырья и препарата используют такие характеристики, как цвет, запах и вкус. Подобные органолептические характеристики, как правило, не имеют объективных методов оценки, что делает невозможным воспроизведение полученных результатов. Использование дл</w:t>
      </w:r>
      <w:r>
        <w:rPr>
          <w:sz w:val="28"/>
          <w:szCs w:val="28"/>
          <w:lang w:val="ru-RU"/>
        </w:rPr>
        <w:t>я определения подлинности сырья при микроскопии лупы вместо бинокуляра или стереомикроскопа значительно усложняет работу аналитика, а многокомпонентность состава фитопрепарата делает нецелесообразным микроскопическую характеристику сырья [1, 4, 7].</w:t>
      </w:r>
    </w:p>
    <w:p w14:paraId="531C156C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</w:t>
      </w:r>
      <w:r>
        <w:rPr>
          <w:sz w:val="28"/>
          <w:szCs w:val="28"/>
          <w:lang w:val="ru-RU"/>
        </w:rPr>
        <w:t>бразом, методы внешней оценки растительного препарата требуют значительной доработки и включения иллюстративных стандартов, необходимых для подтверждения подлинности препарата.</w:t>
      </w:r>
    </w:p>
    <w:p w14:paraId="776EAC9E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суммарных растительных препаратов целесообразно получение комплекса природн</w:t>
      </w:r>
      <w:r>
        <w:rPr>
          <w:sz w:val="28"/>
          <w:szCs w:val="28"/>
          <w:lang w:val="ru-RU"/>
        </w:rPr>
        <w:t xml:space="preserve">ых соединений одного класса или же близких по структуре веществ с полностью или частично известным составом. При этом расчеты необходимо проводить на доминантные соединения (стандарт либо близкие по </w:t>
      </w:r>
      <w:r>
        <w:rPr>
          <w:sz w:val="28"/>
          <w:szCs w:val="28"/>
          <w:lang w:val="ru-RU"/>
        </w:rPr>
        <w:lastRenderedPageBreak/>
        <w:t>структуре компоненты суммы или другое соединение). Это по</w:t>
      </w:r>
      <w:r>
        <w:rPr>
          <w:sz w:val="28"/>
          <w:szCs w:val="28"/>
          <w:lang w:val="ru-RU"/>
        </w:rPr>
        <w:t>зволяет в достаточной мере гарантировать качество и постоянный состав суммарных препаратов, но требует применения современных физико-химических методов для их анализа. Такими методами, с соответствующей степенью избирательности, точности, доступности для в</w:t>
      </w:r>
      <w:r>
        <w:rPr>
          <w:sz w:val="28"/>
          <w:szCs w:val="28"/>
          <w:lang w:val="ru-RU"/>
        </w:rPr>
        <w:t>недрения в промышленное производство, являются оптические и электрохимические способы анализа в сочетании с различными видами хроматографии. В последние годы широкое распространение в определении состава лекарственных растительных препаратов получили метод</w:t>
      </w:r>
      <w:r>
        <w:rPr>
          <w:sz w:val="28"/>
          <w:szCs w:val="28"/>
          <w:lang w:val="ru-RU"/>
        </w:rPr>
        <w:t>ы газожидкостной и высокоэффективной жидкостной хроматографии, позволяющие с высокой степенью точности определять качественные и количественные характеристики и выявлять отдельные компоненты в суммарных растительных препаратах, а также в исходных видах сыр</w:t>
      </w:r>
      <w:r>
        <w:rPr>
          <w:sz w:val="28"/>
          <w:szCs w:val="28"/>
          <w:lang w:val="ru-RU"/>
        </w:rPr>
        <w:t>ья [14, 15].</w:t>
      </w:r>
    </w:p>
    <w:p w14:paraId="6BE1282D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другой стороны, действие фитопрепарата не следует рассматривать как обычную совокупность составляющих соединений. Механизм действия комплексных природных соединений, как правило, представляет собой систему взаимовлияющих реакций синергическо</w:t>
      </w:r>
      <w:r>
        <w:rPr>
          <w:sz w:val="28"/>
          <w:szCs w:val="28"/>
          <w:lang w:val="ru-RU"/>
        </w:rPr>
        <w:t>го или антагонистического свойства. Так, некоторые иммуностимулирующие препараты также обладают антимикробным, противовирусным и противовоспалительным действием, что не укладывается в рамки существующей научно-технической документации государственных фарма</w:t>
      </w:r>
      <w:r>
        <w:rPr>
          <w:sz w:val="28"/>
          <w:szCs w:val="28"/>
          <w:lang w:val="ru-RU"/>
        </w:rPr>
        <w:t xml:space="preserve">копей. Следовательно, при составлении досье на фитопрепарат недостаточно описывать только качественные и количественные характеристики препарата. Необходимо давать комплексную оценку возможных механизмов действия препарата на биохимические процессы целого </w:t>
      </w:r>
      <w:r>
        <w:rPr>
          <w:sz w:val="28"/>
          <w:szCs w:val="28"/>
          <w:lang w:val="ru-RU"/>
        </w:rPr>
        <w:t>организма. Например, глицирризиновая кислота может быть использована не только для лечения диабетических проявлений, но и обладает иммуностимулирующими и противовирусными свойствами [5, 15, 17, 21].</w:t>
      </w:r>
    </w:p>
    <w:p w14:paraId="37CF2D13" w14:textId="77777777" w:rsidR="00000000" w:rsidRDefault="00522FFB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контроле качества микстур используют общие приемы </w:t>
      </w:r>
      <w:r>
        <w:rPr>
          <w:sz w:val="28"/>
          <w:szCs w:val="28"/>
          <w:lang w:val="ru-RU"/>
        </w:rPr>
        <w:lastRenderedPageBreak/>
        <w:t>экс</w:t>
      </w:r>
      <w:r>
        <w:rPr>
          <w:sz w:val="28"/>
          <w:szCs w:val="28"/>
          <w:lang w:val="ru-RU"/>
        </w:rPr>
        <w:t xml:space="preserve">пресс-анализа. Содержание компонентов рассчитывают на весь объем анализируемого средства. Объем жидких лекарственных форм определяют суммированием жидких ингредиентов: настои, отвары, экстракты и настойки, получаемые из лекарственного растительного сырья. </w:t>
      </w:r>
      <w:r>
        <w:rPr>
          <w:sz w:val="28"/>
          <w:szCs w:val="28"/>
          <w:lang w:val="ru-RU"/>
        </w:rPr>
        <w:t>При контроле качества микстур с фитопрепаратами последние идентифицируют органолептически (по характерному запаху, цвету). Фитопрепараты содержат, как правило, смесь различных химических соединений, которые могут обладать кислотными, основными, восстановит</w:t>
      </w:r>
      <w:r>
        <w:rPr>
          <w:sz w:val="28"/>
          <w:szCs w:val="28"/>
          <w:lang w:val="ru-RU"/>
        </w:rPr>
        <w:t>ельными и другими свойствами, а также соли кальция, магния. При анализе таких лекарственных препаратов следует учитывать возможность взаимодействия этих веществ с титрованными растворами кислот, едких щелочей, трилона Б, йода и др. При количественном анали</w:t>
      </w:r>
      <w:r>
        <w:rPr>
          <w:sz w:val="28"/>
          <w:szCs w:val="28"/>
          <w:lang w:val="ru-RU"/>
        </w:rPr>
        <w:t>зе проводят контрольные опыты для каждой партии растительного сырья и учитывают полученные результаты при расчете количественного содержания действующих веществ</w:t>
      </w:r>
    </w:p>
    <w:p w14:paraId="22010CF1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D5A47A1" w14:textId="77777777" w:rsidR="00000000" w:rsidRDefault="00522FFB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B7AA94E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Практическая часть</w:t>
      </w:r>
    </w:p>
    <w:p w14:paraId="1BBDE98F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FB5CCB8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Методика контроля качества препарата "Адонизид"</w:t>
      </w:r>
    </w:p>
    <w:p w14:paraId="5C7B8A68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A799046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Подлинност</w:t>
      </w:r>
      <w:r>
        <w:rPr>
          <w:sz w:val="28"/>
          <w:szCs w:val="28"/>
          <w:lang w:val="ru-RU"/>
        </w:rPr>
        <w:t>ь. К 1 мл препарата прибавляют 2 капли раствора нитропруссида натрия и 2-3 капли раствора едкого натра; появляется буровато-желтое окрашивание, которое затем переходит в желтое.</w:t>
      </w:r>
    </w:p>
    <w:p w14:paraId="74A094C2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2 каплям препарата прибавляют 8 капель концентрированной серной кислоты; поя</w:t>
      </w:r>
      <w:r>
        <w:rPr>
          <w:sz w:val="28"/>
          <w:szCs w:val="28"/>
          <w:lang w:val="ru-RU"/>
        </w:rPr>
        <w:t>вляется вишнево-красное окрашивание.</w:t>
      </w:r>
    </w:p>
    <w:p w14:paraId="4F77D3AE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Количественное определение</w:t>
      </w:r>
    </w:p>
    <w:p w14:paraId="4300A822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Колориметрический метод. 10 мл препарата пропускают через колонку диаметром 5-6 мм, наполненную 5 г окиси алюминия для хроматографии. 0,5 мл очищенного нейтрального раствора пикрата натрия, </w:t>
      </w:r>
      <w:r>
        <w:rPr>
          <w:sz w:val="28"/>
          <w:szCs w:val="28"/>
          <w:lang w:val="ru-RU"/>
        </w:rPr>
        <w:t>3 мл воды, 0,5 мл 2% раствора едкого натра и перемешивают. Через 10 минут определяют оптическую плотность раствора на ФЭК-М со светофильтром №3 в кювете с толщиной слоя 3 мм или ФЭК-Н-57 со светофильтром №4 в кювете с толщиной слоя 5 мм. В качестве контрол</w:t>
      </w:r>
      <w:r>
        <w:rPr>
          <w:sz w:val="28"/>
          <w:szCs w:val="28"/>
          <w:lang w:val="ru-RU"/>
        </w:rPr>
        <w:t>ьного раствора применяют смесь, состоящую из 1 мл нейтрального раствора пикрата натрия, 0,5 мл очищенного нейтрального препарат и 3,5 мл воды.</w:t>
      </w:r>
    </w:p>
    <w:p w14:paraId="0B3EE5BD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Параллельно определяют оптическую плотность эталонного раствора. Содержание гликозидов в пересчете на цимарин в 1</w:t>
      </w:r>
      <w:r>
        <w:rPr>
          <w:sz w:val="28"/>
          <w:szCs w:val="28"/>
          <w:lang w:val="ru-RU"/>
        </w:rPr>
        <w:t xml:space="preserve"> мл препарата в мг вычисляют по формуле:</w:t>
      </w:r>
    </w:p>
    <w:p w14:paraId="07003EC8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F753E32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 = D1*a*0,027/D0*0,5,</w:t>
      </w:r>
    </w:p>
    <w:p w14:paraId="3FDFDF34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A829BF8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D1 - оптическая плотность испытуемого раствора;- оптическая плотность эталонного раствора;</w:t>
      </w:r>
    </w:p>
    <w:p w14:paraId="4FA636E9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а - содержание безводного сульфита натрия в эталонном растворе в мг;</w:t>
      </w:r>
    </w:p>
    <w:p w14:paraId="36955CDD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,027 - количество цимарина</w:t>
      </w:r>
      <w:r>
        <w:rPr>
          <w:sz w:val="28"/>
          <w:szCs w:val="28"/>
          <w:lang w:val="ru-RU"/>
        </w:rPr>
        <w:t>, соответствующее 1 мг безводного сульфита натрия, в мг.</w:t>
      </w:r>
    </w:p>
    <w:p w14:paraId="1B186A6C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мл препарата должен одержать 0,55-0,65 мг цимарина, что соответствует 23-27 ЛЕД. 1 ЛЕД соответствует 0,024 мг цимарина [3].</w:t>
      </w:r>
    </w:p>
    <w:p w14:paraId="12B76670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0E188D1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Методика контроля качества препарат "Настойка строфанта"</w:t>
      </w:r>
    </w:p>
    <w:p w14:paraId="074A8143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04D97D1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Подлинность. </w:t>
      </w:r>
      <w:r>
        <w:rPr>
          <w:sz w:val="28"/>
          <w:szCs w:val="28"/>
          <w:lang w:val="ru-RU"/>
        </w:rPr>
        <w:t>На стеклянную пластинку, покрытую тонким слоем окиси алюминия "для хроматографии", наносят 1 каплю настойки. На полученное пятно прибавляют каплю спиртового раствора м-динитробензола, затем каплю раствора едкого натра; появляется синее пятно, которое посте</w:t>
      </w:r>
      <w:r>
        <w:rPr>
          <w:sz w:val="28"/>
          <w:szCs w:val="28"/>
          <w:lang w:val="ru-RU"/>
        </w:rPr>
        <w:t>пенно обесцвечивается.</w:t>
      </w:r>
    </w:p>
    <w:p w14:paraId="4BC61AC5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Количественное определение. Активность настойки строфанта определяют биологическим методом.</w:t>
      </w:r>
    </w:p>
    <w:p w14:paraId="09FDDC59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мл препарата должен содержать 180 - 220 ЛЕД или 24-28 КЕД.</w:t>
      </w:r>
    </w:p>
    <w:p w14:paraId="6AFB0192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A782391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Методика контроля качества препарата "Экстракт боярышника жидкий"</w:t>
      </w:r>
    </w:p>
    <w:p w14:paraId="2DF95050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08AD059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Подлинность</w:t>
      </w:r>
      <w:r>
        <w:rPr>
          <w:sz w:val="28"/>
          <w:szCs w:val="28"/>
          <w:lang w:val="ru-RU"/>
        </w:rPr>
        <w:t>. 10 мл препарата выпаривают в фарфоровой чашке на водяной бане до 4-5 мл, препарат в делительную воронку и взбалтывают с 15 мл хлорформа. Хлороформ отделяют и отгоняют. Остаток растворяют в 5 мл воды и фильтруют. От прибавления к фильтрату 3 капель раство</w:t>
      </w:r>
      <w:r>
        <w:rPr>
          <w:sz w:val="28"/>
          <w:szCs w:val="28"/>
          <w:lang w:val="ru-RU"/>
        </w:rPr>
        <w:t>ра натрия нитропруссида и 4 - 5 капель 4% раствора едкого натра, смесь окрашивается в желтый с красноватым оттенком цвет.</w:t>
      </w:r>
    </w:p>
    <w:p w14:paraId="7867C484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мл препарата разводят водой до объема 50 мл. К 10 мл полученного раствора прибавляют 2 капли раствора хлорида окисного железа; появляе</w:t>
      </w:r>
      <w:r>
        <w:rPr>
          <w:sz w:val="28"/>
          <w:szCs w:val="28"/>
          <w:lang w:val="ru-RU"/>
        </w:rPr>
        <w:t>тся зеленое окрашивание и выпадает осадок.</w:t>
      </w:r>
    </w:p>
    <w:p w14:paraId="3FEAE228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мл того же раствора разводят водой до объема 10 мл, прибавляют 2 капли раствора хлорида окисного железа; зеленое окрашивание остается заметным.</w:t>
      </w:r>
    </w:p>
    <w:p w14:paraId="30F2E915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Количественное определение проводят биологическим путем на изолирова</w:t>
      </w:r>
      <w:r>
        <w:rPr>
          <w:sz w:val="28"/>
          <w:szCs w:val="28"/>
          <w:lang w:val="ru-RU"/>
        </w:rPr>
        <w:t>нном утомленном сердце лягушки вида Rana temporaria. Утомление сердца достигается длительной его работой в течение 4-7 часов и определяется уменьшением амплитуды сокращений на 50-60% по сравнению с первоначальной.</w:t>
      </w:r>
    </w:p>
    <w:p w14:paraId="71E48838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Экстракт боярышника жидкий, разведенный ра</w:t>
      </w:r>
      <w:r>
        <w:rPr>
          <w:sz w:val="28"/>
          <w:szCs w:val="28"/>
          <w:lang w:val="ru-RU"/>
        </w:rPr>
        <w:t>створом Рингера в соотношении 1:500 должен увеличивать амплитуду сокращений утомленного сердца лягушки не менее чем на 50%. Определение проводят 3 раза на одном и том же сердце, в течение 5 минут каждый раз.</w:t>
      </w:r>
    </w:p>
    <w:p w14:paraId="674AB205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Сокращения сердца регистрируют с помощью рыжачка</w:t>
      </w:r>
      <w:r>
        <w:rPr>
          <w:sz w:val="28"/>
          <w:szCs w:val="28"/>
          <w:lang w:val="ru-RU"/>
        </w:rPr>
        <w:t xml:space="preserve"> на ленте кимографа. После каждого определения сердце отмывают раствором Рингера до возвращения исходной амплитуды сокращений.</w:t>
      </w:r>
    </w:p>
    <w:p w14:paraId="379C5663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всех трех определениях должны быть получены сходные результаты опыта. В противном случае испытания повторяют на утомленном изо</w:t>
      </w:r>
      <w:r>
        <w:rPr>
          <w:sz w:val="28"/>
          <w:szCs w:val="28"/>
          <w:lang w:val="ru-RU"/>
        </w:rPr>
        <w:t>лированном сердце другой лягушки.</w:t>
      </w:r>
    </w:p>
    <w:p w14:paraId="03AAF560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0941C72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Методики контроля качества прописей, содержащих фитопрепараты</w:t>
      </w:r>
    </w:p>
    <w:p w14:paraId="5D142092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832751A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Пропись 1.</w:t>
      </w:r>
    </w:p>
    <w:p w14:paraId="72C34E25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Кодеина фосфат 0,15 г</w:t>
      </w:r>
    </w:p>
    <w:p w14:paraId="4999CA44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 корневища с корнями валерианы из 6 г 200 мл</w:t>
      </w:r>
    </w:p>
    <w:p w14:paraId="2BF1710A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Натрия бромида 4 г</w:t>
      </w:r>
    </w:p>
    <w:p w14:paraId="688A5A68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Подлинность.</w:t>
      </w:r>
    </w:p>
    <w:p w14:paraId="1EBB3674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Кодеина фосфат.</w:t>
      </w:r>
    </w:p>
    <w:p w14:paraId="0F24BE7C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1 мл микстуры прибавл</w:t>
      </w:r>
      <w:r>
        <w:rPr>
          <w:sz w:val="28"/>
          <w:szCs w:val="28"/>
          <w:lang w:val="ru-RU"/>
        </w:rPr>
        <w:t>яют 1-2 капли раствора натрия гидроксида, 2-3 мл эфира и взбалтывают 1 мин. Эфирный слой отделяют и эфир отгоняют. К остатку добавляют 1-2 капли раствора формальдегида в концентрированной серной кислоте. Появляется сине-фиолетовое окрашивание.</w:t>
      </w:r>
    </w:p>
    <w:p w14:paraId="0FAC5352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Настой корне</w:t>
      </w:r>
      <w:r>
        <w:rPr>
          <w:sz w:val="28"/>
          <w:szCs w:val="28"/>
          <w:lang w:val="ru-RU"/>
        </w:rPr>
        <w:t>вища с корнями валерианы.</w:t>
      </w:r>
    </w:p>
    <w:p w14:paraId="61053413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Помещают 2 мл микстуры в делительную воронку, прибавляют 5 мл 96% этанола, 5 мл хлороформа и взбалтывают 2 мин. Спиртохлороформный слой отделяют и растворители отгоняют. После охлаждения к сухому остатку добавляют 3 - 5 капель к</w:t>
      </w:r>
      <w:r>
        <w:rPr>
          <w:sz w:val="28"/>
          <w:szCs w:val="28"/>
          <w:lang w:val="ru-RU"/>
        </w:rPr>
        <w:t>онцентрированной серной кислоты. Через 8-10 мин появляется красновато-фиолетовый цвет.</w:t>
      </w:r>
    </w:p>
    <w:p w14:paraId="1FAB9B17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Органолептическое определение по специфическому запаху валерианы.</w:t>
      </w:r>
    </w:p>
    <w:p w14:paraId="15698133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Натрия бромид.</w:t>
      </w:r>
    </w:p>
    <w:p w14:paraId="0B8E2BB7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5-6 каплям микстуры прибавляют 2-3 капли разведенной соляной кислоты, 3-5 капель рас</w:t>
      </w:r>
      <w:r>
        <w:rPr>
          <w:sz w:val="28"/>
          <w:szCs w:val="28"/>
          <w:lang w:val="ru-RU"/>
        </w:rPr>
        <w:t>твора хлорамина, 1 мл хлороформа и взбалтывают. Хлороформный слой окрашивается в желто-бурый цвет.</w:t>
      </w:r>
    </w:p>
    <w:p w14:paraId="682FC912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Часть микстуры на графитовой палочке вносят в бесцветное пламя. Пламя окрашивается в желтый цвет.</w:t>
      </w:r>
    </w:p>
    <w:p w14:paraId="0C419D38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Количественное определение.</w:t>
      </w:r>
    </w:p>
    <w:p w14:paraId="4C39337A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Кодеина фосфат. Помещают 5 мл м</w:t>
      </w:r>
      <w:r>
        <w:rPr>
          <w:sz w:val="28"/>
          <w:szCs w:val="28"/>
          <w:lang w:val="ru-RU"/>
        </w:rPr>
        <w:t>икстуры в делительную воронку, прибавляю 2-3 капли раствора натрия гидроксида и извлекают хлороформа 3 раза по 10 мл, взбалтывая по 2 мин. Хлороформные извлечения фильтруют через фильтр, содержащий 1 г безводного натрия сульфата, в сухую колбу, фильтр пром</w:t>
      </w:r>
      <w:r>
        <w:rPr>
          <w:sz w:val="28"/>
          <w:szCs w:val="28"/>
          <w:lang w:val="ru-RU"/>
        </w:rPr>
        <w:t>ывают 5 мл хлороформа и хлороформ отгоняют. Остаток растворяют в 1 мл 96% этанола, нейтрализованного по метиловому красному, добавляют 5 мл свежепрокипяченной охлажденной воды и титруют 0,02 моль/л раствором соляной кислоты до розового окрашивания.</w:t>
      </w:r>
    </w:p>
    <w:p w14:paraId="4978A9C2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Натрия </w:t>
      </w:r>
      <w:r>
        <w:rPr>
          <w:sz w:val="28"/>
          <w:szCs w:val="28"/>
          <w:lang w:val="ru-RU"/>
        </w:rPr>
        <w:t>бромид. К 0,5 мл микстуры прибавляют 1-2 капли раствора бромфенолового синего, по каплям разведенную уксусную кислоту до зеленовато-желтого окрашивания и титруют 0,1 моль/л раствором серебра нитрата до фиолетового окрашивания.</w:t>
      </w:r>
    </w:p>
    <w:p w14:paraId="35155A88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Пропись 2.</w:t>
      </w:r>
    </w:p>
    <w:p w14:paraId="0F3EF232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 травы термо</w:t>
      </w:r>
      <w:r>
        <w:rPr>
          <w:sz w:val="28"/>
          <w:szCs w:val="28"/>
          <w:lang w:val="ru-RU"/>
        </w:rPr>
        <w:t>псиса из 0,5 г 100 мл</w:t>
      </w:r>
    </w:p>
    <w:p w14:paraId="7CDE1305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Натрия гидрокарбоната 0,5 г</w:t>
      </w:r>
    </w:p>
    <w:p w14:paraId="6E8CA31F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Нашатырно-анисовых капель 1 мл</w:t>
      </w:r>
    </w:p>
    <w:p w14:paraId="245AC34A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Подлинность.</w:t>
      </w:r>
    </w:p>
    <w:p w14:paraId="4902BE6E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Натрия гидрокарбонат. К 0,1-1 мл микстуры прибавляют 2-3 капли разведенной соляной кислоты. Выделяются пузырьки угольного ангидрида.</w:t>
      </w:r>
    </w:p>
    <w:p w14:paraId="095065EB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Нашатырно-анисовые капли. По</w:t>
      </w:r>
      <w:r>
        <w:rPr>
          <w:sz w:val="28"/>
          <w:szCs w:val="28"/>
          <w:lang w:val="ru-RU"/>
        </w:rPr>
        <w:t xml:space="preserve"> характерному запаху анисового масла и аммиака.</w:t>
      </w:r>
    </w:p>
    <w:p w14:paraId="6C62A7AF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Трава термопсиса. Алкалоиды травы термопсиса образуют осадок с реактивом Вагнера.</w:t>
      </w:r>
    </w:p>
    <w:p w14:paraId="1FC7D113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Количественное определение.</w:t>
      </w:r>
    </w:p>
    <w:p w14:paraId="4FAC79FA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Натрия гидрокарбонат. Титруют 2 мл микстуры 0,1 моль/л раствором соляной кислоты до красного окраш</w:t>
      </w:r>
      <w:r>
        <w:rPr>
          <w:sz w:val="28"/>
          <w:szCs w:val="28"/>
          <w:lang w:val="ru-RU"/>
        </w:rPr>
        <w:t>ивания (индикатор - метиловый красный).</w:t>
      </w:r>
    </w:p>
    <w:p w14:paraId="26D04EE1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натрия гидрокарбоната в граммах вычисляют по формуле:</w:t>
      </w:r>
    </w:p>
    <w:p w14:paraId="206EC629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4B4E41E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 = (А*V/2 - б * 8,8) * 0,0084,</w:t>
      </w:r>
    </w:p>
    <w:p w14:paraId="3AA028D8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D4BA70F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</w:t>
      </w:r>
    </w:p>
    <w:p w14:paraId="4A54B3F4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- количество 0,1 моль/л раствора соляной кислоты, израсходованное на титрование суммы натрия гидрокарбоната и а</w:t>
      </w:r>
      <w:r>
        <w:rPr>
          <w:sz w:val="28"/>
          <w:szCs w:val="28"/>
          <w:lang w:val="ru-RU"/>
        </w:rPr>
        <w:t>ммиака в нашатырно-анисовых каплях, мл;- общий объем микстуры, мл;</w:t>
      </w:r>
    </w:p>
    <w:p w14:paraId="2E8878C0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 - содержание нашатырно-анисовых капель в микстуре, мл;</w:t>
      </w:r>
    </w:p>
    <w:p w14:paraId="448D20D0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,8 - среднее количество 0,1 моль/л раствора соляной кислоты нейтрализации аммиака в 1 мл нашатырно-анисовых капель, мл;</w:t>
      </w:r>
    </w:p>
    <w:p w14:paraId="753094D7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,0084 - коли</w:t>
      </w:r>
      <w:r>
        <w:rPr>
          <w:sz w:val="28"/>
          <w:szCs w:val="28"/>
          <w:lang w:val="ru-RU"/>
        </w:rPr>
        <w:t>чество натрия гидрокарбоната, соответствующее 1 мл 0,1 моль/л раствора соляной кислоты, г.</w:t>
      </w:r>
    </w:p>
    <w:p w14:paraId="63CAEEAB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Нашатырно-анисовые капли.</w:t>
      </w:r>
    </w:p>
    <w:p w14:paraId="7B330BFB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Фотоколориметрический метод. К 0,2 мл микстуры прибавляют 8,8 мл свежепрокипяченной охлажденной воды, 1 мл реактива Несслера и перемешива</w:t>
      </w:r>
      <w:r>
        <w:rPr>
          <w:sz w:val="28"/>
          <w:szCs w:val="28"/>
          <w:lang w:val="ru-RU"/>
        </w:rPr>
        <w:t>ют. Через 5 мин измеряют оптическую плотность окрашенного раствора (D1) при длине волны, около 450 нм в кювете с толщиной слоя 5 мм.</w:t>
      </w:r>
    </w:p>
    <w:p w14:paraId="705F91AB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Раствор сравнения: смесь из 1 мл реактива Несслера и 9 мл свежепрокипяченной охлажденной воды.</w:t>
      </w:r>
    </w:p>
    <w:p w14:paraId="1D644622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Параллельно проводят реакцию</w:t>
      </w:r>
      <w:r>
        <w:rPr>
          <w:sz w:val="28"/>
          <w:szCs w:val="28"/>
          <w:lang w:val="ru-RU"/>
        </w:rPr>
        <w:t xml:space="preserve"> с 0,2 мл 1% стандартного раствора нашатырно-анисовых капель и с 0,2 мл стандартного раствора сухого экстракта термопсиса измеряют оптические плотности этих эталонных растворов (D2 и D3).</w:t>
      </w:r>
    </w:p>
    <w:p w14:paraId="2AE34751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нашатырно-анисовых капель в мл вычисляют по формуле:</w:t>
      </w:r>
    </w:p>
    <w:p w14:paraId="6C33B468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69CECA6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 =</w:t>
      </w:r>
      <w:r>
        <w:rPr>
          <w:sz w:val="28"/>
          <w:szCs w:val="28"/>
          <w:lang w:val="ru-RU"/>
        </w:rPr>
        <w:t xml:space="preserve"> (D1 - D3) * 0,002 * 100/D2 * 0,2</w:t>
      </w:r>
    </w:p>
    <w:p w14:paraId="1D2F6151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DB51F11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Визуальный метод. Помещают 5 мл микстуры в мерную колбу вместимостью 100 мл и объем доводят водой до метки (раствор А).</w:t>
      </w:r>
    </w:p>
    <w:p w14:paraId="6875A351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пять пробирок из одинакового стекла с одинаковым диаметром, с притертыми пробками вливают 4;4,5;5</w:t>
      </w:r>
      <w:r>
        <w:rPr>
          <w:sz w:val="28"/>
          <w:szCs w:val="28"/>
          <w:lang w:val="ru-RU"/>
        </w:rPr>
        <w:t>; 5,5 и 6 мл стандартного раствора сухого экстракта термпосиса и нашатырно-анисовых капель, в шестую пробирку - 5 мл раствора А. Во все проибрки прибавляют свежепрокипяченную охлажденную воду до объема 9 мл, по 1 мл реактива Несслера и перемешивают. Окраск</w:t>
      </w:r>
      <w:r>
        <w:rPr>
          <w:sz w:val="28"/>
          <w:szCs w:val="28"/>
          <w:lang w:val="ru-RU"/>
        </w:rPr>
        <w:t>у анализируемого раствора сравнивают с окраской эталонных растворов, рассматривая по оси пробирок сверху вниз на белом фоне.</w:t>
      </w:r>
    </w:p>
    <w:p w14:paraId="040759F5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нашатырно-анисовых капель (Х) в мл вычисляют по формуле:</w:t>
      </w:r>
    </w:p>
    <w:p w14:paraId="2912C553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028D944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 = а * 0,0005 * 100 * 100/ 5*5,</w:t>
      </w:r>
    </w:p>
    <w:p w14:paraId="4A23F6EB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0C480D1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а - объем стандартного </w:t>
      </w:r>
      <w:r>
        <w:rPr>
          <w:sz w:val="28"/>
          <w:szCs w:val="28"/>
          <w:lang w:val="ru-RU"/>
        </w:rPr>
        <w:t>раствора сухого экстракта термопсиса и нашатырно-анисовых капель в эталоне, сходном по окраске с анализируемым раствором, мл.</w:t>
      </w:r>
    </w:p>
    <w:p w14:paraId="6D8EBDE5" w14:textId="77777777" w:rsidR="00000000" w:rsidRDefault="00522FFB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817F095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2.5 Методика контроля качества препарата "Стоптуссин"</w:t>
      </w:r>
    </w:p>
    <w:p w14:paraId="6975374D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0D7877F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Экстракта тимьяна жидкого 4,1666 г</w:t>
      </w:r>
    </w:p>
    <w:p w14:paraId="7775FD02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Экстракта чабреца жидкого 4,1666 г</w:t>
      </w:r>
    </w:p>
    <w:p w14:paraId="047828D2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</w:t>
      </w:r>
      <w:r>
        <w:rPr>
          <w:sz w:val="28"/>
          <w:szCs w:val="28"/>
          <w:lang w:val="ru-RU"/>
        </w:rPr>
        <w:t>тракта подорожника жидкого 4,1666 г</w:t>
      </w:r>
    </w:p>
    <w:p w14:paraId="10C2B3C5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Меда 22,5000 г</w:t>
      </w:r>
    </w:p>
    <w:p w14:paraId="187737E1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Кислоты сорбиновой 0,0800 г</w:t>
      </w:r>
    </w:p>
    <w:p w14:paraId="30A765C4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Натрия бензоата 0,1250 г</w:t>
      </w:r>
    </w:p>
    <w:p w14:paraId="20F7DE6E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Метипарабена 0,0560 г</w:t>
      </w:r>
    </w:p>
    <w:p w14:paraId="601CEDB6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Пропилпарабена 0,0240 г</w:t>
      </w:r>
    </w:p>
    <w:p w14:paraId="50D85175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Сахарозы 65,0000 г</w:t>
      </w:r>
    </w:p>
    <w:p w14:paraId="15B9D664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Воды очищенной до 100 0000 мл</w:t>
      </w:r>
    </w:p>
    <w:p w14:paraId="1562687D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Биологические активными компонентами стоптуссина являются</w:t>
      </w:r>
      <w:r>
        <w:rPr>
          <w:sz w:val="28"/>
          <w:szCs w:val="28"/>
          <w:lang w:val="ru-RU"/>
        </w:rPr>
        <w:t xml:space="preserve"> главным образом фенолы: тимол и его изомер карвакрол.</w:t>
      </w:r>
    </w:p>
    <w:p w14:paraId="7B4F32B0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8587B61" w14:textId="1EF4CE86" w:rsidR="00000000" w:rsidRDefault="00A70DE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94AAF1" wp14:editId="6D70E457">
            <wp:extent cx="1876425" cy="2295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21260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A07DA6B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Подлинность. Подлинность тимола и карвакрола подтверждают с помощью метода ГЖХ. Одновременно с биологически активными веществами тем же методом идентифицируют кон</w:t>
      </w:r>
      <w:r>
        <w:rPr>
          <w:sz w:val="28"/>
          <w:szCs w:val="28"/>
          <w:lang w:val="ru-RU"/>
        </w:rPr>
        <w:t>серванты.</w:t>
      </w:r>
    </w:p>
    <w:p w14:paraId="2A532A24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Условия разделения:</w:t>
      </w:r>
    </w:p>
    <w:p w14:paraId="538476CD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Газовый хроматограф с пламенно-ионизационным детектором</w:t>
      </w:r>
    </w:p>
    <w:p w14:paraId="1BCE7A81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колонки типа DB 17,3 м х 0,25 мм х 0,25 мм</w:t>
      </w:r>
    </w:p>
    <w:p w14:paraId="5B3E6D25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Програмированный режим термостата колонок от 50 до 210°С со скоростью 1°С /мин, далее со скоростью 5°С/мин</w:t>
      </w:r>
    </w:p>
    <w:p w14:paraId="04EE0CD2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Температура </w:t>
      </w:r>
      <w:r>
        <w:rPr>
          <w:sz w:val="28"/>
          <w:szCs w:val="28"/>
          <w:lang w:val="ru-RU"/>
        </w:rPr>
        <w:t>инжектора 200°С</w:t>
      </w:r>
    </w:p>
    <w:p w14:paraId="3B6E88BD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Линейная скорость 30 см/с</w:t>
      </w:r>
    </w:p>
    <w:p w14:paraId="1A809A32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Объем вводимой пробы 1 мкл</w:t>
      </w:r>
    </w:p>
    <w:p w14:paraId="52A83A58" w14:textId="77777777" w:rsidR="00000000" w:rsidRDefault="00522FFB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Приготовление испытуемого раствора. 2 мл сиропа смешивают с 2 мл хлороформа и встряхивают в течение 5 минут. После разделения фаз анализируют хлороформный слой.</w:t>
      </w:r>
    </w:p>
    <w:p w14:paraId="1AD31511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Приготовление раствор</w:t>
      </w:r>
      <w:r>
        <w:rPr>
          <w:sz w:val="28"/>
          <w:szCs w:val="28"/>
          <w:lang w:val="ru-RU"/>
        </w:rPr>
        <w:t>а стандартного образца. По 0,03 г тимола, карвакрола, кислоты бензойной, кислоты сорбиновой, метилпарабена и пропилпарабена помещают в мерную колбу вместимостью 25 мл, растворяют в небольшом количестве хлороформа и доводят объем тем же растоврителем до мет</w:t>
      </w:r>
      <w:r>
        <w:rPr>
          <w:sz w:val="28"/>
          <w:szCs w:val="28"/>
          <w:lang w:val="ru-RU"/>
        </w:rPr>
        <w:t>ки.</w:t>
      </w:r>
    </w:p>
    <w:p w14:paraId="2EDBF183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Количественное определение тимола проводят методом ВЭЖХ.</w:t>
      </w:r>
    </w:p>
    <w:p w14:paraId="46CCFB3E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Условия разделения</w:t>
      </w:r>
    </w:p>
    <w:p w14:paraId="40CF4C65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Колонка из нержавеющей стали с внутренним диаметром 4,6 мм и длиной 25 см.</w:t>
      </w:r>
    </w:p>
    <w:p w14:paraId="6BB2947B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Сорбент типа LiChrosorb Rp-18,5 мкм</w:t>
      </w:r>
    </w:p>
    <w:p w14:paraId="3CF73210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Скорость потока 1 мл/мин</w:t>
      </w:r>
    </w:p>
    <w:p w14:paraId="7248618E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УФ-детектор с рабочей длиной вол</w:t>
      </w:r>
      <w:r>
        <w:rPr>
          <w:sz w:val="28"/>
          <w:szCs w:val="28"/>
          <w:lang w:val="ru-RU"/>
        </w:rPr>
        <w:t>ны 276 нм.</w:t>
      </w:r>
    </w:p>
    <w:p w14:paraId="5DD38B4E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Объем вводимой пробы 20 мкл</w:t>
      </w:r>
    </w:p>
    <w:p w14:paraId="17941FF5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Подвижная фаза - смесь ацетонитрил - вода (400:600)</w:t>
      </w:r>
    </w:p>
    <w:p w14:paraId="289AADB5" w14:textId="77777777" w:rsidR="00000000" w:rsidRDefault="00522FFB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Приготовление испытуемого раствора. 10 г сиропа помещают в мерную колбу вместимостью 25 мл, смешивают при встряхивании с метанолом и доводят объем тем же раствор</w:t>
      </w:r>
      <w:r>
        <w:rPr>
          <w:sz w:val="28"/>
          <w:szCs w:val="28"/>
          <w:lang w:val="ru-RU"/>
        </w:rPr>
        <w:t>ителем до метки. Перед анализом полученный раствор фильтруют.</w:t>
      </w:r>
    </w:p>
    <w:p w14:paraId="5106B8F7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Приготовление раствора стандартного образца. 30 мг стандартного образца тимола и 10 мг стандартного образца карвакрола помещают в мерную колбу вместимостью 100 мл, растворяют в метаноле и доводя</w:t>
      </w:r>
      <w:r>
        <w:rPr>
          <w:sz w:val="28"/>
          <w:szCs w:val="28"/>
          <w:lang w:val="ru-RU"/>
        </w:rPr>
        <w:t>т объем тем же растворителем до метки.</w:t>
      </w:r>
    </w:p>
    <w:p w14:paraId="09F2CF20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мл полученного раствора помещают в мерную колбу вместимостью 100 мл и доводят объем метанолом до метки.</w:t>
      </w:r>
    </w:p>
    <w:p w14:paraId="4300A79C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тимола в сиропе рассчитывают по формуле</w:t>
      </w:r>
    </w:p>
    <w:p w14:paraId="0B2AF33A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9C1AC99" w14:textId="1C6F1BD4" w:rsidR="00000000" w:rsidRDefault="00A70DE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56EAA67" wp14:editId="68D70887">
            <wp:extent cx="3009900" cy="27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729B8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D86444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Si - площадь пика о</w:t>
      </w:r>
      <w:r>
        <w:rPr>
          <w:sz w:val="28"/>
          <w:szCs w:val="28"/>
          <w:lang w:val="ru-RU"/>
        </w:rPr>
        <w:t>пределяемого вещества на хроматограмме испытуемого раствора;i - площадь пика определяемого вещества на хроматограмме раствора стандартного образца;i - навеска определяемого вещества в растворе стндартного образца;</w:t>
      </w:r>
    </w:p>
    <w:p w14:paraId="778B582C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- навеска сиропа;</w:t>
      </w:r>
    </w:p>
    <w:p w14:paraId="37C27729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ρ - </w:t>
      </w:r>
      <w:r>
        <w:rPr>
          <w:sz w:val="28"/>
          <w:szCs w:val="28"/>
          <w:lang w:val="ru-RU"/>
        </w:rPr>
        <w:t>плотность анализир</w:t>
      </w:r>
      <w:r>
        <w:rPr>
          <w:sz w:val="28"/>
          <w:szCs w:val="28"/>
          <w:lang w:val="ru-RU"/>
        </w:rPr>
        <w:t>уемой пробы при 20°С;</w:t>
      </w:r>
    </w:p>
    <w:p w14:paraId="3A623E61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- содержание стандартного вещества.</w:t>
      </w:r>
    </w:p>
    <w:p w14:paraId="65FFEAF3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5E552B5" w14:textId="77777777" w:rsidR="00000000" w:rsidRDefault="00522FFB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9A2A8D7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20343E10" w14:textId="77777777" w:rsidR="00000000" w:rsidRDefault="00522FFB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фитопрепарат стандартизация экстракт экстемпоральный</w:t>
      </w:r>
    </w:p>
    <w:p w14:paraId="0F3DAC41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выполнив курсовую работу, были изучены особенности стандартизации фитопрепаратов и лекарственных средств, содержа</w:t>
      </w:r>
      <w:r>
        <w:rPr>
          <w:sz w:val="28"/>
          <w:szCs w:val="28"/>
          <w:lang w:val="ru-RU"/>
        </w:rPr>
        <w:t>щих их. В практической части представлены методики качественного и количественного определения фитопрепаратов в составе лекарственных средств.</w:t>
      </w:r>
    </w:p>
    <w:p w14:paraId="4C05F52E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контроле качества экстемпоральных препаратов используют общие приемы экспресс-анализа, а при станадртизации г</w:t>
      </w:r>
      <w:r>
        <w:rPr>
          <w:sz w:val="28"/>
          <w:szCs w:val="28"/>
          <w:lang w:val="ru-RU"/>
        </w:rPr>
        <w:t>отовых лекарственных средств используют чаще всего хроматографические методы определения.</w:t>
      </w:r>
    </w:p>
    <w:p w14:paraId="1B9BCF10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3635B20" w14:textId="77777777" w:rsidR="00000000" w:rsidRDefault="00522FFB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5ABAAF2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14:paraId="35C9FB54" w14:textId="77777777" w:rsidR="00000000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0BB9132" w14:textId="77777777" w:rsidR="00000000" w:rsidRDefault="00522FF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Арзамасцев А.П. "Фармакопейный анализ" - М.: Медицина. - 1971.</w:t>
      </w:r>
    </w:p>
    <w:p w14:paraId="56BDF02C" w14:textId="77777777" w:rsidR="00000000" w:rsidRDefault="00522FF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Беликов В.Г. "Фармацевтическая химия". - М.: Высшая школа. - 2005.</w:t>
      </w:r>
    </w:p>
    <w:p w14:paraId="4FB3ACFD" w14:textId="77777777" w:rsidR="00000000" w:rsidRDefault="00522FF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Государ</w:t>
      </w:r>
      <w:r>
        <w:rPr>
          <w:sz w:val="28"/>
          <w:szCs w:val="28"/>
          <w:lang w:val="ru-RU"/>
        </w:rPr>
        <w:t>ственная Фармакопея СССР X изд. - 1968</w:t>
      </w:r>
    </w:p>
    <w:p w14:paraId="3B003A0E" w14:textId="77777777" w:rsidR="00000000" w:rsidRDefault="00522FF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Глущенко Н.Н. "Фармацевтическая химия: Учебник для студ. сред. проф. учеб. заведений / - М.: Издательский центр "Академия". - 2004.</w:t>
      </w:r>
    </w:p>
    <w:p w14:paraId="12C00441" w14:textId="77777777" w:rsidR="00000000" w:rsidRDefault="00522FFB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Кулешова М.И. "Анализ лекарственных форм, изготавливаемых в аптеке". - М.: Медици</w:t>
      </w:r>
      <w:r>
        <w:rPr>
          <w:sz w:val="28"/>
          <w:szCs w:val="28"/>
          <w:lang w:val="ru-RU"/>
        </w:rPr>
        <w:t>на, 1989. - 288 с.</w:t>
      </w:r>
    </w:p>
    <w:p w14:paraId="6B6FEAEE" w14:textId="77777777" w:rsidR="00522FFB" w:rsidRDefault="00522FF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522F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EF"/>
    <w:rsid w:val="00522FFB"/>
    <w:rsid w:val="00A7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C3642"/>
  <w14:defaultImageDpi w14:val="0"/>
  <w15:docId w15:val="{53F3B49A-4D4F-49A7-BE6E-20970931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3200</Words>
  <Characters>18246</Characters>
  <Application>Microsoft Office Word</Application>
  <DocSecurity>0</DocSecurity>
  <Lines>152</Lines>
  <Paragraphs>42</Paragraphs>
  <ScaleCrop>false</ScaleCrop>
  <Company/>
  <LinksUpToDate>false</LinksUpToDate>
  <CharactersWithSpaces>21404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2024-12-05T08:52:00Z</dcterms:created>
  <dcterms:modified xsi:type="dcterms:W3CDTF">2024-12-05T08:52:00Z</dcterms:modified>
</cp:coreProperties>
</file>