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DB08" w14:textId="77777777" w:rsidR="00000000" w:rsidRDefault="00C25DD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Министерство здравоохранения Украины</w:t>
      </w:r>
    </w:p>
    <w:p w14:paraId="462BA855" w14:textId="77777777" w:rsidR="00000000" w:rsidRDefault="00C25DD4">
      <w:pPr>
        <w:shd w:val="clear" w:color="auto" w:fill="FFFFFF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Национальный фармацевтический университет</w:t>
      </w:r>
    </w:p>
    <w:p w14:paraId="13E5AA69" w14:textId="77777777" w:rsidR="00000000" w:rsidRDefault="00C25DD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КФ</w:t>
      </w:r>
    </w:p>
    <w:p w14:paraId="6CC73657" w14:textId="77777777" w:rsidR="00000000" w:rsidRDefault="00C25DD4">
      <w:pPr>
        <w:spacing w:line="360" w:lineRule="auto"/>
        <w:ind w:firstLine="709"/>
        <w:jc w:val="center"/>
        <w:rPr>
          <w:i/>
          <w:iCs/>
          <w:caps/>
          <w:sz w:val="28"/>
          <w:szCs w:val="28"/>
        </w:rPr>
      </w:pPr>
    </w:p>
    <w:p w14:paraId="317C8A4A" w14:textId="77777777" w:rsidR="00000000" w:rsidRDefault="00C25DD4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11D1F4E7" w14:textId="77777777" w:rsidR="00000000" w:rsidRDefault="00C25DD4">
      <w:pPr>
        <w:tabs>
          <w:tab w:val="left" w:pos="3630"/>
        </w:tabs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3EAD085A" w14:textId="77777777" w:rsidR="00000000" w:rsidRDefault="00C25DD4">
      <w:pPr>
        <w:pStyle w:val="6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0F2634A6" w14:textId="77777777" w:rsidR="00000000" w:rsidRDefault="00C25DD4">
      <w:pPr>
        <w:pStyle w:val="6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47BE7083" w14:textId="77777777" w:rsidR="00000000" w:rsidRDefault="00C25DD4">
      <w:pPr>
        <w:pStyle w:val="6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FEF31DF" w14:textId="77777777" w:rsidR="00000000" w:rsidRDefault="00C25DD4">
      <w:pPr>
        <w:pStyle w:val="6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46592183" w14:textId="77777777" w:rsidR="00000000" w:rsidRDefault="00C25DD4">
      <w:pPr>
        <w:pStyle w:val="6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64676ED6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  <w:u w:val="single"/>
        </w:rPr>
        <w:t>на тему:</w:t>
      </w:r>
    </w:p>
    <w:p w14:paraId="6F13F62F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</w:t>
      </w:r>
      <w:r>
        <w:rPr>
          <w:b/>
          <w:bCs/>
          <w:sz w:val="28"/>
          <w:szCs w:val="28"/>
        </w:rPr>
        <w:t>Корвитол (corvitol)</w:t>
      </w:r>
      <w:r>
        <w:rPr>
          <w:b/>
          <w:bCs/>
          <w:i/>
          <w:iCs/>
          <w:sz w:val="28"/>
          <w:szCs w:val="28"/>
        </w:rPr>
        <w:t>»</w:t>
      </w:r>
    </w:p>
    <w:p w14:paraId="6BD85F3C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6CA6BDE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7E991337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51831094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2C1FD150" w14:textId="77777777" w:rsidR="00000000" w:rsidRDefault="00C25DD4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5BADB1D8" w14:textId="77777777" w:rsidR="00000000" w:rsidRDefault="00C25DD4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Выполнила:</w:t>
      </w:r>
    </w:p>
    <w:p w14:paraId="318C85C2" w14:textId="77777777" w:rsidR="00000000" w:rsidRDefault="00C25DD4">
      <w:pPr>
        <w:tabs>
          <w:tab w:val="left" w:pos="666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студент 5 курса 17 группы</w:t>
      </w:r>
    </w:p>
    <w:p w14:paraId="76F43898" w14:textId="77777777" w:rsidR="00000000" w:rsidRDefault="00C25DD4">
      <w:pPr>
        <w:tabs>
          <w:tab w:val="left" w:pos="666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фармацевтического факультета</w:t>
      </w:r>
    </w:p>
    <w:p w14:paraId="122C0640" w14:textId="77777777" w:rsidR="00000000" w:rsidRDefault="00C25DD4">
      <w:pPr>
        <w:tabs>
          <w:tab w:val="left" w:pos="666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Шитова А.С.</w:t>
      </w:r>
    </w:p>
    <w:p w14:paraId="3DF86F6F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7ED7D946" w14:textId="77777777" w:rsidR="00000000" w:rsidRDefault="00C25DD4">
      <w:pPr>
        <w:tabs>
          <w:tab w:val="left" w:pos="6663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39B75E79" w14:textId="77777777" w:rsidR="00000000" w:rsidRDefault="00C25DD4">
      <w:pPr>
        <w:tabs>
          <w:tab w:val="left" w:pos="6663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4AB00E2A" w14:textId="77777777" w:rsidR="00000000" w:rsidRDefault="00C25DD4">
      <w:pPr>
        <w:spacing w:line="360" w:lineRule="auto"/>
        <w:ind w:firstLine="709"/>
        <w:jc w:val="center"/>
        <w:rPr>
          <w:sz w:val="28"/>
          <w:szCs w:val="28"/>
        </w:rPr>
      </w:pPr>
    </w:p>
    <w:p w14:paraId="5F1C42AA" w14:textId="77777777" w:rsidR="00000000" w:rsidRDefault="00C25DD4">
      <w:pPr>
        <w:spacing w:line="360" w:lineRule="auto"/>
        <w:ind w:firstLine="709"/>
        <w:jc w:val="center"/>
        <w:rPr>
          <w:sz w:val="28"/>
          <w:szCs w:val="28"/>
        </w:rPr>
      </w:pPr>
    </w:p>
    <w:p w14:paraId="5A3652B1" w14:textId="77777777" w:rsidR="00000000" w:rsidRDefault="00C25DD4">
      <w:pPr>
        <w:spacing w:line="360" w:lineRule="auto"/>
        <w:ind w:firstLine="709"/>
        <w:jc w:val="center"/>
        <w:rPr>
          <w:sz w:val="28"/>
          <w:szCs w:val="28"/>
        </w:rPr>
      </w:pPr>
    </w:p>
    <w:p w14:paraId="710F2F75" w14:textId="77777777" w:rsidR="00000000" w:rsidRDefault="00C25DD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Харьков-2010</w:t>
      </w:r>
    </w:p>
    <w:p w14:paraId="6E9C8F91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План</w:t>
      </w:r>
    </w:p>
    <w:p w14:paraId="073C9575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A3E4CA5" w14:textId="77777777" w:rsidR="00000000" w:rsidRDefault="00C25DD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Международное название препарата; Торговое название; Категория препарата;</w:t>
      </w:r>
    </w:p>
    <w:p w14:paraId="030F370D" w14:textId="77777777" w:rsidR="00000000" w:rsidRDefault="00C25D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Основные фармакологические эффекты;</w:t>
      </w:r>
    </w:p>
    <w:p w14:paraId="79BFB0C8" w14:textId="77777777" w:rsidR="00000000" w:rsidRDefault="00C25D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Показания и противопоказания к назначению препарата;</w:t>
      </w:r>
    </w:p>
    <w:p w14:paraId="49EDD84D" w14:textId="77777777" w:rsidR="00000000" w:rsidRDefault="00C25D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Побочные эффекты:</w:t>
      </w:r>
    </w:p>
    <w:p w14:paraId="448FE541" w14:textId="77777777" w:rsidR="00000000" w:rsidRDefault="00C25DD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Лекарственные формы, в которых применяется препарат;</w:t>
      </w:r>
    </w:p>
    <w:p w14:paraId="5F5ABBF0" w14:textId="77777777" w:rsidR="00000000" w:rsidRDefault="00C25DD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Клиниче</w:t>
      </w:r>
      <w:r>
        <w:rPr>
          <w:sz w:val="28"/>
          <w:szCs w:val="28"/>
        </w:rPr>
        <w:t>ские критерии эффективности препарату:</w:t>
      </w:r>
    </w:p>
    <w:p w14:paraId="36E8D169" w14:textId="77777777" w:rsidR="00000000" w:rsidRDefault="00C25DD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Возможные взаимодействия препарату:</w:t>
      </w:r>
    </w:p>
    <w:p w14:paraId="1CB68037" w14:textId="77777777" w:rsidR="00000000" w:rsidRDefault="00C25DD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Особенности назначения препарату разным категориям больных:</w:t>
      </w:r>
    </w:p>
    <w:p w14:paraId="20617402" w14:textId="77777777" w:rsidR="00000000" w:rsidRDefault="00C25DD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Особенное назначение препарата при «сопутствующих» болезнях;</w:t>
      </w:r>
    </w:p>
    <w:p w14:paraId="55AC22C7" w14:textId="77777777" w:rsidR="00000000" w:rsidRDefault="00C25DD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Особенности применения разных лекарственных форм пре</w:t>
      </w:r>
      <w:r>
        <w:rPr>
          <w:sz w:val="28"/>
          <w:szCs w:val="28"/>
        </w:rPr>
        <w:t>парат;</w:t>
      </w:r>
    </w:p>
    <w:p w14:paraId="47BF1305" w14:textId="77777777" w:rsidR="00000000" w:rsidRDefault="00C25DD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Информация для доктора;</w:t>
      </w:r>
    </w:p>
    <w:p w14:paraId="084981C8" w14:textId="77777777" w:rsidR="00000000" w:rsidRDefault="00C25DD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Информация для пациента;</w:t>
      </w:r>
    </w:p>
    <w:p w14:paraId="07049CC4" w14:textId="77777777" w:rsidR="00000000" w:rsidRDefault="00C25DD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14:paraId="56FECD24" w14:textId="77777777" w:rsidR="00000000" w:rsidRDefault="00C25DD4">
      <w:pPr>
        <w:spacing w:line="360" w:lineRule="auto"/>
        <w:ind w:firstLine="709"/>
        <w:jc w:val="center"/>
        <w:rPr>
          <w:sz w:val="28"/>
          <w:szCs w:val="28"/>
        </w:rPr>
      </w:pPr>
    </w:p>
    <w:p w14:paraId="0810B1ED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Международное название препарата; Торговое название; Категория препарата</w:t>
      </w:r>
    </w:p>
    <w:p w14:paraId="03868E65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C115C22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КОРВИТОЛ® (CORVITOL®)</w:t>
      </w:r>
    </w:p>
    <w:p w14:paraId="21085AF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производится торговой группой Berlin-Chemie AG</w:t>
      </w:r>
    </w:p>
    <w:p w14:paraId="5896B50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И ФОРМА ВЫПУСКА:</w:t>
      </w:r>
    </w:p>
    <w:p w14:paraId="28ABE50D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>
        <w:rPr>
          <w:sz w:val="28"/>
          <w:szCs w:val="28"/>
        </w:rPr>
        <w:t>РВИТОЛ® 50</w:t>
      </w:r>
    </w:p>
    <w:p w14:paraId="657EE1D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Выпускается в таблетках 50 мг, № 10, № 30, № 50.</w:t>
      </w:r>
    </w:p>
    <w:p w14:paraId="4FAABED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вещество метопролола тартрат</w:t>
      </w:r>
      <w:r>
        <w:rPr>
          <w:sz w:val="28"/>
          <w:szCs w:val="28"/>
        </w:rPr>
        <w:tab/>
        <w:t>50 мг.</w:t>
      </w:r>
    </w:p>
    <w:p w14:paraId="6467E76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ингредиенты: лактозы моногидрат, повидон, натрия кроскармеллоза, магния стеарат, тальк, кремния диоксид высокодисперсный.</w:t>
      </w:r>
    </w:p>
    <w:p w14:paraId="0124C46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КОРВИТОЛ® 100</w:t>
      </w:r>
    </w:p>
    <w:p w14:paraId="7A8EFAB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</w:t>
      </w:r>
      <w:r>
        <w:rPr>
          <w:sz w:val="28"/>
          <w:szCs w:val="28"/>
        </w:rPr>
        <w:t>кается в таблетках 100 мг, № 10, № 30, № 50.</w:t>
      </w:r>
    </w:p>
    <w:p w14:paraId="5A35BFE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вещество метопролола тартрат</w:t>
      </w:r>
      <w:r>
        <w:rPr>
          <w:sz w:val="28"/>
          <w:szCs w:val="28"/>
        </w:rPr>
        <w:tab/>
        <w:t>100 мг.</w:t>
      </w:r>
    </w:p>
    <w:p w14:paraId="5B111DB2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ингредиенты: лактозы моногидрат, повидон, натрия кроскармеллоза, магния стеарат, тальк, кремния диоксид высокодисперсный.</w:t>
      </w:r>
    </w:p>
    <w:p w14:paraId="3AAD28C1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отпуска: без рецепта.(1</w:t>
      </w:r>
      <w:r>
        <w:rPr>
          <w:sz w:val="28"/>
          <w:szCs w:val="28"/>
        </w:rPr>
        <w:t>)</w:t>
      </w:r>
    </w:p>
    <w:p w14:paraId="20014DF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6D185B4F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фармакологические эффекты</w:t>
      </w:r>
    </w:p>
    <w:p w14:paraId="5A73E573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B366171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Метопролол - слаболипофильный блокатор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адренорецепторов. Имеет относительную селективность к </w:t>
      </w:r>
      <w:r>
        <w:rPr>
          <w:rFonts w:ascii="Times New Roman" w:hAnsi="Times New Roman" w:cs="Times New Roman"/>
          <w:sz w:val="28"/>
          <w:szCs w:val="28"/>
        </w:rPr>
        <w:t>β1-</w:t>
      </w:r>
      <w:r>
        <w:rPr>
          <w:sz w:val="28"/>
          <w:szCs w:val="28"/>
        </w:rPr>
        <w:t>адренорецепторам, не обладает внутренней симпатомиметической активностью, оказывает слабое мембраностабилизирующее д</w:t>
      </w:r>
      <w:r>
        <w:rPr>
          <w:sz w:val="28"/>
          <w:szCs w:val="28"/>
        </w:rPr>
        <w:t>ействие.</w:t>
      </w:r>
    </w:p>
    <w:p w14:paraId="6044FEC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тонуса симпатической нервной системы метопролол снижает силу и ЧСС, скорость проведения импульса в AV-соединении и активность ренина в плазме крови. За счет блокады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sz w:val="28"/>
          <w:szCs w:val="28"/>
        </w:rPr>
        <w:t>адренорецепторов метопролол может повышать тонус гладких мышц.</w:t>
      </w:r>
      <w:r>
        <w:rPr>
          <w:sz w:val="28"/>
          <w:szCs w:val="28"/>
        </w:rPr>
        <w:t>(1)</w:t>
      </w:r>
    </w:p>
    <w:p w14:paraId="51EEB9C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4E5A3547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3. Показания и противопоказания к назначению препарата</w:t>
      </w:r>
    </w:p>
    <w:p w14:paraId="75BAB5C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16DCEDC9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Показания к применению:</w:t>
      </w:r>
    </w:p>
    <w:p w14:paraId="349B04F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Артериальная гипертензия,</w:t>
      </w:r>
    </w:p>
    <w:p w14:paraId="3A1A8CD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стенокардия,</w:t>
      </w:r>
    </w:p>
    <w:p w14:paraId="2799D96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аритмия, в частности суправентрикулярная тахиаритмия.</w:t>
      </w:r>
    </w:p>
    <w:p w14:paraId="5436920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на ранних этапах заболеваний с целью</w:t>
      </w:r>
    </w:p>
    <w:p w14:paraId="4C8CB3D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уменьшения зоны инфа</w:t>
      </w:r>
      <w:r>
        <w:rPr>
          <w:sz w:val="28"/>
          <w:szCs w:val="28"/>
        </w:rPr>
        <w:t>ркта,</w:t>
      </w:r>
    </w:p>
    <w:p w14:paraId="4CDC19C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уменьшение частоты случаев фибрилляции желудочков,</w:t>
      </w:r>
    </w:p>
    <w:p w14:paraId="32D56C2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смертности больных с острым инфарктом миокарда,</w:t>
      </w:r>
    </w:p>
    <w:p w14:paraId="40A359A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профилактика мигрени.</w:t>
      </w:r>
    </w:p>
    <w:p w14:paraId="55B43A8E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и дозировки препарата.</w:t>
      </w:r>
    </w:p>
    <w:p w14:paraId="7E374B5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Доза подбирается индивидуально, главным образом согласно симптоматике заболевани</w:t>
      </w:r>
      <w:r>
        <w:rPr>
          <w:sz w:val="28"/>
          <w:szCs w:val="28"/>
        </w:rPr>
        <w:t>я.</w:t>
      </w:r>
    </w:p>
    <w:p w14:paraId="2A51A50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суточная доза составляет 400 мг. Таблетки принимают перорально после еды, не разжевывая и запивая небольшим количеством жидкости. Продолжительность лечения не ограничена и зависит от течения заболевания. Если после продолжительного применен</w:t>
      </w:r>
      <w:r>
        <w:rPr>
          <w:sz w:val="28"/>
          <w:szCs w:val="28"/>
        </w:rPr>
        <w:t>ия препарата требуется прекращение лечения, то делать это следует постепенно и медленно, поскольку внезапная отмена препарата может привести к резкому повышению артериального давления.(2)</w:t>
      </w:r>
    </w:p>
    <w:p w14:paraId="193459A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Дозирование препарата при различных патологиях:</w:t>
      </w:r>
    </w:p>
    <w:p w14:paraId="0860354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гиперте</w:t>
      </w:r>
      <w:r>
        <w:rPr>
          <w:sz w:val="28"/>
          <w:szCs w:val="28"/>
        </w:rPr>
        <w:t>нзия: 1 таблетка Корвитола 50 (1/2 таблетки Корвитола 100) 1-2 раза в сутки или 1-2 таблетки Корвитола 50 (1 таблетка Корвитола 100) 1 раз в сутки, что соответствует 50-100 мг метопролола. При необходимости суточную дозу можно повысить до 2 таблеток Корвит</w:t>
      </w:r>
      <w:r>
        <w:rPr>
          <w:sz w:val="28"/>
          <w:szCs w:val="28"/>
        </w:rPr>
        <w:t xml:space="preserve">ола 50 (до 1 таблетки Корвитола 100) 2 раза в сутки, что соответствует 200 мг </w:t>
      </w:r>
      <w:r>
        <w:rPr>
          <w:sz w:val="28"/>
          <w:szCs w:val="28"/>
        </w:rPr>
        <w:lastRenderedPageBreak/>
        <w:t>метопролола.</w:t>
      </w:r>
    </w:p>
    <w:p w14:paraId="6DE8EE4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Стенокардия: 1 таблетка Корвитола 50 (1/2 таблетки Корвитола 100) 1-2 раза в сутки или 1-2 таблетки Корвитола 50 (1 таблетка Корвитола 100) 1 раз в сутки, что соотве</w:t>
      </w:r>
      <w:r>
        <w:rPr>
          <w:sz w:val="28"/>
          <w:szCs w:val="28"/>
        </w:rPr>
        <w:t>тствует 50-100 мг метопролола. При необходимости суточную дозу можно повысить до 2 таблеток Корвитола 50 (до 1 таблетки Корвитола 100) 2 раза в сутки, что соответствует 200 мг метопролола, под контролем АД.</w:t>
      </w:r>
    </w:p>
    <w:p w14:paraId="1C0A4C4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Аритмии: 2 таблетки Корвитола 50 (1 таблетка Корв</w:t>
      </w:r>
      <w:r>
        <w:rPr>
          <w:sz w:val="28"/>
          <w:szCs w:val="28"/>
        </w:rPr>
        <w:t>итола 100) 1-2 раза сутки, что соответствует 100-200 мг метопролола.</w:t>
      </w:r>
    </w:p>
    <w:p w14:paraId="521CE6A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Инфаркт миокарда. Лечение острого инфаркта миокарда проводится в специализированных отделениях больниц с постоянным мониторингом ЭКГ и артериального давления. Начинают лечение острого инф</w:t>
      </w:r>
      <w:r>
        <w:rPr>
          <w:sz w:val="28"/>
          <w:szCs w:val="28"/>
        </w:rPr>
        <w:t>аркта миокарда с в/в введения метопролола в дозе 5 мг, для чего используют соответствующие лекарственные средства. В зависимости от переносимости лекарственного средства последующие дозы 5 мг метопролола в/в можно вводить с интервалом в 2 мин, достигая мак</w:t>
      </w:r>
      <w:r>
        <w:rPr>
          <w:sz w:val="28"/>
          <w:szCs w:val="28"/>
        </w:rPr>
        <w:t>симальной общей дозы 15 мг метопролола. Если общая доза 15 мг метопролола хорошо переносится пациентом, то через 15 мин после последней в/в инъекции больному однократно назначают 1 таблетку Корвитола 50 (1/2 таблетки Корвитола 100), что соответствует 50 мг</w:t>
      </w:r>
      <w:r>
        <w:rPr>
          <w:sz w:val="28"/>
          <w:szCs w:val="28"/>
        </w:rPr>
        <w:t xml:space="preserve"> метопролола. На протяжении следующих 48 ч каждые 6 ч больному назначают по 1 таблетке Корвитола 50 (1/2 таблетки Корвитола 100), что соответствует 50 мг метопролола. Для пациентов, которым в/в было введено &lt;15 мг метопролола, следующий пероральный прием н</w:t>
      </w:r>
      <w:r>
        <w:rPr>
          <w:sz w:val="28"/>
          <w:szCs w:val="28"/>
        </w:rPr>
        <w:t>ачинают с 1/2 таблетки Корвитола 50 однократно, что соответствует 25 мг метопролола. После проведения неотложной терапии больным назначают поддерживающую дозу по 2 таблетки Корвитола 50 (1 таблетке Корвитола 100) 2 раза в сутки, что соответствует 200 мг ме</w:t>
      </w:r>
      <w:r>
        <w:rPr>
          <w:sz w:val="28"/>
          <w:szCs w:val="28"/>
        </w:rPr>
        <w:t>топролола в сутки.(4,5)</w:t>
      </w:r>
    </w:p>
    <w:p w14:paraId="39CA857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снижении частоты сердечных сокращений и/или артериального давления, требующем вмешательства, или при возникновении других </w:t>
      </w:r>
      <w:r>
        <w:rPr>
          <w:sz w:val="28"/>
          <w:szCs w:val="28"/>
        </w:rPr>
        <w:lastRenderedPageBreak/>
        <w:t>осложнений применение Корвитола следует прекратить.</w:t>
      </w:r>
    </w:p>
    <w:p w14:paraId="296F016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мигрени: 2 таблетки Корвитола 50 (1 табле</w:t>
      </w:r>
      <w:r>
        <w:rPr>
          <w:sz w:val="28"/>
          <w:szCs w:val="28"/>
        </w:rPr>
        <w:t>тка Корвитола 100) 1-2 раза в сутки, что соответствует 100-200 мг метопролола.</w:t>
      </w:r>
    </w:p>
    <w:p w14:paraId="229641E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физиологические изменения незначительно влияют на фармакокинетику метопролола, поэтому коррекции дозы не требуется, но следует соблюдать осторожность при применении п</w:t>
      </w:r>
      <w:r>
        <w:rPr>
          <w:sz w:val="28"/>
          <w:szCs w:val="28"/>
        </w:rPr>
        <w:t>репарата у пациентов пожилого возраста. Необходима коррекция дозы при нарушении функции печени. Нет необходимости в коррекции дозы при нарушении функции почек.(1)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корвитол препарат лекарственный клинический</w:t>
      </w:r>
    </w:p>
    <w:p w14:paraId="796A5709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Противопоказания приема препарата.</w:t>
      </w:r>
    </w:p>
    <w:p w14:paraId="7F99EF9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Повышенная ч</w:t>
      </w:r>
      <w:r>
        <w:rPr>
          <w:sz w:val="28"/>
          <w:szCs w:val="28"/>
        </w:rPr>
        <w:t xml:space="preserve">увствительность к действующему веществу, другим блокаторам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адренорецепторов и/или к вспомогательным веществам препарата.</w:t>
      </w:r>
    </w:p>
    <w:p w14:paraId="4F89C02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Бронхиальная астма или бронхоспазм в анамнезе.</w:t>
      </w:r>
    </w:p>
    <w:p w14:paraId="729EB1CC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AV-блокада ІІ или ІІІ степени.</w:t>
      </w:r>
    </w:p>
    <w:p w14:paraId="4D17E06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слабости синусного узла.</w:t>
      </w:r>
    </w:p>
    <w:p w14:paraId="2809EFF2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Синоатриальная</w:t>
      </w:r>
      <w:r>
        <w:rPr>
          <w:sz w:val="28"/>
          <w:szCs w:val="28"/>
        </w:rPr>
        <w:t xml:space="preserve"> блокада.</w:t>
      </w:r>
    </w:p>
    <w:p w14:paraId="2046E6C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Синусовая брадикардия.</w:t>
      </w:r>
    </w:p>
    <w:p w14:paraId="5B109EFC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Артериальная гипотензия (систолическое АД &lt;100 мм рт. ст.).</w:t>
      </w:r>
    </w:p>
    <w:p w14:paraId="27B00DF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Острая или хроническая сердечная недостаточность (IV функциональный класс по NYHA).</w:t>
      </w:r>
    </w:p>
    <w:p w14:paraId="28140C6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Кардиогенный шок.</w:t>
      </w:r>
    </w:p>
    <w:p w14:paraId="242C9F31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Одновременное применение ингибиторов МАО типа А.</w:t>
      </w:r>
    </w:p>
    <w:p w14:paraId="5EE3D11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Тяжелые нарушения периферического кровообращения.</w:t>
      </w:r>
    </w:p>
    <w:p w14:paraId="64DA868C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Феохромоцитома.</w:t>
      </w:r>
    </w:p>
    <w:p w14:paraId="2E68A57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Метаболический ацидоз.</w:t>
      </w:r>
    </w:p>
    <w:p w14:paraId="7FA0A2B0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Тяжелые нарушения функции печени.</w:t>
      </w:r>
    </w:p>
    <w:p w14:paraId="508E3FA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Совместное в/в введении антагонистов кальция типа верапамила и дилтиазема или других антиаритмических препаратов (таких как </w:t>
      </w:r>
      <w:r>
        <w:rPr>
          <w:sz w:val="28"/>
          <w:szCs w:val="28"/>
        </w:rPr>
        <w:t>дизопирамид), кроме случаев интенсивной терапии и больным с подозрением на острый инфаркт миокарда при ЧСС &lt;45 уд./мин, интервалом P-Q &gt;0,24 или систолическим АД &lt;100 мм рт. ст.(2)</w:t>
      </w:r>
    </w:p>
    <w:p w14:paraId="7C2DFF40" w14:textId="77777777" w:rsidR="00000000" w:rsidRDefault="00C25DD4">
      <w:pPr>
        <w:tabs>
          <w:tab w:val="left" w:pos="62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4. Побочные эффекты</w:t>
      </w:r>
    </w:p>
    <w:p w14:paraId="0BA642EC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0462173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приема внутрь метопролол почти полностью (прибл</w:t>
      </w:r>
      <w:r>
        <w:rPr>
          <w:sz w:val="28"/>
          <w:szCs w:val="28"/>
        </w:rPr>
        <w:t>изительно 95%) всасывается в пищеварительном тракте. В связи с тем, что метопролол подвержен выраженному метаболизму первичного прохождения через печень, его системная биодоступность составляет 50%. Максимальная концентрация метопролола в плазме крови дост</w:t>
      </w:r>
      <w:r>
        <w:rPr>
          <w:sz w:val="28"/>
          <w:szCs w:val="28"/>
        </w:rPr>
        <w:t>игается на протяжении 1,5-2ч.</w:t>
      </w:r>
    </w:p>
    <w:p w14:paraId="4220D39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Метопролол связывается с белками плазмы крови приблизительно на 12%, относительный объем распределения - 5,6 л/кг массы тела, подвергаясь почти полному окислительному метаболизму в печени ферментами цитохрома P450 (в основном </w:t>
      </w:r>
      <w:r>
        <w:rPr>
          <w:sz w:val="28"/>
          <w:szCs w:val="28"/>
        </w:rPr>
        <w:t xml:space="preserve">изоферментом CYP 2D6). Два из трех основных метаболитов оказывают слабое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блокирующее действие, не имеющее клинической значимости.</w:t>
      </w:r>
    </w:p>
    <w:p w14:paraId="006266C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значительное этническое различие по отношению к распределению лиц с медленным метаболизмом. Количество лиц с мед</w:t>
      </w:r>
      <w:r>
        <w:rPr>
          <w:sz w:val="28"/>
          <w:szCs w:val="28"/>
        </w:rPr>
        <w:t>ленным метаболизмом составляет 7% у европеоидов, но &lt;1% - у монголоидов. У пациентов с медленным метаболизмом системой CYP 2D6 концентрации метопролола в плазме крови могут в несколько раз превышать концентрации препарата у лиц с нормальной скоростью метаб</w:t>
      </w:r>
      <w:r>
        <w:rPr>
          <w:sz w:val="28"/>
          <w:szCs w:val="28"/>
        </w:rPr>
        <w:t>олизма системой CYP 2D6. Тем не менее метаболизм метопролола по CYP 2D6-зависимому пути, не влияет или влияет в меньшей степени на безопасность и переносимость метопролола.</w:t>
      </w:r>
    </w:p>
    <w:p w14:paraId="5A0DC41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циррозе печени может провоцировать повышение уровня неметаболизированного метоп</w:t>
      </w:r>
      <w:r>
        <w:rPr>
          <w:sz w:val="28"/>
          <w:szCs w:val="28"/>
        </w:rPr>
        <w:t>ролола в плазме крови ввиду снижения скорости метаболизма. Приблизительно 95% метопролола и его метаболитов выделяется почками, около 10% - в неизмененном виде. T1/2 метопролола составляет 3-5 ч.(7)</w:t>
      </w:r>
    </w:p>
    <w:p w14:paraId="5D28CAD3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Побочные реакции:</w:t>
      </w:r>
    </w:p>
    <w:p w14:paraId="00F9DD6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сердечно-сосудистой системы:</w:t>
      </w:r>
    </w:p>
    <w:p w14:paraId="0CB0006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брадикардия,</w:t>
      </w:r>
    </w:p>
    <w:p w14:paraId="570C418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артериальная гипотензия,</w:t>
      </w:r>
    </w:p>
    <w:p w14:paraId="0C3B337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ортостатическая гипотензия (с потерей сознания в том числе), появление/усиление признаков сердечной недостаточности (особенно при повышении дозы),</w:t>
      </w:r>
    </w:p>
    <w:p w14:paraId="56326D2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аритмия,</w:t>
      </w:r>
    </w:p>
    <w:p w14:paraId="6791E32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тахикардия,</w:t>
      </w:r>
    </w:p>
    <w:p w14:paraId="62C450A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отеки,</w:t>
      </w:r>
    </w:p>
    <w:p w14:paraId="20569EFD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Рейно,</w:t>
      </w:r>
    </w:p>
    <w:p w14:paraId="361E099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A</w:t>
      </w:r>
      <w:r>
        <w:rPr>
          <w:sz w:val="28"/>
          <w:szCs w:val="28"/>
        </w:rPr>
        <w:t>V-проводимости,</w:t>
      </w:r>
    </w:p>
    <w:p w14:paraId="396353E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 в области сердца,</w:t>
      </w:r>
    </w:p>
    <w:p w14:paraId="3296A18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гангрена (у пациентов с тяжелым нарушением периферического кровообращения).</w:t>
      </w:r>
    </w:p>
    <w:p w14:paraId="57BFA55D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органов дыхания:</w:t>
      </w:r>
    </w:p>
    <w:p w14:paraId="6E37BB2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одышка при нагрузке,</w:t>
      </w:r>
    </w:p>
    <w:p w14:paraId="6B137CE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бронхоспазм,</w:t>
      </w:r>
    </w:p>
    <w:p w14:paraId="65AB19C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ринит.</w:t>
      </w:r>
    </w:p>
    <w:p w14:paraId="7009F21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центральной и периферической нервной системы:</w:t>
      </w:r>
    </w:p>
    <w:p w14:paraId="489938A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</w:t>
      </w:r>
      <w:r>
        <w:rPr>
          <w:sz w:val="28"/>
          <w:szCs w:val="28"/>
        </w:rPr>
        <w:t>ловокружение,</w:t>
      </w:r>
    </w:p>
    <w:p w14:paraId="391FC992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головная боль,</w:t>
      </w:r>
    </w:p>
    <w:p w14:paraId="1384AA8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концентрации внимания,</w:t>
      </w:r>
    </w:p>
    <w:p w14:paraId="638EB14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депрессия,</w:t>
      </w:r>
    </w:p>
    <w:p w14:paraId="74336EB1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кошмарные сновидения,</w:t>
      </w:r>
    </w:p>
    <w:p w14:paraId="742A793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бессонница или сонливость,</w:t>
      </w:r>
    </w:p>
    <w:p w14:paraId="1C78B84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парестезии,</w:t>
      </w:r>
    </w:p>
    <w:p w14:paraId="5E4337E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галлюцинации,</w:t>
      </w:r>
    </w:p>
    <w:p w14:paraId="53C4F2F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изменение личности,</w:t>
      </w:r>
    </w:p>
    <w:p w14:paraId="45A990D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повышенная возбудимость,</w:t>
      </w:r>
    </w:p>
    <w:p w14:paraId="15279C1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спутанность сознания.</w:t>
      </w:r>
    </w:p>
    <w:p w14:paraId="2B9D145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органов чу</w:t>
      </w:r>
      <w:r>
        <w:rPr>
          <w:sz w:val="28"/>
          <w:szCs w:val="28"/>
        </w:rPr>
        <w:t>вств:</w:t>
      </w:r>
    </w:p>
    <w:p w14:paraId="44217D6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зрения,</w:t>
      </w:r>
    </w:p>
    <w:p w14:paraId="53D5D78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уменьшение секреции слезной жидкости,</w:t>
      </w:r>
    </w:p>
    <w:p w14:paraId="4DBA257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сухость и раздражение слизистой оболочки глаз,</w:t>
      </w:r>
    </w:p>
    <w:p w14:paraId="793C34B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конъюнктивит,</w:t>
      </w:r>
    </w:p>
    <w:p w14:paraId="15C0808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шум в ушах,</w:t>
      </w:r>
    </w:p>
    <w:p w14:paraId="150F2EFC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слуха.</w:t>
      </w:r>
    </w:p>
    <w:p w14:paraId="028A23A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ЖКТ:</w:t>
      </w:r>
    </w:p>
    <w:p w14:paraId="0886C10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тошнота,</w:t>
      </w:r>
    </w:p>
    <w:p w14:paraId="34A7A041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рвота,</w:t>
      </w:r>
    </w:p>
    <w:p w14:paraId="1DBBBA5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 в животе,</w:t>
      </w:r>
    </w:p>
    <w:p w14:paraId="45E96DC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диарея,</w:t>
      </w:r>
    </w:p>
    <w:p w14:paraId="2725EB70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запор,</w:t>
      </w:r>
    </w:p>
    <w:p w14:paraId="74C5EC0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сухость во рту,</w:t>
      </w:r>
    </w:p>
    <w:p w14:paraId="67FC6ED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</w:t>
      </w:r>
      <w:r>
        <w:rPr>
          <w:sz w:val="28"/>
          <w:szCs w:val="28"/>
        </w:rPr>
        <w:t>етроперитонеальный фиброз (однако четкой причинно-следственной связи не установлено).</w:t>
      </w:r>
    </w:p>
    <w:p w14:paraId="5A34B45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системы кроветворения:</w:t>
      </w:r>
    </w:p>
    <w:p w14:paraId="32F6B0E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тромбоцитопения,</w:t>
      </w:r>
    </w:p>
    <w:p w14:paraId="3CEDD5E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лейкопения.</w:t>
      </w:r>
    </w:p>
    <w:p w14:paraId="0B33D10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реакции:</w:t>
      </w:r>
    </w:p>
    <w:p w14:paraId="5DE7497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уртикарная или псориазоподобная кожная сыпь,</w:t>
      </w:r>
    </w:p>
    <w:p w14:paraId="0CFA5C7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дистрофия подкожной жировой кле</w:t>
      </w:r>
      <w:r>
        <w:rPr>
          <w:sz w:val="28"/>
          <w:szCs w:val="28"/>
        </w:rPr>
        <w:t>тчатки,</w:t>
      </w:r>
    </w:p>
    <w:p w14:paraId="7BB9C280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зуд кожи,</w:t>
      </w:r>
    </w:p>
    <w:p w14:paraId="2067AC1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крапивница,</w:t>
      </w:r>
    </w:p>
    <w:p w14:paraId="44412D3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фотосенсибилизация,</w:t>
      </w:r>
    </w:p>
    <w:p w14:paraId="1371834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гипергидроз,</w:t>
      </w:r>
    </w:p>
    <w:p w14:paraId="04C6403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обратимая алопеция,</w:t>
      </w:r>
    </w:p>
    <w:p w14:paraId="449B5141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обострение псориаза.(1)</w:t>
      </w:r>
    </w:p>
    <w:p w14:paraId="15891670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показатели: повышение активности печеночных ферментов, гипербилирубинемия, гипертриглицеридемия, снижение уровня липопротеин</w:t>
      </w:r>
      <w:r>
        <w:rPr>
          <w:sz w:val="28"/>
          <w:szCs w:val="28"/>
        </w:rPr>
        <w:t>ов высокой плотности.</w:t>
      </w:r>
    </w:p>
    <w:p w14:paraId="472E88C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также такие проявления как, общая слабость, утомляемость (особенно в начале лечения), развитие сахарного диабета или его обострение, гепатит, неспецифическая боль в мышцах и/или суставах, судороги, артрит, увеличение массы те</w:t>
      </w:r>
      <w:r>
        <w:rPr>
          <w:sz w:val="28"/>
          <w:szCs w:val="28"/>
        </w:rPr>
        <w:t>ла, нарушение либидо, импотенция, болезнь Пейрони (однако четкой причинно-следственной связи не установлено).(8)</w:t>
      </w:r>
    </w:p>
    <w:p w14:paraId="5F41F5B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007C2289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Лекарственны формы, в которых применяется препарат</w:t>
      </w:r>
    </w:p>
    <w:p w14:paraId="354585F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4730FDF1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КОРВИТОЛ® 50</w:t>
      </w:r>
    </w:p>
    <w:p w14:paraId="3D8AE82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Выпускается в таблетках 50 мг, № 10, № 30, № 50.</w:t>
      </w:r>
    </w:p>
    <w:p w14:paraId="14F8B0A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вещество мето</w:t>
      </w:r>
      <w:r>
        <w:rPr>
          <w:sz w:val="28"/>
          <w:szCs w:val="28"/>
        </w:rPr>
        <w:t>пролола тартрат</w:t>
      </w:r>
      <w:r>
        <w:rPr>
          <w:sz w:val="28"/>
          <w:szCs w:val="28"/>
        </w:rPr>
        <w:tab/>
        <w:t>50 мг.</w:t>
      </w:r>
    </w:p>
    <w:p w14:paraId="239DCF0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ингредиенты: лактозы моногидрат, повидон, натрия кроскармеллоза, магния стеарат, тальк, кремния диоксид высокодисперсный.</w:t>
      </w:r>
    </w:p>
    <w:p w14:paraId="781B5F7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КОРВИТОЛ® 100</w:t>
      </w:r>
    </w:p>
    <w:p w14:paraId="4D2AF721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Выпускается в таблетках 100 мг, № 10, № 30, № 50.</w:t>
      </w:r>
    </w:p>
    <w:p w14:paraId="04579A2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вещество метопролола тартрат</w:t>
      </w:r>
      <w:r>
        <w:rPr>
          <w:sz w:val="28"/>
          <w:szCs w:val="28"/>
        </w:rPr>
        <w:tab/>
        <w:t>100 мг.</w:t>
      </w:r>
    </w:p>
    <w:p w14:paraId="2FC1E35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ингредиенты: лактозы моногидрат, повидон, натрия кроскармеллоза, магния стеарат, тальк, кремния диоксид высокодисперсный.</w:t>
      </w:r>
    </w:p>
    <w:p w14:paraId="3C3AA51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отпуска: без рецепта.(1)</w:t>
      </w:r>
    </w:p>
    <w:p w14:paraId="30DD520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35A1BAFA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Клинические критерии эффективности препарату</w:t>
      </w:r>
    </w:p>
    <w:p w14:paraId="188EE522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3CF91ACD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состоянием пациентов</w:t>
      </w:r>
      <w:r>
        <w:rPr>
          <w:sz w:val="28"/>
          <w:szCs w:val="28"/>
        </w:rPr>
        <w:t xml:space="preserve">, применяющих блокаторы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адренорецепторов, в том числе метопролол, включает наблюдение за ЧСС и АД (в начале лечения - каждый день, затем - 1 раз в 3-4 мес); концентрацией глюкозы в крови у пациентов с сахарным диабетом (1 раз в 4-5 мес). Следует обучить </w:t>
      </w:r>
      <w:r>
        <w:rPr>
          <w:sz w:val="28"/>
          <w:szCs w:val="28"/>
        </w:rPr>
        <w:t>пациента подсчету ЧСС и проинструктировать о необходимости консультации с врачом при ЧСС &lt;50 уд./мин. У лиц пожилого возраста рекомендуют контролировать функцию почек (1 раз в 4-5 мес).(7,9)</w:t>
      </w:r>
    </w:p>
    <w:p w14:paraId="3B85EEF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1C2D0798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Возможные взаимодействия препарату</w:t>
      </w:r>
    </w:p>
    <w:p w14:paraId="06891CD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55248760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Взаимодействие с другими </w:t>
      </w:r>
      <w:r>
        <w:rPr>
          <w:b/>
          <w:bCs/>
          <w:sz w:val="28"/>
          <w:szCs w:val="28"/>
        </w:rPr>
        <w:t>препаратами.</w:t>
      </w:r>
    </w:p>
    <w:p w14:paraId="756A3FD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применении метопролола с инсулином и/или пероральными противодиабетическими препаратами может усиливаться или увеличиваться период их действия. При этом симптомы гипогликемии (особенно тахикардия и тремор) могут маскироваться</w:t>
      </w:r>
      <w:r>
        <w:rPr>
          <w:sz w:val="28"/>
          <w:szCs w:val="28"/>
        </w:rPr>
        <w:t xml:space="preserve"> или исчезать. В таких случаях необходимо проводить регулярный контроль уровня глюкозы в плазме крови.</w:t>
      </w:r>
    </w:p>
    <w:p w14:paraId="082036BC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одновременном применении метопролола и барбитуратов, фенотиазинов, нитроглицерина, диуретических средств, вазодилататоров, других антигипертензивных </w:t>
      </w:r>
      <w:r>
        <w:rPr>
          <w:sz w:val="28"/>
          <w:szCs w:val="28"/>
        </w:rPr>
        <w:t>средств (например празозина), пероральных противозачаточных средств может усиливаться гипотензивный эффект.</w:t>
      </w:r>
    </w:p>
    <w:p w14:paraId="56E0881D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применении с препаратами, которые подавляют CYP 2D6, возможно угнетение метаболизма метопролола, повышение его концентрации в плаз</w:t>
      </w:r>
      <w:r>
        <w:rPr>
          <w:sz w:val="28"/>
          <w:szCs w:val="28"/>
        </w:rPr>
        <w:t>ме крови и риска развития токсических эффектов. Такими препаратами являются антидепрессанты (флуоксетин, пароксетин, бупропион), антипсихотические средства (тиоридазин), противовирусные средства (ритонавир), антигистаминные средства (дифенгидрамин), антима</w:t>
      </w:r>
      <w:r>
        <w:rPr>
          <w:sz w:val="28"/>
          <w:szCs w:val="28"/>
        </w:rPr>
        <w:t>лярийные средства (гидроксихлорохин, гуинидин), противогрибковые средства (тербинафин), ранитидин, циметидин.</w:t>
      </w:r>
    </w:p>
    <w:p w14:paraId="7ED294C0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Сердечные гликозиды, метилдопа, резерпин, гуанфацин, блокаторы медленных кальциевых каналов (верапамил, дилтиазем), амиодарон, пропафенон и другие</w:t>
      </w:r>
      <w:r>
        <w:rPr>
          <w:sz w:val="28"/>
          <w:szCs w:val="28"/>
        </w:rPr>
        <w:t xml:space="preserve"> антиаритмические средства повышают риск развития или усиление брадикардии, AV-блокады, остановки сердца и сердечной недостаточности.(4,5)</w:t>
      </w:r>
    </w:p>
    <w:p w14:paraId="6FA1903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В/в введение препаратов типа верапамила пациентам, применяющим метопролол, противопоказано ввиду возможности остановк</w:t>
      </w:r>
      <w:r>
        <w:rPr>
          <w:sz w:val="28"/>
          <w:szCs w:val="28"/>
        </w:rPr>
        <w:t>и сердца. Одновременное применение метопролола и пероральных форм препаратов типа верапамила проводят с особой осторожностью.</w:t>
      </w:r>
    </w:p>
    <w:p w14:paraId="24279C8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сочетанном применении клонидина и метопролола применение последнего должно быть прекращено за несколько дней до отмены клониди</w:t>
      </w:r>
      <w:r>
        <w:rPr>
          <w:sz w:val="28"/>
          <w:szCs w:val="28"/>
        </w:rPr>
        <w:t>на для предотвращения развития гипертонического криза.</w:t>
      </w:r>
    </w:p>
    <w:p w14:paraId="1EACA03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 тщательный контроль за состоянием пациентов, одновременно применяющих метопролол и ганглиоблокаторы, другие блокаторы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адренорецепторов (например глазные капли) или ингибиторы МАО.</w:t>
      </w:r>
    </w:p>
    <w:p w14:paraId="5F8B282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</w:t>
      </w:r>
      <w:r>
        <w:rPr>
          <w:sz w:val="28"/>
          <w:szCs w:val="28"/>
        </w:rPr>
        <w:t>ременном применении с норэпинефрином, эпинефрином, другими адрено- и симпатомиметиками (в том числе в форме глазных капель или в составе противокашлевых средств) возможно некоторое повышение АД.</w:t>
      </w:r>
    </w:p>
    <w:p w14:paraId="78907FFD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применении с индометацином и рифампицином с</w:t>
      </w:r>
      <w:r>
        <w:rPr>
          <w:sz w:val="28"/>
          <w:szCs w:val="28"/>
        </w:rPr>
        <w:t>нижается концентрация метопролола в плазме крови.(5)</w:t>
      </w:r>
    </w:p>
    <w:p w14:paraId="5A8AF79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сочетанном применении метопролола с лидокаином возможно нарушение выведения последнего.</w:t>
      </w:r>
    </w:p>
    <w:p w14:paraId="2049E85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Йодсодержащие рентгенконтрастные средства для в/в введения повышают риск развития анафилактических реакций.</w:t>
      </w:r>
    </w:p>
    <w:p w14:paraId="4E628B0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одновременном применении метопролола с периферическими миорелаксантами (например суксаметоний, тубокурарин) возможно усиление нервно-мышечной блокады.</w:t>
      </w:r>
    </w:p>
    <w:p w14:paraId="357C3AF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Наркотические средства усиливают антигипертензивный эффект метопролола, при этом потенцируется отрицател</w:t>
      </w:r>
      <w:r>
        <w:rPr>
          <w:sz w:val="28"/>
          <w:szCs w:val="28"/>
        </w:rPr>
        <w:t>ьное инотропное действие указанных средств, поэтому перед операцией с применением общей анестезии следует проинформировать анестезиолога о том, что пациент принимает метопролол. При одновременном применении метопролола с опиоидными анальгетиками взаимно ус</w:t>
      </w:r>
      <w:r>
        <w:rPr>
          <w:sz w:val="28"/>
          <w:szCs w:val="28"/>
        </w:rPr>
        <w:t>иливается кардиодепрессивный эффект.(2,3)</w:t>
      </w:r>
    </w:p>
    <w:p w14:paraId="79EF3B78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Метопролол может вызвать незначительное снижение клиренса теофиллина у курильщиков.</w:t>
      </w:r>
    </w:p>
    <w:p w14:paraId="69C962B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применении метопролол повышает концентрацию этанола в плазме крови и удлиняет время его выведения.(1)</w:t>
      </w:r>
    </w:p>
    <w:p w14:paraId="6DDC73D2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3D5436BA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Особе</w:t>
      </w:r>
      <w:r>
        <w:rPr>
          <w:b/>
          <w:bCs/>
          <w:sz w:val="28"/>
          <w:szCs w:val="28"/>
        </w:rPr>
        <w:t>нности назначения препарату разным категориям больных</w:t>
      </w:r>
    </w:p>
    <w:p w14:paraId="62C445B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1EB3C75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особой осторожностью метопролол применяют при сахарном диабете. У пациентов, принимающих инсулин и/или пероральные противодиабетические препараты, метопролол может маскировать симптомы гипогликемии. </w:t>
      </w:r>
      <w:r>
        <w:rPr>
          <w:sz w:val="28"/>
          <w:szCs w:val="28"/>
        </w:rPr>
        <w:t>Метопролол может влиять на уровень глюкозы и печеночных ферментов в плазме крови.</w:t>
      </w:r>
    </w:p>
    <w:p w14:paraId="71F3151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лечении феохромоцитомы метопролол может назначаться лишь в комплексе с блокаторами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адренорецепторов.</w:t>
      </w:r>
    </w:p>
    <w:p w14:paraId="157E08CD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хирургических вмешательств необходимо проинформир</w:t>
      </w:r>
      <w:r>
        <w:rPr>
          <w:sz w:val="28"/>
          <w:szCs w:val="28"/>
        </w:rPr>
        <w:t>овать анестезиолога о применении метопролола (для выбора средства для анестезии с минимальным отрицательным инотропным действием), отмену препарата не рекомендуют. Реципрокную активацию nervus vagus можно устранить в/в введением атропина.</w:t>
      </w:r>
    </w:p>
    <w:p w14:paraId="1F245F5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 прекр</w:t>
      </w:r>
      <w:r>
        <w:rPr>
          <w:sz w:val="28"/>
          <w:szCs w:val="28"/>
        </w:rPr>
        <w:t>атить терапию при появлении кожной сыпи и развитии депрессии.</w:t>
      </w:r>
    </w:p>
    <w:p w14:paraId="516A4F4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отмены препарата состояние пациента требует внимательного наблюдения. Отмену препарата следует проводить на протяжении 10 сут, постепенно снижая дозу до 25 мг. При резкой отмене препара</w:t>
      </w:r>
      <w:r>
        <w:rPr>
          <w:sz w:val="28"/>
          <w:szCs w:val="28"/>
        </w:rPr>
        <w:t>та может возникнуть синдром отмены (усиление приступов стенокардии, повышение АД).(1,2)</w:t>
      </w:r>
    </w:p>
    <w:p w14:paraId="7670BD0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период беременности</w:t>
      </w:r>
      <w:r>
        <w:rPr>
          <w:sz w:val="28"/>
          <w:szCs w:val="28"/>
        </w:rPr>
        <w:t xml:space="preserve"> метопролол можно применять при наличии жизненных показаний и при условии, что ожидаемая польза для матери превышает потенциальный риск для плода (</w:t>
      </w:r>
      <w:r>
        <w:rPr>
          <w:sz w:val="28"/>
          <w:szCs w:val="28"/>
        </w:rPr>
        <w:t xml:space="preserve">метопролол проникает через плацентарный барьер и может вызвать у плода брадикардию, артериальную гипотензию и гипогликемию). Блокаторы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адренорецепторов снижают кровоснабжение плаценты, что может быть причиной преждевременных родов или внутриутробной гибе</w:t>
      </w:r>
      <w:r>
        <w:rPr>
          <w:sz w:val="28"/>
          <w:szCs w:val="28"/>
        </w:rPr>
        <w:t>ли плода. Риск сердечных и легочных осложнений у новорожденных, матери которых принимали метопролол в период беременности, в послеродовой период повышен. Метопролол следует отменить за 48-72 ч до предполагаемой даты родов. Если это невозможно, требуется тщ</w:t>
      </w:r>
      <w:r>
        <w:rPr>
          <w:sz w:val="28"/>
          <w:szCs w:val="28"/>
        </w:rPr>
        <w:t xml:space="preserve">ательно контролировать состояние новорожденного в отношении признаков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блокады на протяжении 48-72 ч после родов.</w:t>
      </w:r>
    </w:p>
    <w:p w14:paraId="5E11562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Метопролол проникает в грудное молоко. Концентрация метопролола в грудном молоке может в 3 раза превышать его концентрацию в плазме крови мат</w:t>
      </w:r>
      <w:r>
        <w:rPr>
          <w:sz w:val="28"/>
          <w:szCs w:val="28"/>
        </w:rPr>
        <w:t xml:space="preserve">ери. Нежелательного действия после применения метопролола в терапевтической дозе не ожидают (исключение составляют новорожденные с замедленным метаболизмом), но следует наблюдать ребенка относительно развития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блокады. Чтобы концентрация действующего веще</w:t>
      </w:r>
      <w:r>
        <w:rPr>
          <w:sz w:val="28"/>
          <w:szCs w:val="28"/>
        </w:rPr>
        <w:t>ства в грудном молоке была низкой, не следует кормить ребенка на протяжении 3-4 ч после применения препарата.(1)</w:t>
      </w:r>
    </w:p>
    <w:p w14:paraId="5A237D2C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Препарат у детей не применяют.</w:t>
      </w:r>
    </w:p>
    <w:p w14:paraId="1E85DAC0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влиять на скорость реакции при управлении транспортными средствами или работе с другими механизмами.</w:t>
      </w:r>
      <w:r>
        <w:rPr>
          <w:sz w:val="28"/>
          <w:szCs w:val="28"/>
        </w:rPr>
        <w:t xml:space="preserve"> Лечение данным лекарственным средством требует регулярных медицинских осмотров. Если во время лечения препаратом наблюдают такие явления, как головокружение, нарушение концентрации внимания, сонливость, вероятность которых особенно повышена в начале терап</w:t>
      </w:r>
      <w:r>
        <w:rPr>
          <w:sz w:val="28"/>
          <w:szCs w:val="28"/>
        </w:rPr>
        <w:t>ии, следует воздержаться от управления транспортными средствами или работы с другими механизмами.</w:t>
      </w:r>
    </w:p>
    <w:p w14:paraId="1025C275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9. Особенное назначение препарата при «сопутствующих» болезнях</w:t>
      </w:r>
    </w:p>
    <w:p w14:paraId="13A1B9A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3E5C0985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Особого наблюдения требуют пациенты со стенокардией. С особой осторожностью назначают метопро</w:t>
      </w:r>
      <w:r>
        <w:rPr>
          <w:sz w:val="28"/>
          <w:szCs w:val="28"/>
        </w:rPr>
        <w:t>лол при стенокардии Принцметала.</w:t>
      </w:r>
    </w:p>
    <w:p w14:paraId="6BE6029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контактных линз следует учитывать возможность снижения продукции слезной жидкости на фоне применения метопролола.</w:t>
      </w:r>
    </w:p>
    <w:p w14:paraId="71FE3B6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применения метопролола у пациентов с БА в качестве сопутствующей терапии </w:t>
      </w:r>
      <w:r>
        <w:rPr>
          <w:sz w:val="28"/>
          <w:szCs w:val="28"/>
        </w:rPr>
        <w:t xml:space="preserve">применяют агонисты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sz w:val="28"/>
          <w:szCs w:val="28"/>
        </w:rPr>
        <w:t>адренорецепторов.(6)</w:t>
      </w:r>
    </w:p>
    <w:p w14:paraId="413B16C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осторожностью метопролол применяют при аллергических заболеваниях, миастении, вазоспастической стенокардии, депрессии, хронических заболеваниях бронхолегочной системы, псориазе, при продолжительном голодании, бо</w:t>
      </w:r>
      <w:r>
        <w:rPr>
          <w:sz w:val="28"/>
          <w:szCs w:val="28"/>
        </w:rPr>
        <w:t>лезни Рейно.</w:t>
      </w:r>
    </w:p>
    <w:p w14:paraId="12E570BD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пациентов пожилого возраста может проявляться повышенная чувствительность даже при условии обычного дозирования.</w:t>
      </w:r>
    </w:p>
    <w:p w14:paraId="0722CF1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Метопролол может маскировать некоторые симптомы тиретоксикоза, например тахикардию.</w:t>
      </w:r>
    </w:p>
    <w:p w14:paraId="5D6F6352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Резкая отмена препарата у больных тиретоксик</w:t>
      </w:r>
      <w:r>
        <w:rPr>
          <w:sz w:val="28"/>
          <w:szCs w:val="28"/>
        </w:rPr>
        <w:t>озом противопоказана ввиду возможного усиления симптоматики.</w:t>
      </w:r>
    </w:p>
    <w:p w14:paraId="154222F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Метопролол может усилить симптомы, наблюдающиеся при нарушении периферического артериального кровообращения и усилить брадикардию. При ЧСС 50-55 уд./мин необходимо снизить дозу препарата или пров</w:t>
      </w:r>
      <w:r>
        <w:rPr>
          <w:sz w:val="28"/>
          <w:szCs w:val="28"/>
        </w:rPr>
        <w:t>ести постепенную его отмену. Возможно усиление выраженности аллергических реакций (при отягощенном аллергологическом анамнезе) и отсутствие эффекта от введения обычных доз адреналина.(7)</w:t>
      </w:r>
    </w:p>
    <w:p w14:paraId="254375C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Одновременное применение метопролола с ингибиторами МАО не рекомендуе</w:t>
      </w:r>
      <w:r>
        <w:rPr>
          <w:sz w:val="28"/>
          <w:szCs w:val="28"/>
        </w:rPr>
        <w:t>тся. Перерыв в лечении между применением ингибиторов МАО и метопролола должен составлять не менее 14 сут.</w:t>
      </w:r>
    </w:p>
    <w:p w14:paraId="280B3C2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состоянием пациентов, применяющих блокаторы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адренорецепторов, в том числе метопролол, включает наблюдение за ЧСС и АД (в начале лечения </w:t>
      </w:r>
      <w:r>
        <w:rPr>
          <w:sz w:val="28"/>
          <w:szCs w:val="28"/>
        </w:rPr>
        <w:t>- каждый день, затем - 1 раз в 3-4 мес); концентрацией глюкозы в крови у пациентов с сахарным диабетом (1 раз в 4-5 мес). Следует обучить пациента подсчету ЧСС и проинструктировать о необходимости консультации с врачом при ЧСС &lt;50 уд./мин. У лиц пожилого в</w:t>
      </w:r>
      <w:r>
        <w:rPr>
          <w:sz w:val="28"/>
          <w:szCs w:val="28"/>
        </w:rPr>
        <w:t>озраста рекомендуют контролировать функцию почек (1 раз в 4-5 мес). Препарат содержит лактозу, поэтому его не следует назначать больным с наследственным дефицитом лактазы, непереносимостью галактозы или с нарушением метаболизма глюкозы/галактозы.(1)</w:t>
      </w:r>
    </w:p>
    <w:p w14:paraId="520F4F40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30603519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О</w:t>
      </w:r>
      <w:r>
        <w:rPr>
          <w:b/>
          <w:bCs/>
          <w:sz w:val="28"/>
          <w:szCs w:val="28"/>
        </w:rPr>
        <w:t>собенности применения разных лекарственных форм препарат</w:t>
      </w:r>
    </w:p>
    <w:p w14:paraId="75E1DAA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748EC31C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Дозирование препарата при различных патологиях:</w:t>
      </w:r>
    </w:p>
    <w:p w14:paraId="23E00614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гипертензия: 1 таблетка Корвитола 50 (1/2 таблетки Корвитола 100) 1-2 раза в сутки или 1-2 таблетки Корвитола 50 (1 таблетка Корвитола</w:t>
      </w:r>
      <w:r>
        <w:rPr>
          <w:sz w:val="28"/>
          <w:szCs w:val="28"/>
        </w:rPr>
        <w:t xml:space="preserve"> 100) 1 раз в сутки, что соответствует 50-100 мг метопролола. При необходимости суточную дозу можно повысить до 2 таблеток Корвитола 50 (до 1 таблетки Корвитола 100) 2 раза в сутки, что соответствует 200 мг метопролола.</w:t>
      </w:r>
    </w:p>
    <w:p w14:paraId="6455FF4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Стенокардия: 1 таблетка Корвитола 50</w:t>
      </w:r>
      <w:r>
        <w:rPr>
          <w:sz w:val="28"/>
          <w:szCs w:val="28"/>
        </w:rPr>
        <w:t xml:space="preserve"> (1/2 таблетки Корвитола 100) 1-2 раза в сутки или 1-2 таблетки Корвитола 50 (1 таблетка Корвитола 100) 1 раз в сутки, что соответствует 50-100 мг метопролола. При необходимости суточную дозу можно повысить до 2 таблеток Корвитола 50 (до 1 таблетки Корвито</w:t>
      </w:r>
      <w:r>
        <w:rPr>
          <w:sz w:val="28"/>
          <w:szCs w:val="28"/>
        </w:rPr>
        <w:t>ла 100) 2 раза в сутки, что соответствует 200 мг метопролола, под контролем АД.</w:t>
      </w:r>
    </w:p>
    <w:p w14:paraId="523075E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Аритмии: 2 таблетки Корвитола 50 (1 таблетка Корвитола 100) 1-2 раза сутки, что соответствует 100-200 мг метопролола.(5)</w:t>
      </w:r>
    </w:p>
    <w:p w14:paraId="28290B72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Инфаркт миокарда. Лечение острого инфаркта миокарда про</w:t>
      </w:r>
      <w:r>
        <w:rPr>
          <w:sz w:val="28"/>
          <w:szCs w:val="28"/>
        </w:rPr>
        <w:t>водится в специализированных отделениях больниц с постоянным мониторингом ЭКГ и артериального давления. Начинают лечение острого инфаркта миокарда с в/в введения метопролола в дозе 5 мг, для чего используют соответствующие лекарственные средства. В зависим</w:t>
      </w:r>
      <w:r>
        <w:rPr>
          <w:sz w:val="28"/>
          <w:szCs w:val="28"/>
        </w:rPr>
        <w:t>ости от переносимости лекарственного средства последующие дозы 5 мг метопролола в/в можно вводить с интервалом в 2 мин, достигая максимальной общей дозы 15 мг метопролола. Если общая доза 15 мг метопролола хорошо переносится пациентом, то через 15 мин посл</w:t>
      </w:r>
      <w:r>
        <w:rPr>
          <w:sz w:val="28"/>
          <w:szCs w:val="28"/>
        </w:rPr>
        <w:t xml:space="preserve">е последней в/в инъекции больному однократно назначают 1 таблетку Корвитола 50 (1/2 таблетки Корвитола 100), что соответствует 50 мг метопролола. На протяжении следующих 48 ч каждые 6 ч больному назначают по 1 таблетке Корвитола 50 (1/2 таблетки Корвитола </w:t>
      </w:r>
      <w:r>
        <w:rPr>
          <w:sz w:val="28"/>
          <w:szCs w:val="28"/>
        </w:rPr>
        <w:t>100), что соответствует 50 мг метопролола. Для пациентов, которым в/в было введено &lt;15 мг метопролола, следующий пероральный прием начинают с 1/2 таблетки Корвитола 50 однократно, что соответствует 25 мг метопролола. После проведения неотложной терапии бол</w:t>
      </w:r>
      <w:r>
        <w:rPr>
          <w:sz w:val="28"/>
          <w:szCs w:val="28"/>
        </w:rPr>
        <w:t>ьным назначают поддерживающую дозу по 2 таблетки Корвитола 50 (1 таблетке Корвитола 100) 2 раза в сутки, что соответствует 200 мг метопролола в сутки.(5,6)</w:t>
      </w:r>
    </w:p>
    <w:p w14:paraId="49A8E20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снижении частоты сердечных сокращений и/или артериального давления, требующем вмешательства, или</w:t>
      </w:r>
      <w:r>
        <w:rPr>
          <w:sz w:val="28"/>
          <w:szCs w:val="28"/>
        </w:rPr>
        <w:t xml:space="preserve"> при возникновении других осложнений применение Корвитола следует прекратить.</w:t>
      </w:r>
    </w:p>
    <w:p w14:paraId="6EF47A5D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мигрени: 2 таблетки Корвитола 50 (1 таблетка Корвитола 100) 1-2 раза в сутки, что соответствует 100-200 мг метопролола.</w:t>
      </w:r>
    </w:p>
    <w:p w14:paraId="34072EBB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129899F9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Информация для доктора</w:t>
      </w:r>
    </w:p>
    <w:p w14:paraId="0357975D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2567D36" w14:textId="77777777" w:rsidR="00000000" w:rsidRDefault="00C25D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Невозможность ис</w:t>
      </w:r>
      <w:r>
        <w:rPr>
          <w:b/>
          <w:bCs/>
          <w:sz w:val="28"/>
          <w:szCs w:val="28"/>
        </w:rPr>
        <w:t>пользования при таких состояниях.</w:t>
      </w:r>
    </w:p>
    <w:p w14:paraId="5B0E63D2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Бронхиальная астма или бронхоспазм в анамнезе.</w:t>
      </w:r>
    </w:p>
    <w:p w14:paraId="52185C02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AV-блокада ІІ или ІІІ степени.</w:t>
      </w:r>
    </w:p>
    <w:p w14:paraId="0B8EA81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слабости синусного узла.</w:t>
      </w:r>
    </w:p>
    <w:p w14:paraId="7AD2913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Синоатриальная блокада.</w:t>
      </w:r>
    </w:p>
    <w:p w14:paraId="7B1A645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Синусовая брадикардия.</w:t>
      </w:r>
    </w:p>
    <w:p w14:paraId="3E884AA0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Артериальная гипотензия (систолическое АД &lt;100 мм рт</w:t>
      </w:r>
      <w:r>
        <w:rPr>
          <w:sz w:val="28"/>
          <w:szCs w:val="28"/>
        </w:rPr>
        <w:t>. ст.).</w:t>
      </w:r>
    </w:p>
    <w:p w14:paraId="0DA3C10F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Острая или хроническая сердечная недостаточность (IV функциональный класс по NYHA).</w:t>
      </w:r>
    </w:p>
    <w:p w14:paraId="5E32034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Кардиогенный шок.</w:t>
      </w:r>
    </w:p>
    <w:p w14:paraId="3FB3FEA0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Одновременное применение ингибиторов МАО типа А.</w:t>
      </w:r>
    </w:p>
    <w:p w14:paraId="773C1F6E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Тяжелые нарушения периферического кровообращения.</w:t>
      </w:r>
    </w:p>
    <w:p w14:paraId="588EC0F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Феохромоцитома.</w:t>
      </w:r>
    </w:p>
    <w:p w14:paraId="778D7CE6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Метаболический аци</w:t>
      </w:r>
      <w:r>
        <w:rPr>
          <w:sz w:val="28"/>
          <w:szCs w:val="28"/>
        </w:rPr>
        <w:t>доз.</w:t>
      </w:r>
    </w:p>
    <w:p w14:paraId="09FD741A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Тяжелые нарушения функции печени.</w:t>
      </w:r>
    </w:p>
    <w:p w14:paraId="5B5BB65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Совместное в/в введении антагонистов кальция типа верапамила и дилтиазема или других антиаритмических препаратов (таких как дизопирамид), кроме случаев интенсивной терапии и больным с подозрением на острый инфаркт</w:t>
      </w:r>
      <w:r>
        <w:rPr>
          <w:sz w:val="28"/>
          <w:szCs w:val="28"/>
        </w:rPr>
        <w:t xml:space="preserve"> миокарда при ЧСС &lt;45 уд./мин, интервалом P-Q &gt;0,24 или систолическим АД &lt;100 мм рт. ст.(1)</w:t>
      </w:r>
    </w:p>
    <w:p w14:paraId="686E86C9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7335B7CA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Информация для пациента</w:t>
      </w:r>
    </w:p>
    <w:p w14:paraId="6ED8BA5D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0B7276E7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суточная доза составляет 400 мг. Таблетки принимают перорально после еды, не разжевывая и запивая небольшим количеством </w:t>
      </w:r>
      <w:r>
        <w:rPr>
          <w:sz w:val="28"/>
          <w:szCs w:val="28"/>
        </w:rPr>
        <w:t>жидкости. Продолжительность лечения не ограничена и зависит от течения заболевания. Если после продолжительного применения препарата требуется прекращение лечения, то делать это следует постепенно и медленно, поскольку внезапная отмена препарата может прив</w:t>
      </w:r>
      <w:r>
        <w:rPr>
          <w:sz w:val="28"/>
          <w:szCs w:val="28"/>
        </w:rPr>
        <w:t>ести к резкому повышению артериального давления.(1)</w:t>
      </w:r>
    </w:p>
    <w:p w14:paraId="41482BCC" w14:textId="77777777" w:rsidR="00000000" w:rsidRDefault="00C25D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Литература</w:t>
      </w:r>
    </w:p>
    <w:p w14:paraId="08C50D93" w14:textId="77777777" w:rsidR="00000000" w:rsidRDefault="00C25DD4">
      <w:pPr>
        <w:spacing w:line="360" w:lineRule="auto"/>
        <w:ind w:firstLine="709"/>
        <w:jc w:val="both"/>
        <w:rPr>
          <w:sz w:val="28"/>
          <w:szCs w:val="28"/>
        </w:rPr>
      </w:pPr>
    </w:p>
    <w:p w14:paraId="0AA6796D" w14:textId="77777777" w:rsidR="00000000" w:rsidRDefault="00C25D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Компендиум, 2009</w:t>
      </w:r>
    </w:p>
    <w:p w14:paraId="2F8D06D7" w14:textId="77777777" w:rsidR="00000000" w:rsidRDefault="00C25D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Фармакология на ладонях, Дроговоз С.М.</w:t>
      </w:r>
    </w:p>
    <w:p w14:paraId="504C4171" w14:textId="77777777" w:rsidR="00000000" w:rsidRDefault="00C25D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http://www.matmed.org</w:t>
      </w:r>
    </w:p>
    <w:p w14:paraId="18777601" w14:textId="77777777" w:rsidR="00000000" w:rsidRDefault="00C25D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.http://readabout.info/1465</w:t>
      </w:r>
    </w:p>
    <w:p w14:paraId="39F6B1B2" w14:textId="77777777" w:rsidR="00000000" w:rsidRDefault="00C25DD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5.http://www.matmed.org/libeksin/view/58048/</w:t>
      </w:r>
    </w:p>
    <w:p w14:paraId="480BCF62" w14:textId="77777777" w:rsidR="00000000" w:rsidRDefault="00C25DD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.http://www.provisor.com.ua</w:t>
      </w:r>
    </w:p>
    <w:p w14:paraId="081FB4A7" w14:textId="77777777" w:rsidR="00000000" w:rsidRDefault="00C25D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Фа</w:t>
      </w:r>
      <w:r>
        <w:rPr>
          <w:sz w:val="28"/>
          <w:szCs w:val="28"/>
        </w:rPr>
        <w:t>рмацевтический вестник. - 2003. - № 39. - С. 39-43.</w:t>
      </w:r>
    </w:p>
    <w:p w14:paraId="43621A2C" w14:textId="77777777" w:rsidR="00000000" w:rsidRDefault="00C25D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Коровина А. А., Заплатникова А. Л. Острые респираторные вирусные инфекции в амбулаторной практике врача-педиатра: Пособие для врачей. - М., 2004. - 237 с.</w:t>
      </w:r>
    </w:p>
    <w:p w14:paraId="2592E9F8" w14:textId="77777777" w:rsidR="00000000" w:rsidRDefault="00C25DD4">
      <w:pPr>
        <w:tabs>
          <w:tab w:val="left" w:pos="25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Бадокин В.В. Применение Диклак в ревматологи</w:t>
      </w:r>
      <w:r>
        <w:rPr>
          <w:sz w:val="28"/>
          <w:szCs w:val="28"/>
        </w:rPr>
        <w:t>ческой практике // Рус. мед. журн. - 2005, том 13, № 24, С. 1588-1589.</w:t>
      </w:r>
    </w:p>
    <w:p w14:paraId="10269CB9" w14:textId="77777777" w:rsidR="00C25DD4" w:rsidRDefault="00C25DD4">
      <w:pPr>
        <w:tabs>
          <w:tab w:val="left" w:pos="25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Парфенов В.А. Диагноз и лечение при острых болях в нижней части спины // Рус. мед. журн. - 2007. - Т 15. №6.</w:t>
      </w:r>
    </w:p>
    <w:sectPr w:rsidR="00C25D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9B"/>
    <w:rsid w:val="002A789B"/>
    <w:rsid w:val="00C2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3375A"/>
  <w14:defaultImageDpi w14:val="0"/>
  <w15:docId w15:val="{13CA7A14-009F-41D6-B04A-B057D8B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3654</Words>
  <Characters>20833</Characters>
  <Application>Microsoft Office Word</Application>
  <DocSecurity>0</DocSecurity>
  <Lines>173</Lines>
  <Paragraphs>48</Paragraphs>
  <ScaleCrop>false</ScaleCrop>
  <Company/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2024-12-26T17:48:00Z</dcterms:created>
  <dcterms:modified xsi:type="dcterms:W3CDTF">2024-12-26T17:48:00Z</dcterms:modified>
</cp:coreProperties>
</file>