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BD3F" w14:textId="77777777" w:rsidR="00000000" w:rsidRDefault="00051E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 СОЦИАЛЬНОГО РАЗВИТИЯ РФ</w:t>
      </w:r>
    </w:p>
    <w:p w14:paraId="5BB4F7FF" w14:textId="77777777" w:rsidR="00000000" w:rsidRDefault="00051E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здравоохранению и социальному развитию</w:t>
      </w:r>
    </w:p>
    <w:p w14:paraId="489AD0DF" w14:textId="77777777" w:rsidR="00000000" w:rsidRDefault="00051E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ФГУ Московский научно-исследовательский институт</w:t>
      </w:r>
    </w:p>
    <w:p w14:paraId="764BCFAD" w14:textId="77777777" w:rsidR="00000000" w:rsidRDefault="00051E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им. Гельмгольца Росздрава</w:t>
      </w:r>
    </w:p>
    <w:p w14:paraId="556B29CA" w14:textId="77777777" w:rsidR="00000000" w:rsidRDefault="00051E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Москва, Садовая-Черногрязская 14/19</w:t>
      </w:r>
    </w:p>
    <w:p w14:paraId="0B2F13A9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2811F5BD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540D281A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17C8627C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7D76FE3E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59049080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1F2861A2" w14:textId="77777777" w:rsidR="00000000" w:rsidRDefault="00051ECE">
      <w:pPr>
        <w:spacing w:line="360" w:lineRule="auto"/>
        <w:jc w:val="center"/>
        <w:rPr>
          <w:caps/>
          <w:sz w:val="28"/>
          <w:szCs w:val="28"/>
        </w:rPr>
      </w:pPr>
    </w:p>
    <w:p w14:paraId="6B36433D" w14:textId="77777777" w:rsidR="00000000" w:rsidRDefault="00051ECE">
      <w:pPr>
        <w:spacing w:line="360" w:lineRule="auto"/>
        <w:jc w:val="center"/>
        <w:rPr>
          <w:caps/>
          <w:sz w:val="28"/>
          <w:szCs w:val="28"/>
        </w:rPr>
      </w:pPr>
    </w:p>
    <w:p w14:paraId="1BBE6EA1" w14:textId="77777777" w:rsidR="00000000" w:rsidRDefault="00051ECE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лазеркоагуляция с</w:t>
      </w:r>
      <w:r>
        <w:rPr>
          <w:caps/>
          <w:sz w:val="28"/>
          <w:szCs w:val="28"/>
        </w:rPr>
        <w:t>етчатки при периферических витреохориоретинальных дистрофиях</w:t>
      </w:r>
    </w:p>
    <w:p w14:paraId="73A6C684" w14:textId="77777777" w:rsidR="00000000" w:rsidRDefault="00051E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Медицинская технология</w:t>
      </w:r>
    </w:p>
    <w:p w14:paraId="601AA05A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788673D5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5916BC19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583ADF86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659E0CB7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7B5ABE0A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6339859C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30C794CE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73A46239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0459182D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69012660" w14:textId="77777777" w:rsidR="00000000" w:rsidRDefault="00051ECE">
      <w:pPr>
        <w:spacing w:line="360" w:lineRule="auto"/>
        <w:jc w:val="center"/>
        <w:rPr>
          <w:sz w:val="28"/>
          <w:szCs w:val="28"/>
        </w:rPr>
      </w:pPr>
    </w:p>
    <w:p w14:paraId="6C2A1B45" w14:textId="77777777" w:rsidR="00000000" w:rsidRDefault="00051E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Москва, 2006</w:t>
      </w:r>
    </w:p>
    <w:p w14:paraId="26652393" w14:textId="77777777" w:rsidR="00000000" w:rsidRDefault="00051ECE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Аннотация</w:t>
      </w:r>
    </w:p>
    <w:p w14:paraId="11127B79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0D1785DC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лечения периферических витреохориоретинальных дистрофий (ПВХРД) основана на многолетних исследованиях особенностей течения р</w:t>
      </w:r>
      <w:r>
        <w:rPr>
          <w:sz w:val="28"/>
          <w:szCs w:val="28"/>
        </w:rPr>
        <w:t xml:space="preserve">азличных форм ПВХРД. Выделены факторы риска развития регматогенной отслойки сетчатки (решетчатая дистрофия, изолированные разрывы сетчатки и ретиношизис). Разработаны абсолютные и относительные показания к лазерной коагуляции сетчатки при различных формах </w:t>
      </w:r>
      <w:r>
        <w:rPr>
          <w:sz w:val="28"/>
          <w:szCs w:val="28"/>
        </w:rPr>
        <w:t>ПВХРД. С целью предотвращения развития многих опасных осложнений лазерной коагуляции (непрямое повреждение макулы, провокация развития отслойки сетчатки, сужение поля зрения и гемеролопия) усовершенствованы методики ее проведения при различных формах ПВХРД</w:t>
      </w:r>
      <w:r>
        <w:rPr>
          <w:sz w:val="28"/>
          <w:szCs w:val="28"/>
        </w:rPr>
        <w:t>. Технология позволяет резко сократить частоту возникновения регматогенной отслойки сетчатки. В зависимости от вида ПВХРД частота развития отслойки сетчатки колеблется от 2,8% до 35%. После применения нашей медицинской технологии частота возникновения отсл</w:t>
      </w:r>
      <w:r>
        <w:rPr>
          <w:sz w:val="28"/>
          <w:szCs w:val="28"/>
        </w:rPr>
        <w:t>ойки сетчатки составила 0,6%. Ни в одном случае не развились осложнения лазеркагуляции.</w:t>
      </w:r>
    </w:p>
    <w:p w14:paraId="5A77058A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технология предназначена для врачей-офтальмологов специализированных офтальмологических стационаров, лечебно-диагностических центров.</w:t>
      </w:r>
    </w:p>
    <w:p w14:paraId="231C56F3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- ФГУ Москов</w:t>
      </w:r>
      <w:r>
        <w:rPr>
          <w:sz w:val="28"/>
          <w:szCs w:val="28"/>
        </w:rPr>
        <w:t>ский научно-исследовательский институт им. Гельмгольца Росздрава.</w:t>
      </w:r>
    </w:p>
    <w:p w14:paraId="11407DA0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Авторы: профессор Нероев В.В., ведущий научный сотрудник, к.м.н. Захарова Г.Ю., врач, к.м.н. Ахмеджанова Е.В.</w:t>
      </w:r>
    </w:p>
    <w:p w14:paraId="72201254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Рецензенты- член-корр., профессор Аветисов С.Э., Директор ГУ НИИ глазных болезне</w:t>
      </w:r>
      <w:r>
        <w:rPr>
          <w:sz w:val="28"/>
          <w:szCs w:val="28"/>
        </w:rPr>
        <w:t>й РАМН.</w:t>
      </w:r>
    </w:p>
    <w:p w14:paraId="536C0AFD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Профессор, д.м.н. Максимов И.Б., Главный офтальмолог Главного Военного клинического го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питаля им. Акад. Н.Н. Бурденко.</w:t>
      </w:r>
    </w:p>
    <w:p w14:paraId="72EE6A18" w14:textId="77777777" w:rsidR="00000000" w:rsidRDefault="00051ECE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14:paraId="3F6900EC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3A552E4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технологии в хирургии регматогенной отслойки сетчатки (РОС) позволяют добиться ее прилегания в 50-98% случ</w:t>
      </w:r>
      <w:r>
        <w:rPr>
          <w:sz w:val="28"/>
          <w:szCs w:val="28"/>
        </w:rPr>
        <w:t>аев в зависимости от стадии пролиферативной витреоретинопатии (ПВР). По данным отечественных авторов 84% больных с РОС составляют люди трудоспособного возраста (3). Однако хороший анатомический результат, достигнутый после операции, не означает получение в</w:t>
      </w:r>
      <w:r>
        <w:rPr>
          <w:sz w:val="28"/>
          <w:szCs w:val="28"/>
        </w:rPr>
        <w:t>ысоких функциональных результатов, в связи с чем РОС остается одним из основных заболеваний, приводящих больных к слепоте и слабовидению и инвалидизации в трудоспособном возрасте. В связи с чем вопрос о профилактике РОС является несомненно важным и актуаль</w:t>
      </w:r>
      <w:r>
        <w:rPr>
          <w:sz w:val="28"/>
          <w:szCs w:val="28"/>
        </w:rPr>
        <w:t>ным.</w:t>
      </w:r>
    </w:p>
    <w:p w14:paraId="70DD641C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многочисленных факторов, приводящих к развитию РОС, ведущее место принадлежит периферическим витреохориоретинальным дистрофиям (ПВХРД) (2).</w:t>
      </w:r>
    </w:p>
    <w:p w14:paraId="78566BD9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 ПВХРД, приводящих к разрывам и отслойке сетчатки, до настоящего времени окончательно не выяснен</w:t>
      </w:r>
      <w:r>
        <w:rPr>
          <w:sz w:val="28"/>
          <w:szCs w:val="28"/>
        </w:rPr>
        <w:t>: доказана роль наследственных, трофических и тракционных факторов в развитии данного патологического процесса. Деструктивные процессы в стекловидном теле, отслойка стекловидного тела с формированием витреоретинальных тракций, ослабление адгезии между пигм</w:t>
      </w:r>
      <w:r>
        <w:rPr>
          <w:sz w:val="28"/>
          <w:szCs w:val="28"/>
        </w:rPr>
        <w:t>ентным эпителием и нейроэпителием - все это пусковые моменты в возникновении разрывов сетчатки и развитии её отслойки.</w:t>
      </w:r>
    </w:p>
    <w:p w14:paraId="2674506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профилактики РОС необходимо раннее выявление ПВХРД, наблюдение за динамикой процесса, оценка степени риска возникновения РОС</w:t>
      </w:r>
      <w:r>
        <w:rPr>
          <w:sz w:val="28"/>
          <w:szCs w:val="28"/>
        </w:rPr>
        <w:t>, своевременное проведение профилактической лазеркоагуляции сетчатки.</w:t>
      </w:r>
    </w:p>
    <w:p w14:paraId="573D60E6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существует несколько классификаций ПВХРД, однако мы в своей работе пользуемся классификационной схемой, предложенной Е.О. Соксоновой с соавторами (1), в основу которой </w:t>
      </w:r>
      <w:r>
        <w:rPr>
          <w:sz w:val="28"/>
          <w:szCs w:val="28"/>
        </w:rPr>
        <w:t xml:space="preserve">положен принцип локализации дистрофического процесса. Все ПВХРД делятся на экваториальные, </w:t>
      </w:r>
      <w:r>
        <w:rPr>
          <w:sz w:val="28"/>
          <w:szCs w:val="28"/>
        </w:rPr>
        <w:lastRenderedPageBreak/>
        <w:t>расположенные в области экватора глазного яблока и средней периферии, параоральные, расположенные на крайней периферии у зубчатой линии и смешанные, когда в одном гл</w:t>
      </w:r>
      <w:r>
        <w:rPr>
          <w:sz w:val="28"/>
          <w:szCs w:val="28"/>
        </w:rPr>
        <w:t>азу встречаются различные виды ПВХРД.</w:t>
      </w:r>
    </w:p>
    <w:p w14:paraId="68BB3D74" w14:textId="77777777" w:rsidR="00000000" w:rsidRDefault="00051ECE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Экваториальные:</w:t>
      </w:r>
    </w:p>
    <w:p w14:paraId="72318C8A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Решетчатая дистрофия</w:t>
      </w:r>
    </w:p>
    <w:p w14:paraId="71E97E92" w14:textId="77777777" w:rsidR="00000000" w:rsidRDefault="00051ECE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Изолированные разрывы сетчатки</w:t>
      </w:r>
    </w:p>
    <w:p w14:paraId="25A98B5F" w14:textId="77777777" w:rsidR="00000000" w:rsidRDefault="00051ECE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пигментация.</w:t>
      </w:r>
    </w:p>
    <w:p w14:paraId="74547760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Параоральные:</w:t>
      </w:r>
    </w:p>
    <w:p w14:paraId="6774A31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Кистовидная дистрофия</w:t>
      </w:r>
    </w:p>
    <w:p w14:paraId="00A1CE6D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Ретиношизис.</w:t>
      </w:r>
    </w:p>
    <w:p w14:paraId="5A78E4FE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Хориоретинальная атрофия («булыжная мостовая»).</w:t>
      </w:r>
    </w:p>
    <w:p w14:paraId="6AF5C35B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обратить внимание на</w:t>
      </w:r>
      <w:r>
        <w:rPr>
          <w:sz w:val="28"/>
          <w:szCs w:val="28"/>
        </w:rPr>
        <w:t xml:space="preserve"> тот факт, что ПВХРД наиболее часто встречаются при миопии, при этом нет прямой зависимости между выраженностью ПВХРД и степенью миопии. Так, при миопии слабой степени на глазном дне могут выявляться множественные зоны дистрофии с разрывами, а при миопии в</w:t>
      </w:r>
      <w:r>
        <w:rPr>
          <w:sz w:val="28"/>
          <w:szCs w:val="28"/>
        </w:rPr>
        <w:t>ысокой степени - нормальное глазное дно.</w:t>
      </w:r>
    </w:p>
    <w:p w14:paraId="7154729E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4FBDFB47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Решетчатая дистрофия</w:t>
      </w:r>
    </w:p>
    <w:p w14:paraId="465DB194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13724BFE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несколько видов решетчатой дистрофии: классическая форма, дистрофия по типу «след улитки», эрозия сетчатки, постэкваториаьная решетчатая дистрофия и «снежковидная» дистрофия.</w:t>
      </w:r>
    </w:p>
    <w:p w14:paraId="22D9FEDB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</w:t>
      </w:r>
      <w:r>
        <w:rPr>
          <w:sz w:val="28"/>
          <w:szCs w:val="28"/>
        </w:rPr>
        <w:t>ческая форма решетчатой дистрофии представляет собой четко очерченный дистрофический процесс в экваториальной зоне глазного дна, представляющий собой сеть переплетающихся облитерированных сосудов. Этот признак может быть единственным, однако чаще решетчата</w:t>
      </w:r>
      <w:r>
        <w:rPr>
          <w:sz w:val="28"/>
          <w:szCs w:val="28"/>
        </w:rPr>
        <w:t>я дистрофия встречается с пигментацией, истончениями и разрывами сетчатки, мелкими атрофическими очажками и блестящими точками.</w:t>
      </w:r>
    </w:p>
    <w:p w14:paraId="2012D826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Дистрофия по типу «след улитки» - дистрофический процесс в экваториальной зоне, представляющий собой скопление блестящих точек в</w:t>
      </w:r>
      <w:r>
        <w:rPr>
          <w:sz w:val="28"/>
          <w:szCs w:val="28"/>
        </w:rPr>
        <w:t xml:space="preserve"> виде «лодочки».</w:t>
      </w:r>
    </w:p>
    <w:p w14:paraId="0DFAF350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Эрозия сетчатки - это истончение сетчатки округлой формы, ограниченное 1-2 рядами блестящих точек.</w:t>
      </w:r>
    </w:p>
    <w:p w14:paraId="6F54FECE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Постэкваториальная решетчатая дистрофия - характеризуется распространением зоны поражения к заднему полюсу и вовлечением в процесс крупных с</w:t>
      </w:r>
      <w:r>
        <w:rPr>
          <w:sz w:val="28"/>
          <w:szCs w:val="28"/>
        </w:rPr>
        <w:t>осудов с последующей их облитерацией. Часто вдоль сосудов определяются зоны пигментации, депигментации, мелкие атрофические очажки, блестящие точки, истончения и разрывы сетчатки.</w:t>
      </w:r>
    </w:p>
    <w:p w14:paraId="2AC00E43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«Снежковидная» дистрофия - характеризуется появлением большого количества бе</w:t>
      </w:r>
      <w:r>
        <w:rPr>
          <w:sz w:val="28"/>
          <w:szCs w:val="28"/>
        </w:rPr>
        <w:t>лых очажков с нечеткими границами, напоминающих «снежки», на фоне непрозрачной бледно-серой сетчатки, с последующей облитерацией сосудов, появлением пигментации, истончений и разрывов сетчатки.</w:t>
      </w:r>
    </w:p>
    <w:p w14:paraId="24EFE9B2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решетчатой дистрофии могут формироваться 2 вида разрывов: </w:t>
      </w:r>
      <w:r>
        <w:rPr>
          <w:sz w:val="28"/>
          <w:szCs w:val="28"/>
        </w:rPr>
        <w:t xml:space="preserve">атрофические (за счет прогрессирующего истончения сетчатки) и тракционные (за счет тракции стекловидного тела). Атрофические разрывы встречаются </w:t>
      </w:r>
      <w:r>
        <w:rPr>
          <w:sz w:val="28"/>
          <w:szCs w:val="28"/>
        </w:rPr>
        <w:lastRenderedPageBreak/>
        <w:t>часто, но редко приводят к развитию отслойки сетчатки, в то время как тракционные разрывы встречаются редко, но</w:t>
      </w:r>
      <w:r>
        <w:rPr>
          <w:sz w:val="28"/>
          <w:szCs w:val="28"/>
        </w:rPr>
        <w:t xml:space="preserve"> часто приводят к развитию отслойки сетчатки.</w:t>
      </w:r>
    </w:p>
    <w:p w14:paraId="22E524D6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Прогрессирование решетчатой дистрофии (появление новых зон поражения, развитие истончений и разрывов сетчатки) может происходить в сроке от 1 месяца до 6 лет.</w:t>
      </w:r>
    </w:p>
    <w:p w14:paraId="4BC2F10B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10A621E5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Изолированные разрывы сетчатки</w:t>
      </w:r>
    </w:p>
    <w:p w14:paraId="506EFB13" w14:textId="77777777" w:rsidR="00000000" w:rsidRDefault="00051EC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лазерный коагуляция</w:t>
      </w:r>
      <w:r>
        <w:rPr>
          <w:color w:val="FFFFFF"/>
          <w:sz w:val="28"/>
          <w:szCs w:val="28"/>
        </w:rPr>
        <w:t xml:space="preserve"> витреохориоретинальный дистрофия</w:t>
      </w:r>
    </w:p>
    <w:p w14:paraId="4CA2DA2C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виды ПВХРД могут сопровождаться развитием разрывов сетчатки, однако, как самостоятельный вид ПВХРД «изолированные разрывы сетчатки» мы имеем в виду наличие разрывов сетчатки, не связанных с другими видами ПВХРД.</w:t>
      </w:r>
    </w:p>
    <w:p w14:paraId="1E98B4C2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этиопатогенезу разрывы сетчатки подразделяются на атрофические (ретинальные) и тракционные (витреоретинальные). Однако, учитывая патогенез разрывов, это деление можно считать несколько условным.</w:t>
      </w:r>
    </w:p>
    <w:p w14:paraId="635B4A1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форме - на дырчатые, клепанные и разрывы с «крышечками».</w:t>
      </w:r>
    </w:p>
    <w:p w14:paraId="40366FD5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зависимости от наличия или отсутствия симптомов, сопровождающих образование разрывов, последние делятся на симптоматические и асимптоматические.</w:t>
      </w:r>
    </w:p>
    <w:p w14:paraId="036D148D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Симптоматические разрывы сопровождаются жалобами пациента на фотопсии и плавающие помутнения, которые являются</w:t>
      </w:r>
      <w:r>
        <w:rPr>
          <w:sz w:val="28"/>
          <w:szCs w:val="28"/>
        </w:rPr>
        <w:t xml:space="preserve"> результатом витреоретинальной тракции, задней отслойки стекловидного тела или частичного гемофтальма. Асимптоматические разрывы крайне редко приводят к развитию отслойки сетчатки и многие исследователи считают, что их не надо блокировать лазеркоагулятами </w:t>
      </w:r>
      <w:r>
        <w:rPr>
          <w:sz w:val="28"/>
          <w:szCs w:val="28"/>
        </w:rPr>
        <w:t>(4). В то время как симптоматические разрывы приводят к развитию отслойки сетчатки в 35-90% случаев (5).</w:t>
      </w:r>
    </w:p>
    <w:p w14:paraId="0ABA145B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Раньше считалось, что пигментация вокруг разрыва выполняет защитную </w:t>
      </w:r>
      <w:r>
        <w:rPr>
          <w:sz w:val="28"/>
          <w:szCs w:val="28"/>
        </w:rPr>
        <w:lastRenderedPageBreak/>
        <w:t>роль, однако как показали последние исследования пигментация указывает только на дл</w:t>
      </w:r>
      <w:r>
        <w:rPr>
          <w:sz w:val="28"/>
          <w:szCs w:val="28"/>
        </w:rPr>
        <w:t>ительность патологического процесса, однако не выполняет никакой защитной роли.</w:t>
      </w:r>
    </w:p>
    <w:p w14:paraId="1FABA434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Чаще всего разрывы сетчатки располагаются в наружной половине глазного дна.</w:t>
      </w:r>
    </w:p>
    <w:p w14:paraId="16C71AC3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F5A6355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пигментация</w:t>
      </w:r>
    </w:p>
    <w:p w14:paraId="79A1B26E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4B471E3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пигментация - характеризуется множественными отложениями</w:t>
      </w:r>
      <w:r>
        <w:rPr>
          <w:sz w:val="28"/>
          <w:szCs w:val="28"/>
        </w:rPr>
        <w:t xml:space="preserve"> пигмента различной величины, цвета и формы. Наиболее часто встречаются множественные пигментные глыбки различной величины и формы, которые сливаясь могут образовывать широкую полосу гиперпигментации между экватором и зубчатой линией. При распространении п</w:t>
      </w:r>
      <w:r>
        <w:rPr>
          <w:sz w:val="28"/>
          <w:szCs w:val="28"/>
        </w:rPr>
        <w:t>роцесса кзади может наблюдаться отложение пигмента вдоль сосудов - параваскулярная гиперпигментация.</w:t>
      </w:r>
    </w:p>
    <w:p w14:paraId="025F38B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пигментация редко прогрессирует и практически не приводит к развитию отслойки сетчатки.</w:t>
      </w:r>
    </w:p>
    <w:p w14:paraId="1A0F8D50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61ACFED2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Кистовидная дистрофия</w:t>
      </w:r>
    </w:p>
    <w:p w14:paraId="44B89714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7888BD7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Кистовидная дистрофия выявля</w:t>
      </w:r>
      <w:r>
        <w:rPr>
          <w:sz w:val="28"/>
          <w:szCs w:val="28"/>
        </w:rPr>
        <w:t>ется уже при рождении на крайней периферии в наружной половине глазного дна и при прогрессировании процесса переходит в ретиношизис (расслоение сетчатки).</w:t>
      </w:r>
    </w:p>
    <w:p w14:paraId="30D99151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25A8997C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Ретиношизис</w:t>
      </w:r>
    </w:p>
    <w:p w14:paraId="5014E15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4C15C8C1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приобретенный (первичный), вторичный и наследственный ретиношизис.</w:t>
      </w:r>
    </w:p>
    <w:p w14:paraId="7AC38181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394C398F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</w:t>
      </w:r>
      <w:r>
        <w:rPr>
          <w:sz w:val="28"/>
          <w:szCs w:val="28"/>
        </w:rPr>
        <w:t>нный ретиношизис</w:t>
      </w:r>
    </w:p>
    <w:p w14:paraId="3C48FAFE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56D1A62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начальной стадии на крайней периферии выявляется резко выраженная кистовидная дистрофия, сетчатка утрачивает свою прозрачность и приобретает сероватый оттенок. По мере прогрессирования процесса ретиношизис прогрессирует как по площади, </w:t>
      </w:r>
      <w:r>
        <w:rPr>
          <w:sz w:val="28"/>
          <w:szCs w:val="28"/>
        </w:rPr>
        <w:t>так и по высоте, переходя в буллезный ретиношизис или кисты сетчатки. При ретиношизисе могут формироваться 2 вида разрывов: разрывы внутренней и наружной стенки. Отслойка сетчатки развивается при формировании разрывов обоих стенок или при гигантских разрыв</w:t>
      </w:r>
      <w:r>
        <w:rPr>
          <w:sz w:val="28"/>
          <w:szCs w:val="28"/>
        </w:rPr>
        <w:t>ах наружной стенки.</w:t>
      </w:r>
    </w:p>
    <w:p w14:paraId="43E03C19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Вторичный ретиношизис развивается в ответ на любое длительно существующее заболевание глаз: последствия перенесенной травмы, старая отслойка сетчатки, ангиоматоз сетчатки, болезнь Коатса, диабетическая ретинопатия, опухоли сетчатки, рет</w:t>
      </w:r>
      <w:r>
        <w:rPr>
          <w:sz w:val="28"/>
          <w:szCs w:val="28"/>
        </w:rPr>
        <w:t>инопатия новорожденных, воспалительные заболевания и др.</w:t>
      </w:r>
    </w:p>
    <w:p w14:paraId="0C6E76AF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Наследственный врожденный ретиношизис включает в себя 3 основных заболевания: ювенильный Х-хромосомный ретиношизис, болезнь Фавре-Гольдмана и болезнь Вагнера.</w:t>
      </w:r>
    </w:p>
    <w:p w14:paraId="04CBC4C3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Ювенильный Х-хромосомный ретиношизис наб</w:t>
      </w:r>
      <w:r>
        <w:rPr>
          <w:sz w:val="28"/>
          <w:szCs w:val="28"/>
        </w:rPr>
        <w:t xml:space="preserve">людается только у лиц мужского пола с гиперметропической рефракцией и характеризуется фовеолярным ретиношизисом, периферическим ретиношизисом и изменениями стекловидного. На начальной стадии заболевания в макулярной зоне выявляется фовеолярный ретиношизис </w:t>
      </w:r>
      <w:r>
        <w:rPr>
          <w:sz w:val="28"/>
          <w:szCs w:val="28"/>
        </w:rPr>
        <w:t>по типу «спиц в колесе» нв периферии появляются серебристо-золотистые зоны по типу «битого металла». В сткловидном теле выявляются сосудистые или бессосудистые мембраны (вуали). При выраженной стадии появляются древовидные структуры, представляющие собой а</w:t>
      </w:r>
      <w:r>
        <w:rPr>
          <w:sz w:val="28"/>
          <w:szCs w:val="28"/>
        </w:rPr>
        <w:t xml:space="preserve">номальные сосуды с проницаемой стенкой и являющиеся источником </w:t>
      </w:r>
      <w:r>
        <w:rPr>
          <w:sz w:val="28"/>
          <w:szCs w:val="28"/>
        </w:rPr>
        <w:lastRenderedPageBreak/>
        <w:t>кровотечения в стекловидное тело, в полость ретиношизиса или преретинально. Витреальные мембраны могут прикрепляться к сетчатке и при выраженной тракции вызывать формирование разрывов сетчатки.</w:t>
      </w:r>
      <w:r>
        <w:rPr>
          <w:sz w:val="28"/>
          <w:szCs w:val="28"/>
        </w:rPr>
        <w:t xml:space="preserve"> В зоне периферического ретиношизиса формируются разрывы в стенке. При терминальной стадии процесса развивается отслойка сетчатки. Х-хромосомный ретиношизис также может сочетаться с решетчатой дистрофией, изолированными разрывами, отложениями твердого и мя</w:t>
      </w:r>
      <w:r>
        <w:rPr>
          <w:sz w:val="28"/>
          <w:szCs w:val="28"/>
        </w:rPr>
        <w:t>гкого экссудата.</w:t>
      </w:r>
    </w:p>
    <w:p w14:paraId="18480E43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Вагнера - аутосомно-доминантное заболевание, болеют одинаково мужчины и женщины с миопической рефракцией высокой степени и характеризуется сочетанием периферического ретиношизиса с выраженной деструкцией стекловидного тела.</w:t>
      </w:r>
    </w:p>
    <w:p w14:paraId="1F57D444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</w:t>
      </w:r>
      <w:r>
        <w:rPr>
          <w:sz w:val="28"/>
          <w:szCs w:val="28"/>
        </w:rPr>
        <w:t xml:space="preserve"> Фавре-Гольдмана - аутосомно-рецессивное заболевание, болеют одинаково мужчины и женщины с миопической рефракцией и характеризуется сочетанием периферического ретиношизиса с тапето-ретинальной абиотрофией.</w:t>
      </w:r>
    </w:p>
    <w:p w14:paraId="077709D3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7CC0A450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Хориоретинальная атрофия типа «булыжной мостовой»</w:t>
      </w:r>
    </w:p>
    <w:p w14:paraId="056C87E7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2FA65FB1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Хориоретинальная атрофия типа «булыжной мостовой» характеризуется множественными атрофическими фокусами с пигментом разной формы и размеров, располагающимися между экватором и зубчатой линией. Этот вид дистрофии не предрасполагает к развитию разрывов и о</w:t>
      </w:r>
      <w:r>
        <w:rPr>
          <w:sz w:val="28"/>
          <w:szCs w:val="28"/>
        </w:rPr>
        <w:t>тслойке сетчатки.</w:t>
      </w:r>
    </w:p>
    <w:p w14:paraId="1CB1DAAD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многолетнее изучение проблемы профилактики РОС до сих пор нет единого мнения на проведение лазеркоагуляции сетчатки при различных формах ПВХРД, а также сопутствующей патологии ( миопия высокой степени, афакия, артифакия). Так </w:t>
      </w:r>
      <w:r>
        <w:rPr>
          <w:sz w:val="28"/>
          <w:szCs w:val="28"/>
          <w:lang w:val="en-US"/>
        </w:rPr>
        <w:t>Byer</w:t>
      </w:r>
      <w:r>
        <w:rPr>
          <w:sz w:val="28"/>
          <w:szCs w:val="28"/>
        </w:rPr>
        <w:t xml:space="preserve"> на основании 10 летнего наблюдения за больными с асимптоматическими разрывами ни в одном случае не выявил развитие РОС на глазах с хрусталиком, а </w:t>
      </w:r>
      <w:r>
        <w:rPr>
          <w:sz w:val="28"/>
          <w:szCs w:val="28"/>
          <w:lang w:val="en-US"/>
        </w:rPr>
        <w:t>Davis</w:t>
      </w:r>
      <w:r>
        <w:rPr>
          <w:sz w:val="28"/>
          <w:szCs w:val="28"/>
        </w:rPr>
        <w:t xml:space="preserve"> выявил развитие РОС при асимптоматических разрывах на «парных» глазах с отслойкой сетчатки в </w:t>
      </w:r>
      <w:r>
        <w:rPr>
          <w:sz w:val="28"/>
          <w:szCs w:val="28"/>
        </w:rPr>
        <w:lastRenderedPageBreak/>
        <w:t>11% сл</w:t>
      </w:r>
      <w:r>
        <w:rPr>
          <w:sz w:val="28"/>
          <w:szCs w:val="28"/>
        </w:rPr>
        <w:t>учаев.</w:t>
      </w:r>
    </w:p>
    <w:p w14:paraId="6E1EDC5C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было показано, что лазеркоагуляция сетчатки может вызвать целый ряд осложнений, среди которых самое главное место занимают:</w:t>
      </w:r>
    </w:p>
    <w:p w14:paraId="30F8BA7F" w14:textId="77777777" w:rsidR="00000000" w:rsidRDefault="00051ECE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Непрямое повреждение макулы.</w:t>
      </w:r>
    </w:p>
    <w:p w14:paraId="51176464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Провокация развития отслойки сетчатки .</w:t>
      </w:r>
    </w:p>
    <w:p w14:paraId="09732A65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Осложнения лазерного циркляжа: сужен</w:t>
      </w:r>
      <w:r>
        <w:rPr>
          <w:sz w:val="28"/>
          <w:szCs w:val="28"/>
        </w:rPr>
        <w:t>ие поля зрения, гемералопия.</w:t>
      </w:r>
    </w:p>
    <w:p w14:paraId="222E24E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нет единого мнения на показания к профилактической лазеркоагуляции сетчатки при различных видах ПВХРД и тактики ее проведения. С целью предотвращения развития отслойки сетчатки, а также ее осложнений, необходимо </w:t>
      </w:r>
      <w:r>
        <w:rPr>
          <w:sz w:val="28"/>
          <w:szCs w:val="28"/>
        </w:rPr>
        <w:t>точное знание показаний к проведению лазеркоагуляции при ПВХРД, правильный выбор режима и схемы лазеркоагуляции, а также, по возможности, отказ от лазерного циркляжа.</w:t>
      </w:r>
    </w:p>
    <w:p w14:paraId="5F4AA54E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Нами, на основании многолетних длительных наблюдений за больными с различными видами ПВХР</w:t>
      </w:r>
      <w:r>
        <w:rPr>
          <w:sz w:val="28"/>
          <w:szCs w:val="28"/>
        </w:rPr>
        <w:t>Д, были разработаны абсолютные и относительные показания к проведению лазеркоагуляции при различных видах ПВХРД, а также мероприятия по предотвращению развития осложнений лазеркоагуляции сетчатки.</w:t>
      </w:r>
    </w:p>
    <w:p w14:paraId="4DB4970C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24138EEA" w14:textId="77777777" w:rsidR="00000000" w:rsidRDefault="00051EC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использованию медицинской технологии</w:t>
      </w:r>
    </w:p>
    <w:p w14:paraId="1D5E5B89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47EA56E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</w:t>
      </w:r>
      <w:r>
        <w:rPr>
          <w:sz w:val="28"/>
          <w:szCs w:val="28"/>
        </w:rPr>
        <w:t>ные показания:</w:t>
      </w:r>
    </w:p>
    <w:p w14:paraId="0414EEB5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Решетчатая дистрофия:</w:t>
      </w:r>
    </w:p>
    <w:p w14:paraId="321642DD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 Решетчатая дистрофия с разрывами.</w:t>
      </w:r>
    </w:p>
    <w:p w14:paraId="1B0FD91A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 Решетчатая дистрофия на «парном» глазу больных с отслойкой сетчатки.</w:t>
      </w:r>
    </w:p>
    <w:p w14:paraId="4A08727E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 Решетчатая дистрофия на афакичном или артифакичном глазу.</w:t>
      </w:r>
    </w:p>
    <w:p w14:paraId="411D2085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.4.Решетчатая дистрофия при наличии жалоб б</w:t>
      </w:r>
      <w:r>
        <w:rPr>
          <w:sz w:val="28"/>
          <w:szCs w:val="28"/>
        </w:rPr>
        <w:t xml:space="preserve">ольного на фотопсии </w:t>
      </w:r>
      <w:r>
        <w:rPr>
          <w:sz w:val="28"/>
          <w:szCs w:val="28"/>
        </w:rPr>
        <w:lastRenderedPageBreak/>
        <w:t>(симптоматическая решетчатая дистрофия).</w:t>
      </w:r>
    </w:p>
    <w:p w14:paraId="15755281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 Прогрессирующее течение решетчатой дистрофии.</w:t>
      </w:r>
    </w:p>
    <w:p w14:paraId="50EADD94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Изолированные разрывы сетчатки:</w:t>
      </w:r>
    </w:p>
    <w:p w14:paraId="5D4351E1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 Все виды неблокированных разрывов сетчатки.</w:t>
      </w:r>
    </w:p>
    <w:p w14:paraId="7AA8F9C7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 Разрывы на «парном» глазу больных с отслойкой сетчатки.</w:t>
      </w:r>
    </w:p>
    <w:p w14:paraId="3F834DB7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>3. Разрывы на афакичном или артифакичном глазу.</w:t>
      </w:r>
    </w:p>
    <w:p w14:paraId="2B493A3A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.4.Разрывы при наличии жалоб больного на фотопсии Симптоматические разрывы).</w:t>
      </w:r>
    </w:p>
    <w:p w14:paraId="334B8742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.Ретиношизис:</w:t>
      </w:r>
    </w:p>
    <w:p w14:paraId="7390ADB0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.1.Кисты сетчатки.</w:t>
      </w:r>
    </w:p>
    <w:p w14:paraId="10643A6B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 Выраженная стадия ретиношизиса с выпадением в поле зрения.</w:t>
      </w:r>
    </w:p>
    <w:p w14:paraId="7021C98C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.3.Формирование разрывов в стенк</w:t>
      </w:r>
      <w:r>
        <w:rPr>
          <w:sz w:val="28"/>
          <w:szCs w:val="28"/>
        </w:rPr>
        <w:t>е ретиношизиса.</w:t>
      </w:r>
    </w:p>
    <w:p w14:paraId="5B3E064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.4.Прогрессирующее течение ретиношизиса.</w:t>
      </w:r>
    </w:p>
    <w:p w14:paraId="7583CCE6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Выраженная стадия Х-хромосомного ретиношизиса (древовидные структуры, периферический ретиношизис, места прикрепления витреальных шварт к сетчатке).</w:t>
      </w:r>
    </w:p>
    <w:p w14:paraId="5C587E1A" w14:textId="77777777" w:rsidR="00000000" w:rsidRDefault="00051ECE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14:paraId="49EA90AC" w14:textId="77777777" w:rsidR="00000000" w:rsidRDefault="00051EC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Противопоказания к использованию медицинской </w:t>
      </w:r>
      <w:r>
        <w:rPr>
          <w:sz w:val="28"/>
          <w:szCs w:val="28"/>
        </w:rPr>
        <w:t>технологии</w:t>
      </w:r>
    </w:p>
    <w:p w14:paraId="46BCFF89" w14:textId="77777777" w:rsidR="00000000" w:rsidRDefault="00051ECE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14:paraId="5BA3F792" w14:textId="77777777" w:rsidR="00000000" w:rsidRDefault="00051ECE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Общие:</w:t>
      </w:r>
    </w:p>
    <w:p w14:paraId="3C5D7CD9" w14:textId="77777777" w:rsidR="00000000" w:rsidRDefault="00051ECE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Тяжелое соматическое состояние</w:t>
      </w:r>
    </w:p>
    <w:p w14:paraId="698B5E61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Высокое некомпенсированное артериальное давление</w:t>
      </w:r>
    </w:p>
    <w:p w14:paraId="22B0AF5E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Некомпенсированный сахарный диабет</w:t>
      </w:r>
    </w:p>
    <w:p w14:paraId="6F4473D9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Острые инфекционные заболевания</w:t>
      </w:r>
    </w:p>
    <w:p w14:paraId="301D4FB5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Местные:</w:t>
      </w:r>
    </w:p>
    <w:p w14:paraId="6F87A09A" w14:textId="77777777" w:rsidR="00000000" w:rsidRDefault="00051ECE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Острые глазные инфекционные процессы</w:t>
      </w:r>
    </w:p>
    <w:p w14:paraId="41292995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Некомпенсированное повышенн</w:t>
      </w:r>
      <w:r>
        <w:rPr>
          <w:sz w:val="28"/>
          <w:szCs w:val="28"/>
        </w:rPr>
        <w:t>ое внутриглазное давление</w:t>
      </w:r>
    </w:p>
    <w:p w14:paraId="632D19DC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Недостаточная прозрачность преломляющих сред глаза, </w:t>
      </w:r>
      <w:r>
        <w:rPr>
          <w:sz w:val="28"/>
          <w:szCs w:val="28"/>
        </w:rPr>
        <w:lastRenderedPageBreak/>
        <w:t>препятствующая проведению лазерной коагуляции.</w:t>
      </w:r>
    </w:p>
    <w:p w14:paraId="5445F9DE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1B8F9789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медицинской технологии</w:t>
      </w:r>
    </w:p>
    <w:p w14:paraId="6EB52D19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378FF91D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Лампа щелевая </w:t>
      </w:r>
      <w:r>
        <w:rPr>
          <w:sz w:val="28"/>
          <w:szCs w:val="28"/>
          <w:lang w:val="en-US"/>
        </w:rPr>
        <w:t>SL</w:t>
      </w:r>
      <w:r>
        <w:rPr>
          <w:sz w:val="28"/>
          <w:szCs w:val="28"/>
        </w:rPr>
        <w:t xml:space="preserve">-250 фирмы </w:t>
      </w:r>
      <w:r>
        <w:rPr>
          <w:sz w:val="28"/>
          <w:szCs w:val="28"/>
          <w:lang w:val="en-US"/>
        </w:rPr>
        <w:t>Nidec</w:t>
      </w:r>
      <w:r>
        <w:rPr>
          <w:sz w:val="28"/>
          <w:szCs w:val="28"/>
        </w:rPr>
        <w:t xml:space="preserve">, Япония, рег. №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>. 92/155.</w:t>
      </w:r>
    </w:p>
    <w:p w14:paraId="2954B011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</w:t>
      </w:r>
      <w:r>
        <w:rPr>
          <w:sz w:val="28"/>
          <w:szCs w:val="28"/>
        </w:rPr>
        <w:t xml:space="preserve">ки лазерные офтальмологические </w:t>
      </w:r>
      <w:r>
        <w:rPr>
          <w:sz w:val="28"/>
          <w:szCs w:val="28"/>
          <w:lang w:val="en-US"/>
        </w:rPr>
        <w:t>Visual</w:t>
      </w:r>
      <w:r>
        <w:rPr>
          <w:sz w:val="28"/>
          <w:szCs w:val="28"/>
        </w:rPr>
        <w:t xml:space="preserve"> (532, 532 </w:t>
      </w:r>
      <w:r>
        <w:rPr>
          <w:sz w:val="28"/>
          <w:szCs w:val="28"/>
          <w:lang w:val="en-US"/>
        </w:rPr>
        <w:t>Combi</w:t>
      </w:r>
      <w:r>
        <w:rPr>
          <w:sz w:val="28"/>
          <w:szCs w:val="28"/>
        </w:rPr>
        <w:t xml:space="preserve">, 690. </w:t>
      </w:r>
      <w:r>
        <w:rPr>
          <w:sz w:val="28"/>
          <w:szCs w:val="28"/>
          <w:lang w:val="en-US"/>
        </w:rPr>
        <w:t>sc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Visulink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PDT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YAG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Plus</w:t>
      </w:r>
      <w:r>
        <w:rPr>
          <w:sz w:val="28"/>
          <w:szCs w:val="28"/>
        </w:rPr>
        <w:t xml:space="preserve">). Фирмы </w:t>
      </w:r>
      <w:r>
        <w:rPr>
          <w:sz w:val="28"/>
          <w:szCs w:val="28"/>
          <w:lang w:val="en-US"/>
        </w:rPr>
        <w:t>Carl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Zeiss</w:t>
      </w:r>
      <w:r>
        <w:rPr>
          <w:sz w:val="28"/>
          <w:szCs w:val="28"/>
        </w:rPr>
        <w:t>, Германия, рег.№ 2001/408.</w:t>
      </w:r>
    </w:p>
    <w:p w14:paraId="30F3508C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Лампа щелевая ЩЛ-3Г ТУ 3-3.2438-91, ПО «ЗОМЗ» г. Сергиев-Пасад, Россия, рег.№ 92/135-191.</w:t>
      </w:r>
    </w:p>
    <w:p w14:paraId="0165D292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офтальмологическая ла</w:t>
      </w:r>
      <w:r>
        <w:rPr>
          <w:sz w:val="28"/>
          <w:szCs w:val="28"/>
        </w:rPr>
        <w:t xml:space="preserve">зерная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YAG</w:t>
      </w:r>
      <w:r>
        <w:rPr>
          <w:sz w:val="28"/>
          <w:szCs w:val="28"/>
        </w:rPr>
        <w:t xml:space="preserve"> 3000 </w:t>
      </w:r>
      <w:r>
        <w:rPr>
          <w:sz w:val="28"/>
          <w:szCs w:val="28"/>
          <w:lang w:val="en-US"/>
        </w:rPr>
        <w:t>LE</w:t>
      </w:r>
      <w:r>
        <w:rPr>
          <w:sz w:val="28"/>
          <w:szCs w:val="28"/>
        </w:rPr>
        <w:t xml:space="preserve"> с комплектом принадлежностей, </w:t>
      </w:r>
      <w:r>
        <w:rPr>
          <w:sz w:val="28"/>
          <w:szCs w:val="28"/>
          <w:lang w:val="en-US"/>
        </w:rPr>
        <w:t>Alcon</w:t>
      </w:r>
      <w:r>
        <w:rPr>
          <w:sz w:val="28"/>
          <w:szCs w:val="28"/>
        </w:rPr>
        <w:t>, США, рег. № 96/977.</w:t>
      </w:r>
    </w:p>
    <w:p w14:paraId="3A4BD7FF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лазерная аргоновая офтальмологическая для коагуляции </w:t>
      </w:r>
      <w:r>
        <w:rPr>
          <w:sz w:val="28"/>
          <w:szCs w:val="28"/>
          <w:lang w:val="en-US"/>
        </w:rPr>
        <w:t>PC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EDD</w:t>
      </w:r>
      <w:r>
        <w:rPr>
          <w:sz w:val="28"/>
          <w:szCs w:val="28"/>
        </w:rPr>
        <w:t xml:space="preserve"> с комплектом принадлежностей </w:t>
      </w:r>
      <w:r>
        <w:rPr>
          <w:sz w:val="28"/>
          <w:szCs w:val="28"/>
          <w:lang w:val="en-US"/>
        </w:rPr>
        <w:t>HGM</w:t>
      </w:r>
      <w:r>
        <w:rPr>
          <w:sz w:val="28"/>
          <w:szCs w:val="28"/>
        </w:rPr>
        <w:t>, США, рег. № 97/909.</w:t>
      </w:r>
    </w:p>
    <w:p w14:paraId="0AAA2AE2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Мезатон - раствор для инъекций 1% (ампулы) 1 мл , Росс</w:t>
      </w:r>
      <w:r>
        <w:rPr>
          <w:sz w:val="28"/>
          <w:szCs w:val="28"/>
        </w:rPr>
        <w:t>ия, рег. № ( ФСП 42-0183-0994-01) 000507/01 - 2001, 26.06.01.</w:t>
      </w:r>
    </w:p>
    <w:p w14:paraId="3D3BC57E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Дикаина раствор 0,3% (глазные капли) Россия, рег.№ (ВФС 42-2215-93) 93/174/3.</w:t>
      </w:r>
    </w:p>
    <w:p w14:paraId="39143EC0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Дексаметазон- ЛЭИС капли глазные 0,1%. Россия, рег.№ (ФСП 42-0046-0533-00) 000230/01-2001,01.02.01.</w:t>
      </w:r>
    </w:p>
    <w:p w14:paraId="58B82CA2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Левомицетин-капл</w:t>
      </w:r>
      <w:r>
        <w:rPr>
          <w:sz w:val="28"/>
          <w:szCs w:val="28"/>
        </w:rPr>
        <w:t>и глазные 0,25% Россия, рег. № (ФСП 42-0382-3187-02) 002695/01-2003,30.06.03.</w:t>
      </w:r>
    </w:p>
    <w:p w14:paraId="2C95175F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6EAE6D27" w14:textId="77777777" w:rsidR="00000000" w:rsidRDefault="00051EC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медицинской технологии</w:t>
      </w:r>
    </w:p>
    <w:p w14:paraId="349E629C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3B39D4D0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больного сначала проводят тщательный сбор анамнестических и наследственных данных, после чего - традиционное офтальмологическое обсл</w:t>
      </w:r>
      <w:r>
        <w:rPr>
          <w:sz w:val="28"/>
          <w:szCs w:val="28"/>
        </w:rPr>
        <w:t xml:space="preserve">едование: визометрию, периметрию, биомикроскопию и офтальмоскопию. Осмотр периферии глазного дна проводят в условиях </w:t>
      </w:r>
      <w:r>
        <w:rPr>
          <w:sz w:val="28"/>
          <w:szCs w:val="28"/>
        </w:rPr>
        <w:lastRenderedPageBreak/>
        <w:t>максимального медикаментозного мидриаза с помощью трехзеркальной линзы Гольдмана. При выявлении ПВХРД на схему глазного дна с помощью услов</w:t>
      </w:r>
      <w:r>
        <w:rPr>
          <w:sz w:val="28"/>
          <w:szCs w:val="28"/>
        </w:rPr>
        <w:t>ных знаков, обозначающих различные виды ПВХРД, наносят локализацию и виды ПВХРД (см. приложение, рис. 1). Схема глазного дна с нанесенными на нее ПВХРД очень важна и удобна при диспансерном наблюдении за больными. Так с ее помощью при очередном контрольном</w:t>
      </w:r>
      <w:r>
        <w:rPr>
          <w:sz w:val="28"/>
          <w:szCs w:val="28"/>
        </w:rPr>
        <w:t xml:space="preserve"> осмотре можно определить появление новых зон дистрофий, истончений или разрывов сетчатки.</w:t>
      </w:r>
    </w:p>
    <w:p w14:paraId="34A5F6BF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активной профилактики отслойки сетчатки используют различные методы, однако, ведущая роль принадлежит методу лазерной коагуляции. Преимуществами этого метода</w:t>
      </w:r>
      <w:r>
        <w:rPr>
          <w:sz w:val="28"/>
          <w:szCs w:val="28"/>
        </w:rPr>
        <w:t xml:space="preserve"> являются: возможность выбрать оптимальный режим работы, максимальная защищенность здоровых тканей, доступность всех отделов глазного дна, проведение повторных сеансов, отсутствие строгого постельного режима после проведения процедуры, что делает возможным</w:t>
      </w:r>
      <w:r>
        <w:rPr>
          <w:sz w:val="28"/>
          <w:szCs w:val="28"/>
        </w:rPr>
        <w:t xml:space="preserve"> ее проведение в амбулаторных условиях.</w:t>
      </w:r>
    </w:p>
    <w:p w14:paraId="5DF7C64A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для лазеркоагуляции применяются диодные лазеры с длиной волны 532 нм. фирмы «</w:t>
      </w:r>
      <w:r>
        <w:rPr>
          <w:sz w:val="28"/>
          <w:szCs w:val="28"/>
          <w:lang w:val="en-US"/>
        </w:rPr>
        <w:t>Nikon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HGM</w:t>
      </w:r>
      <w:r>
        <w:rPr>
          <w:sz w:val="28"/>
          <w:szCs w:val="28"/>
        </w:rPr>
        <w:t>» и для доставки лазерного луча на сетчатку применяется линза Гольдмана, которая входит в комплект к лазерны</w:t>
      </w:r>
      <w:r>
        <w:rPr>
          <w:sz w:val="28"/>
          <w:szCs w:val="28"/>
        </w:rPr>
        <w:t>м установкам..</w:t>
      </w:r>
    </w:p>
    <w:p w14:paraId="057EFAF9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лазеркоагуляции основан на воздействии на нейроэпителий, пигментный эпителий и частично сосудистую оболочку глаза и возникновении слипчивого воспаления за счет перехода световой энергии в тепловую в зоне ее проведения с образованием ка</w:t>
      </w:r>
      <w:r>
        <w:rPr>
          <w:sz w:val="28"/>
          <w:szCs w:val="28"/>
        </w:rPr>
        <w:t>псулята (лазеркоагулята).</w:t>
      </w:r>
    </w:p>
    <w:p w14:paraId="736EE01F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мощности лазерного излучения определяется для каждого пациента индивидуально, в зависимости от пигментации глазного дна. Для этого вблизи зоны воздействия ставят пробный коагулят низкой мощности. Получив едва видимый коагуля</w:t>
      </w:r>
      <w:r>
        <w:rPr>
          <w:sz w:val="28"/>
          <w:szCs w:val="28"/>
        </w:rPr>
        <w:t xml:space="preserve">т беловатого цвета (коагулят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по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Esperence</w:t>
      </w:r>
      <w:r>
        <w:rPr>
          <w:sz w:val="28"/>
          <w:szCs w:val="28"/>
        </w:rPr>
        <w:t xml:space="preserve">) постепенно прибавляя мощность, а в некоторых случаях и экспозицию, добиваются получения четкого коагулята белого цвета (коагулят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степени по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Esperence</w:t>
      </w:r>
      <w:r>
        <w:rPr>
          <w:sz w:val="28"/>
          <w:szCs w:val="28"/>
        </w:rPr>
        <w:t>). После этого проводят непосредственную лазерк</w:t>
      </w:r>
      <w:r>
        <w:rPr>
          <w:sz w:val="28"/>
          <w:szCs w:val="28"/>
        </w:rPr>
        <w:t xml:space="preserve">оагуляцию сетчатки. Обычно мощность коагуляции варьирует от 100 до 300 </w:t>
      </w:r>
      <w:r>
        <w:rPr>
          <w:sz w:val="28"/>
          <w:szCs w:val="28"/>
          <w:lang w:val="en-US"/>
        </w:rPr>
        <w:t>mw</w:t>
      </w:r>
      <w:r>
        <w:rPr>
          <w:sz w:val="28"/>
          <w:szCs w:val="28"/>
        </w:rPr>
        <w:t>, экспозиция от 0,1 до 0,15 сек, площадь коагулята от 200 до 500 µ. При всех видах ПВХРД интервал между лазеркоагулятами равен 1-1,5 диаметра самого коагулята,</w:t>
      </w:r>
    </w:p>
    <w:p w14:paraId="7F98F1E7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Решетчатая дистрофия.</w:t>
      </w:r>
    </w:p>
    <w:p w14:paraId="298539CF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орфологически при решетчатой дистрофии выявляют 3 постоянных признака, которые определяют тактику лазеркоагуляции при ней.</w:t>
      </w:r>
    </w:p>
    <w:p w14:paraId="77077CA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Прогрессирующее истончение сетчатки в зоне решетчатой дистрофии.</w:t>
      </w:r>
    </w:p>
    <w:p w14:paraId="75463DA7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Разжижение стекловидного тела над зоной дистрофии.</w:t>
      </w:r>
    </w:p>
    <w:p w14:paraId="22B81CFE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.Выраженная в</w:t>
      </w:r>
      <w:r>
        <w:rPr>
          <w:sz w:val="28"/>
          <w:szCs w:val="28"/>
        </w:rPr>
        <w:t>итреальная конденсация с увеличением витреоретинального сращения по краям зоны поражения.</w:t>
      </w:r>
    </w:p>
    <w:p w14:paraId="0C3CF05A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Метотодика проведения лазеркоагуляции при решетчатой дистрофии</w:t>
      </w:r>
    </w:p>
    <w:p w14:paraId="18DD6964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морфологические признаки решетчатой дистрофии, лазеркоагуляты наносят в 1-2 ряда в шахматном п</w:t>
      </w:r>
      <w:r>
        <w:rPr>
          <w:sz w:val="28"/>
          <w:szCs w:val="28"/>
        </w:rPr>
        <w:t>орядке вокруг зоны дистрофии отступя 0,5-1 РД от ее границ с целью избежания усиления витреоретинальной тракции (см. приложение, рис. №2).</w:t>
      </w:r>
    </w:p>
    <w:p w14:paraId="0120D9C1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лазеркоагуляции при изолированных разрывах сетчатки.</w:t>
      </w:r>
    </w:p>
    <w:p w14:paraId="644E6BF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дырчатых разрывах и разрывах с крышечкой</w:t>
      </w:r>
      <w:r>
        <w:rPr>
          <w:sz w:val="28"/>
          <w:szCs w:val="28"/>
        </w:rPr>
        <w:t xml:space="preserve"> лазеркоагуляты наносят непосредственно по краям разрыва в 1-3 ряда в зависимости от размера разрыва. При клапанном разрыве лазеркоагуляты наносят вдоль края разрыва за исключением непосредственно самого клапана. В этой зоне лазеркоагуляты ставят на рассто</w:t>
      </w:r>
      <w:r>
        <w:rPr>
          <w:sz w:val="28"/>
          <w:szCs w:val="28"/>
        </w:rPr>
        <w:t>янии 1РД от края клапана для избежания перехода клапанного разрыва в зияющий разрыв типа «акулья пасть» (см. Приложение, рис. №3).</w:t>
      </w:r>
    </w:p>
    <w:p w14:paraId="2F910567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69890C7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лазеркоагуляции ретиношизиса</w:t>
      </w:r>
    </w:p>
    <w:p w14:paraId="49B03F72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097EC8D1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выраженной стадии ретиношизиса при выпадении поля зрения лазеркоагулят</w:t>
      </w:r>
      <w:r>
        <w:rPr>
          <w:sz w:val="28"/>
          <w:szCs w:val="28"/>
        </w:rPr>
        <w:t>ы наносят одним-двумя рядами в шахматном порядке вдоль границ ретиношизиса на расстоянии 0,5-1 РД для предотвращения увеличения витреоретинальной тракции. При буллёзной форме (кисты сетчатки) лазеркоагуляцию проводят в 2 этапа под контролем эхографии. Пере</w:t>
      </w:r>
      <w:r>
        <w:rPr>
          <w:sz w:val="28"/>
          <w:szCs w:val="28"/>
        </w:rPr>
        <w:t xml:space="preserve">д лазеркоагуляцией проводят эхографию глаза для определения высоты кисты сетчатки в мм после чего наносят коагуляты вдоль границы кисты 3 рядами в шахматном порядке при диаметре коагулята 200µк. После их пигментации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-м этапом ставят лазеркоагуляты по пов</w:t>
      </w:r>
      <w:r>
        <w:rPr>
          <w:sz w:val="28"/>
          <w:szCs w:val="28"/>
        </w:rPr>
        <w:t>ерхности кисты с диаметром коагулята 300 или 500µк. (см. Приложение, рис.4).Надо отметить, что при непосредственной коагуляции кисты требуется большая мощность (до 400- 600мв) и экспозиция (до 0,2 сек.), чем при остальных видах ПВХРД. Через 3 месяца повтор</w:t>
      </w:r>
      <w:r>
        <w:rPr>
          <w:sz w:val="28"/>
          <w:szCs w:val="28"/>
        </w:rPr>
        <w:t>яют эхографический контроль высоты кисты сетчатки: при ее уменьшении повторный сеанс лазеркоагуляции не проводят, так как киста может спадаться после первого сеанса лазеркоагуляции в течение 11 месяцев. Через очередные контрольные 3 месяца вновь определяют</w:t>
      </w:r>
      <w:r>
        <w:rPr>
          <w:sz w:val="28"/>
          <w:szCs w:val="28"/>
        </w:rPr>
        <w:t xml:space="preserve"> эхографически высоту кисты: если киста сетчатки продолжает уменьшаться - лазеркоагуляцию не проводят, если киста сетчатки осталась прежних размеров ( спадение кисты прекратилось) -проводят повторно лазеркоагуляцию по поверхности кисты. Таким образом, при </w:t>
      </w:r>
      <w:r>
        <w:rPr>
          <w:sz w:val="28"/>
          <w:szCs w:val="28"/>
        </w:rPr>
        <w:t>минимальной лазеркоагуляции получают максимальный эффект и предотвращают развитие осложнений.</w:t>
      </w:r>
    </w:p>
    <w:p w14:paraId="5FEAA994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Х-хромосомном ретиношизисе лазеркоагуляцию сетчатки проводят вдоль границ периферического ретиношизиса 2-3 рядами в шахматном порядке при размере коагулята 20</w:t>
      </w:r>
      <w:r>
        <w:rPr>
          <w:sz w:val="28"/>
          <w:szCs w:val="28"/>
        </w:rPr>
        <w:t>0µк., вокруг мест прикрепления витреальных шварт к сетчатке на расстоянии 0,5-1 РД от места прикрепления для предотвращения усиления тракции при размере коагулята</w:t>
      </w:r>
    </w:p>
    <w:p w14:paraId="487880AF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осложнения при использовании медицинской технологии и способы их устранения.</w:t>
      </w:r>
    </w:p>
    <w:p w14:paraId="51EDA552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наб</w:t>
      </w:r>
      <w:r>
        <w:rPr>
          <w:sz w:val="28"/>
          <w:szCs w:val="28"/>
        </w:rPr>
        <w:t>людались</w:t>
      </w:r>
    </w:p>
    <w:p w14:paraId="24EC1C46" w14:textId="77777777" w:rsidR="00000000" w:rsidRDefault="00051ECE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110568F9" w14:textId="77777777" w:rsidR="00000000" w:rsidRDefault="00051EC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медицинской технологии</w:t>
      </w:r>
    </w:p>
    <w:p w14:paraId="1798CD22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5C025F6D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3 года разработанная в Институте медицинская технология была проведена у 923 больных. Регматогенная отслойка сетчатки развилась у 6 больных (0,6%) в сроке от 2-х месяцев до 7 лет, что позволи</w:t>
      </w:r>
      <w:r>
        <w:rPr>
          <w:sz w:val="28"/>
          <w:szCs w:val="28"/>
        </w:rPr>
        <w:t>ло резко снизить частоту развития отслойки сетчатки. Применение медицинской технологии позволило предотвратить развитие таких грозных осложнений как непрямое повреждение макулы. Учитывая, что в основном регматогенная отслойка сетчатки развивается у лиц тру</w:t>
      </w:r>
      <w:r>
        <w:rPr>
          <w:sz w:val="28"/>
          <w:szCs w:val="28"/>
        </w:rPr>
        <w:t>доспособного возраста, медицинская технология позволила резко снизить риск развития регматогенной отслойки сетчатки и соответственно уменьшить частоту слепоты и слабовидения при этом заболевании. Снижение инвалидности при отслойке сетчатки после использова</w:t>
      </w:r>
      <w:r>
        <w:rPr>
          <w:sz w:val="28"/>
          <w:szCs w:val="28"/>
        </w:rPr>
        <w:t>ния данной технологии имеет большую социально-экономическую значимость, учитывая молодой и средний возраст большей части пролеченных больных.</w:t>
      </w:r>
    </w:p>
    <w:p w14:paraId="6213BCC6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2A3DF284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литературы</w:t>
      </w:r>
    </w:p>
    <w:p w14:paraId="258D6BBA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3D6A73C5" w14:textId="77777777" w:rsidR="00000000" w:rsidRDefault="00051ECE">
      <w:pPr>
        <w:tabs>
          <w:tab w:val="left" w:pos="188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Саксонова Е.О., Елисеева Р.Ф., Нестеров С.А. « О классификации периферических витреохорио</w:t>
      </w:r>
      <w:r>
        <w:rPr>
          <w:sz w:val="28"/>
          <w:szCs w:val="28"/>
        </w:rPr>
        <w:t xml:space="preserve">ретинальных дистрофий». Материалы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Всесоюзного съезда офтальмологов, Москва, 1979, том3, стр.106-108.</w:t>
      </w:r>
    </w:p>
    <w:p w14:paraId="37E8250F" w14:textId="77777777" w:rsidR="00000000" w:rsidRDefault="00051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Захарова Г.Ю. «Клинико-генетические исследования периферических витреохориоретинальных дистрофий и отслойки сетчатки». Диссертация на соискание ученой</w:t>
      </w:r>
      <w:r>
        <w:rPr>
          <w:sz w:val="28"/>
          <w:szCs w:val="28"/>
        </w:rPr>
        <w:t xml:space="preserve"> степени канд. мед. наук, Москва, 1983г.</w:t>
      </w:r>
    </w:p>
    <w:p w14:paraId="5FE277C8" w14:textId="77777777" w:rsidR="00000000" w:rsidRDefault="00051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Захаров В.Д. «Хирургия отслойки сетчатки» Диссертация на соискание ученой степени доктора мед. наук, Москва, 1985г.</w:t>
      </w:r>
    </w:p>
    <w:p w14:paraId="0E1A0A80" w14:textId="77777777" w:rsidR="00000000" w:rsidRDefault="00051EC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Byer N.E. “The natural histology of asymptomatic retinal breaks” Trans.Amer.Acad. Ophthal.Otol</w:t>
      </w:r>
      <w:r>
        <w:rPr>
          <w:sz w:val="28"/>
          <w:szCs w:val="28"/>
          <w:lang w:val="en-US"/>
        </w:rPr>
        <w:t>aryng.1982, v. 83, N 9, p. 1033-1039.</w:t>
      </w:r>
    </w:p>
    <w:p w14:paraId="181197FC" w14:textId="77777777" w:rsidR="00000000" w:rsidRDefault="00051EC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Davis M.D, “Natural history of retinal breaks without detachment” Arch. Ophthal., 1974, v. 92, N 3, p. 183-194.</w:t>
      </w:r>
    </w:p>
    <w:p w14:paraId="76005CF6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6FB2EF9" w14:textId="77777777" w:rsidR="00000000" w:rsidRDefault="00051EC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6D45C59F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4"/>
        <w:gridCol w:w="425"/>
        <w:gridCol w:w="1559"/>
        <w:gridCol w:w="3077"/>
      </w:tblGrid>
      <w:tr w:rsidR="00000000" w14:paraId="68005529" w14:textId="77777777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4353" w14:textId="177438B9" w:rsidR="00000000" w:rsidRDefault="006021E2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619FB01" wp14:editId="6749DB70">
                  <wp:extent cx="2247900" cy="2238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839F" w14:textId="77777777" w:rsidR="00000000" w:rsidRDefault="00051ECE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34A4" w14:textId="77777777" w:rsidR="00000000" w:rsidRDefault="0005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Условные обозначения ПВХРД: </w:t>
            </w:r>
          </w:p>
        </w:tc>
      </w:tr>
      <w:tr w:rsidR="00000000" w14:paraId="756B6446" w14:textId="77777777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0113" w14:textId="77777777" w:rsidR="00000000" w:rsidRDefault="00051E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276C" w14:textId="77777777" w:rsidR="00000000" w:rsidRDefault="00051EC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14E7" w14:textId="42CD0F3C" w:rsidR="00000000" w:rsidRDefault="006021E2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DBF4275" wp14:editId="7B6A946D">
                  <wp:extent cx="590550" cy="200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C45F" w14:textId="77777777" w:rsidR="00000000" w:rsidRDefault="0005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Решетчатая дистрофия</w:t>
            </w:r>
          </w:p>
        </w:tc>
      </w:tr>
      <w:tr w:rsidR="00000000" w14:paraId="19AC66F6" w14:textId="77777777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C39F" w14:textId="77777777" w:rsidR="00000000" w:rsidRDefault="00051E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7DB6" w14:textId="77777777" w:rsidR="00000000" w:rsidRDefault="00051EC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6583" w14:textId="2FACABE3" w:rsidR="00000000" w:rsidRDefault="006021E2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D656E53" wp14:editId="62F016EF">
                  <wp:extent cx="68580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4DDA" w14:textId="77777777" w:rsidR="00000000" w:rsidRDefault="0005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Разрывы сетчатки</w:t>
            </w:r>
          </w:p>
        </w:tc>
      </w:tr>
      <w:tr w:rsidR="00000000" w14:paraId="26B0C03B" w14:textId="77777777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98C7" w14:textId="77777777" w:rsidR="00000000" w:rsidRDefault="00051E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C09D" w14:textId="77777777" w:rsidR="00000000" w:rsidRDefault="00051EC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3B52" w14:textId="4365A8C1" w:rsidR="00000000" w:rsidRDefault="006021E2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7464EAE" wp14:editId="098160A7">
                  <wp:extent cx="714375" cy="180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B566" w14:textId="77777777" w:rsidR="00000000" w:rsidRDefault="0005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Ретиношизис</w:t>
            </w:r>
          </w:p>
        </w:tc>
      </w:tr>
      <w:tr w:rsidR="00000000" w14:paraId="02FCB48C" w14:textId="77777777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576C" w14:textId="77777777" w:rsidR="00000000" w:rsidRDefault="00051E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A8B8" w14:textId="77777777" w:rsidR="00000000" w:rsidRDefault="00051EC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768F" w14:textId="1BE7C8C6" w:rsidR="00000000" w:rsidRDefault="006021E2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F452B98" wp14:editId="4DC50F46">
                  <wp:extent cx="609600" cy="2571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0C03" w14:textId="77777777" w:rsidR="00000000" w:rsidRDefault="0005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Хориоретинальная атрофия</w:t>
            </w:r>
          </w:p>
        </w:tc>
      </w:tr>
      <w:tr w:rsidR="00000000" w14:paraId="0EB44F04" w14:textId="77777777">
        <w:tblPrEx>
          <w:tblCellMar>
            <w:top w:w="0" w:type="dxa"/>
            <w:bottom w:w="0" w:type="dxa"/>
          </w:tblCellMar>
        </w:tblPrEx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103D" w14:textId="77777777" w:rsidR="00000000" w:rsidRDefault="00051E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C28A" w14:textId="77777777" w:rsidR="00000000" w:rsidRDefault="00051EC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F277" w14:textId="230FF0CE" w:rsidR="00000000" w:rsidRDefault="006021E2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BA663E0" wp14:editId="3D669286">
                  <wp:extent cx="790575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79E7" w14:textId="77777777" w:rsidR="00000000" w:rsidRDefault="0005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Патологическая гиперпигментация</w:t>
            </w:r>
          </w:p>
        </w:tc>
      </w:tr>
    </w:tbl>
    <w:p w14:paraId="3647F37E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 Схема гл</w:t>
      </w:r>
      <w:r>
        <w:rPr>
          <w:sz w:val="28"/>
          <w:szCs w:val="28"/>
        </w:rPr>
        <w:t>азного дна и условные обозначения различных видов ПВХРД</w:t>
      </w:r>
    </w:p>
    <w:p w14:paraId="0154F49B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33388AE4" w14:textId="71436485" w:rsidR="00000000" w:rsidRDefault="006021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525361" wp14:editId="078E1835">
            <wp:extent cx="4162425" cy="407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52998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 Схема лазеркоагуляции решетчатой дистрофии</w:t>
      </w:r>
    </w:p>
    <w:p w14:paraId="61896640" w14:textId="62949203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21E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558342" wp14:editId="5D355897">
            <wp:extent cx="4162425" cy="407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8604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рис.3 Схема лазеркоагуляции при различных видах разрывов</w:t>
      </w:r>
    </w:p>
    <w:p w14:paraId="67364B06" w14:textId="77777777" w:rsidR="00000000" w:rsidRDefault="00051ECE">
      <w:pPr>
        <w:spacing w:line="360" w:lineRule="auto"/>
        <w:ind w:firstLine="709"/>
        <w:jc w:val="both"/>
        <w:rPr>
          <w:sz w:val="28"/>
          <w:szCs w:val="28"/>
        </w:rPr>
      </w:pPr>
    </w:p>
    <w:p w14:paraId="28E923E3" w14:textId="3ECA55D7" w:rsidR="00000000" w:rsidRDefault="006021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995EB4" wp14:editId="39459DFA">
            <wp:extent cx="4162425" cy="3705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274DD" w14:textId="77777777" w:rsidR="00051ECE" w:rsidRDefault="00051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рис.4 Схема лазеркоагуляции ретиношизиса</w:t>
      </w:r>
    </w:p>
    <w:sectPr w:rsidR="00051E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E2"/>
    <w:rsid w:val="00051ECE"/>
    <w:rsid w:val="0060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40B8B"/>
  <w14:defaultImageDpi w14:val="0"/>
  <w15:docId w15:val="{A23CC6FD-B2F0-4E2C-9929-18A64560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3444</Words>
  <Characters>19633</Characters>
  <Application>Microsoft Office Word</Application>
  <DocSecurity>0</DocSecurity>
  <Lines>163</Lines>
  <Paragraphs>46</Paragraphs>
  <ScaleCrop>false</ScaleCrop>
  <Company/>
  <LinksUpToDate>false</LinksUpToDate>
  <CharactersWithSpaces>23031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2024-12-04T12:37:00Z</dcterms:created>
  <dcterms:modified xsi:type="dcterms:W3CDTF">2024-12-04T12:37:00Z</dcterms:modified>
</cp:coreProperties>
</file>