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69E6" w14:textId="77777777" w:rsidR="00000000" w:rsidRDefault="00910C7B">
      <w:pPr>
        <w:keepLines/>
        <w:shd w:val="clear" w:color="auto" w:fill="FFFFFF"/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Министерство Здравоохранения и социального развития</w:t>
      </w:r>
    </w:p>
    <w:p w14:paraId="5C805845" w14:textId="77777777" w:rsidR="00000000" w:rsidRDefault="00910C7B">
      <w:pPr>
        <w:keepLines/>
        <w:shd w:val="clear" w:color="auto" w:fill="FFFFFF"/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Российской Федерации</w:t>
      </w:r>
    </w:p>
    <w:p w14:paraId="42C7465A" w14:textId="77777777" w:rsidR="00000000" w:rsidRDefault="00910C7B">
      <w:pPr>
        <w:keepLines/>
        <w:shd w:val="clear" w:color="auto" w:fill="FFFFFF"/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"ГБОУ ВПО Сибирский государственный медицинский университет"</w:t>
      </w:r>
    </w:p>
    <w:p w14:paraId="71E2CB20" w14:textId="77777777" w:rsidR="00000000" w:rsidRDefault="00910C7B">
      <w:pPr>
        <w:keepLines/>
        <w:shd w:val="clear" w:color="auto" w:fill="FFFFFF"/>
        <w:suppressAutoHyphens/>
        <w:spacing w:line="36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Кафедра гистологии, эмбриологии и цитологии</w:t>
      </w:r>
    </w:p>
    <w:p w14:paraId="24978210" w14:textId="77777777" w:rsidR="00000000" w:rsidRDefault="00910C7B">
      <w:pPr>
        <w:keepLines/>
        <w:shd w:val="clear" w:color="auto" w:fill="FFFFFF"/>
        <w:suppressAutoHyphens/>
        <w:spacing w:line="360" w:lineRule="auto"/>
        <w:jc w:val="center"/>
        <w:rPr>
          <w:kern w:val="3"/>
          <w:sz w:val="28"/>
          <w:szCs w:val="28"/>
        </w:rPr>
      </w:pPr>
    </w:p>
    <w:p w14:paraId="636567F7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4526BDC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900BDCD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C7E2403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E3845F5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3FE08AB1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2435751B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31DA4741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1DEC562B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0EB26306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Реферат:</w:t>
      </w:r>
    </w:p>
    <w:p w14:paraId="6C8DA7E1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«Нейгородегенеративные изменения коры при болезни Альцгейм</w:t>
      </w:r>
      <w:r>
        <w:rPr>
          <w:sz w:val="28"/>
          <w:szCs w:val="28"/>
        </w:rPr>
        <w:t>ера»</w:t>
      </w:r>
    </w:p>
    <w:p w14:paraId="116E669E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36362E3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6D56DBE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4DFCC3E" w14:textId="77777777" w:rsidR="00000000" w:rsidRDefault="00910C7B">
      <w:pPr>
        <w:keepLines/>
        <w:shd w:val="clear" w:color="auto" w:fill="FFFFFF"/>
        <w:suppressAutoHyphens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Выполнила: студентка 2 курса</w:t>
      </w:r>
    </w:p>
    <w:p w14:paraId="78AB4588" w14:textId="77777777" w:rsidR="00000000" w:rsidRDefault="00910C7B">
      <w:pPr>
        <w:keepLines/>
        <w:shd w:val="clear" w:color="auto" w:fill="FFFFFF"/>
        <w:suppressAutoHyphens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группы 1312 лечебного факультета</w:t>
      </w:r>
    </w:p>
    <w:p w14:paraId="5D975888" w14:textId="77777777" w:rsidR="00000000" w:rsidRDefault="00910C7B">
      <w:pPr>
        <w:keepLines/>
        <w:shd w:val="clear" w:color="auto" w:fill="FFFFFF"/>
        <w:suppressAutoHyphens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Старшова Наталья Эдуардовна</w:t>
      </w:r>
    </w:p>
    <w:p w14:paraId="122C496D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809A347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4C9BBFA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A3D2FDA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861835A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2FF906A3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F80671D" w14:textId="77777777" w:rsidR="00000000" w:rsidRDefault="00910C7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Томск-2014</w:t>
      </w:r>
    </w:p>
    <w:p w14:paraId="7C00C3CF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Данное заболевание является одной из ведущих причин деменции в современном обществе и, вследствие этого, представляет собой социально значи</w:t>
      </w:r>
      <w:r>
        <w:rPr>
          <w:sz w:val="28"/>
          <w:szCs w:val="28"/>
        </w:rPr>
        <w:t>мую проблему. Клинически несколько чаще встречается у женщин.</w:t>
      </w:r>
    </w:p>
    <w:p w14:paraId="4464DB34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картина.</w:t>
      </w:r>
    </w:p>
    <w:p w14:paraId="6C3A2F3B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Проявляется прогрессирующим распадом когнитивных функций, среди которых первое место занимают нарушения памяти. Возможны острые психотические эпизоды - бред, галлюцинации, д</w:t>
      </w:r>
      <w:r>
        <w:rPr>
          <w:sz w:val="28"/>
          <w:szCs w:val="28"/>
        </w:rPr>
        <w:t>елирий. Реже встречаются гиперкинетические расстройства и синдром паркинсонизма, эписиндром.</w:t>
      </w:r>
    </w:p>
    <w:p w14:paraId="0F32E65E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прогрессирующие симптомы деменции: деградации интеллекта и памяти вплоть до полной потери способностей к узнаванию, ориентировке в пространстве и времени</w:t>
      </w:r>
      <w:r>
        <w:rPr>
          <w:sz w:val="28"/>
          <w:szCs w:val="28"/>
        </w:rPr>
        <w:t xml:space="preserve"> - больные теряются в новой обстановке и могут заблудиться во время прогулки или вождения автомобиля. Начинают наблюдаться расстройства речи, особенно понимание чужой речи и называние предметов. В некоторых случаях выраженная афазия появляется уже в начале</w:t>
      </w:r>
      <w:r>
        <w:rPr>
          <w:sz w:val="28"/>
          <w:szCs w:val="28"/>
        </w:rPr>
        <w:t xml:space="preserve"> заболевания.</w:t>
      </w:r>
    </w:p>
    <w:p w14:paraId="2EBC6869" w14:textId="77777777" w:rsidR="00000000" w:rsidRDefault="00910C7B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14:paraId="0CFE49D5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МКБ - 10 выделяют пресенильную и сенильную формы болезни Альцгеймера. О пресенильной форме говорят при начале заболевания в возрасте до 65 лет, а о сенильной форме - при начале после 65 лет.</w:t>
      </w:r>
    </w:p>
    <w:p w14:paraId="12632103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разделение отражает пр</w:t>
      </w:r>
      <w:r>
        <w:rPr>
          <w:sz w:val="28"/>
          <w:szCs w:val="28"/>
        </w:rPr>
        <w:t>едставления прошлых лет, когда предполагали, что первичные дегенеративные деменции с началом в раннем и позднем возрасте представляют собой два разных заболевания. Пресенильную форму называли собственно болезнью Альцгеймера, а сенильную форму - сенильной д</w:t>
      </w:r>
      <w:r>
        <w:rPr>
          <w:sz w:val="28"/>
          <w:szCs w:val="28"/>
        </w:rPr>
        <w:t>еменцией альцгеймеровского типа или просто сенильной деменцией. Сегодня исходя из единства морфологии и пресенильную, и сенильную форму деменции рассматривают как одно заболевание и обозначают термином «болезнь Альцгеймера».</w:t>
      </w:r>
    </w:p>
    <w:p w14:paraId="7FF61F24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нельзя отрицать су</w:t>
      </w:r>
      <w:r>
        <w:rPr>
          <w:sz w:val="28"/>
          <w:szCs w:val="28"/>
        </w:rPr>
        <w:t xml:space="preserve">щественных клинических различий </w:t>
      </w:r>
      <w:r>
        <w:rPr>
          <w:sz w:val="28"/>
          <w:szCs w:val="28"/>
        </w:rPr>
        <w:lastRenderedPageBreak/>
        <w:t>между пресенильной и сенильной формами болезни Альцгеймера. Пресенильная форма характеризуется более быстрым прогрессированием и ранним присоединением афазии, апраксии и агнозии, в большинстве случаев можно проследить семейн</w:t>
      </w:r>
      <w:r>
        <w:rPr>
          <w:sz w:val="28"/>
          <w:szCs w:val="28"/>
        </w:rPr>
        <w:t>ый анамнез заболевания. Сенильная болезнь Альцгеймера прогрессирует медленнее, нарушения памяти длительное время остаются главным симптомом, в то время как другие когнитивные нарушения представлены мягко, семейный анамнез обычно не прослеживается (табл. 1)</w:t>
      </w:r>
      <w:r>
        <w:rPr>
          <w:sz w:val="28"/>
          <w:szCs w:val="28"/>
        </w:rPr>
        <w:t>.</w:t>
      </w:r>
    </w:p>
    <w:p w14:paraId="2015AAFB" w14:textId="77777777" w:rsidR="00000000" w:rsidRDefault="00910C7B">
      <w:pPr>
        <w:pStyle w:val="3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A4D1F3E" w14:textId="77777777" w:rsidR="00000000" w:rsidRDefault="00910C7B">
      <w:pPr>
        <w:pStyle w:val="3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Различия между пресенильной и сенильной формами болезни Альцгеймера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5"/>
        <w:gridCol w:w="2354"/>
        <w:gridCol w:w="4815"/>
      </w:tblGrid>
      <w:tr w:rsidR="00000000" w14:paraId="337F93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9956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7658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Пресенильная форма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02C8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Сенильная форма</w:t>
            </w:r>
          </w:p>
        </w:tc>
      </w:tr>
      <w:tr w:rsidR="00000000" w14:paraId="0F89AA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4A0A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анамнез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43A3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B488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</w:tr>
      <w:tr w:rsidR="00000000" w14:paraId="589ACF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F2F0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картина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A898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памяти, выраженные афазия, апраксия, агнозия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AD08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Доминируют нарушения памяти</w:t>
            </w:r>
          </w:p>
        </w:tc>
      </w:tr>
      <w:tr w:rsidR="00000000" w14:paraId="041D55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48DB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рогрессирование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DBA4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Быстрое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F381" w14:textId="77777777" w:rsidR="00000000" w:rsidRDefault="00910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Медленное, возможны периоды стабилизации (плато)</w:t>
            </w:r>
          </w:p>
        </w:tc>
      </w:tr>
    </w:tbl>
    <w:p w14:paraId="747682E5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1887991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</w:t>
      </w:r>
    </w:p>
    <w:p w14:paraId="6BAC5237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современным представлениям болезнь Альцгеймера - генетически детерминированное заболевание. На сегодняшний день точно установлено четыре патологических гена, носи</w:t>
      </w:r>
      <w:r>
        <w:rPr>
          <w:sz w:val="28"/>
          <w:szCs w:val="28"/>
        </w:rPr>
        <w:t>тельство которых связано с высоким риском болезни Альцгеймера:</w:t>
      </w:r>
    </w:p>
    <w:p w14:paraId="4CDAFE11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• ген, кодирующий предшественник амилоидного белка (хромосома 21);</w:t>
      </w:r>
    </w:p>
    <w:p w14:paraId="0851C1BF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• пресенилин-1 (хромосома 14);</w:t>
      </w:r>
    </w:p>
    <w:p w14:paraId="4382819F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• пресенилин-2 (хромосома 1);</w:t>
      </w:r>
    </w:p>
    <w:p w14:paraId="00B38450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ген, кодирующий аполипопротеин Е-4 (хромосома 19).</w:t>
      </w:r>
    </w:p>
    <w:p w14:paraId="01E7927C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</w:t>
      </w:r>
      <w:r>
        <w:rPr>
          <w:sz w:val="28"/>
          <w:szCs w:val="28"/>
        </w:rPr>
        <w:t xml:space="preserve">сок риск болезни Альцгеймера у носителей гена, кодирующего предшественник амилоидного белка, - пресенилин - 1 и пресенилин - 2. Носительство указанных генов означает почти 100% вероятность развития болезни Альцгеймера в возрастном промежутке между 40 и 65 </w:t>
      </w:r>
      <w:r>
        <w:rPr>
          <w:sz w:val="28"/>
          <w:szCs w:val="28"/>
        </w:rPr>
        <w:t>годами (пресенильная форма).</w:t>
      </w:r>
    </w:p>
    <w:p w14:paraId="2BEB52FA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Носительство гена, кодирующего аполипопротеин Е-4, связано с повышенным риском развития болезни Альцгеймера после 65 лет (сенильная форма). Оно увеличивает риск болезни Альцгеймера приблизительно вдвое. Так, в возрастной группе</w:t>
      </w:r>
      <w:r>
        <w:rPr>
          <w:sz w:val="28"/>
          <w:szCs w:val="28"/>
        </w:rPr>
        <w:t xml:space="preserve"> 80-84 года заболеваемость в течение 1 года среди носителей гена аполипопротеина Е-4 составляет 5,6%, в то время как у лиц без этого гена - 2,9%.</w:t>
      </w:r>
    </w:p>
    <w:p w14:paraId="7DDAFB12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болезни Альцгеймера, в отличие от всех других нейродегенеративных заболеваний, максимальные изменения опре</w:t>
      </w:r>
      <w:r>
        <w:rPr>
          <w:sz w:val="28"/>
          <w:szCs w:val="28"/>
        </w:rPr>
        <w:t xml:space="preserve">деляются в гиппокампах. </w:t>
      </w:r>
    </w:p>
    <w:p w14:paraId="54DEE693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для диагностики используются специальные программы высокого разрешения с прицельным исследованием височных долей.</w:t>
      </w:r>
    </w:p>
    <w:p w14:paraId="06406F65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 корональных томограммах при прицельном исследовании височных долей определяется асимметрич</w:t>
      </w:r>
      <w:r>
        <w:rPr>
          <w:sz w:val="28"/>
          <w:szCs w:val="28"/>
        </w:rPr>
        <w:t>ная атрофия гиппокампов с истончением коры, расширением щелей Биша с двух сторон и височных рогов боковых желудочков. Эти изменения являются наиболее ранними. Также выявляется атрофия теменных и затылочных долей с расширением субарахноидальных пространств.</w:t>
      </w:r>
      <w:r>
        <w:rPr>
          <w:sz w:val="28"/>
          <w:szCs w:val="28"/>
        </w:rPr>
        <w:t xml:space="preserve"> </w:t>
      </w:r>
    </w:p>
    <w:p w14:paraId="70FE2EEF" w14:textId="77777777" w:rsidR="00000000" w:rsidRDefault="00910C7B">
      <w:pPr>
        <w:shd w:val="clear" w:color="auto" w:fill="FFFFFF"/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25B7E55" w14:textId="01A071F5" w:rsidR="00000000" w:rsidRDefault="00D70A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C8C8B" wp14:editId="026541F8">
            <wp:extent cx="3305175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784A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 1 </w:t>
      </w:r>
    </w:p>
    <w:p w14:paraId="0BB5A0ED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болезнь альцгеймер метаболизм ген</w:t>
      </w:r>
    </w:p>
    <w:p w14:paraId="51EB6941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F31D58D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Выраженная атрофия на уровне крючка и тел гиппокампа справа с истончением коры и белого вещества и расширением височного рога и гиппокампальной щели.</w:t>
      </w:r>
    </w:p>
    <w:p w14:paraId="45DA747D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68B3B952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Альц</w:t>
      </w:r>
      <w:r>
        <w:rPr>
          <w:sz w:val="28"/>
          <w:szCs w:val="28"/>
        </w:rPr>
        <w:t>геймера поражает в первую очередь нервные клетки височной доли коры головного мозга игиппокампа (контролирующих память). Также нарушены следующие отделы мозга:</w:t>
      </w:r>
    </w:p>
    <w:p w14:paraId="51D97DCB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лобная доля, отвечающая за принятие решений, индивидуальность, движение, речь;</w:t>
      </w:r>
    </w:p>
    <w:p w14:paraId="1FBBAA04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теменная доля, ко</w:t>
      </w:r>
      <w:r>
        <w:rPr>
          <w:sz w:val="28"/>
          <w:szCs w:val="28"/>
        </w:rPr>
        <w:t>нтролирующая речь, тактильные, болевые, пространственные и температурные ощущения;</w:t>
      </w:r>
    </w:p>
    <w:p w14:paraId="7D762A0D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миндалина (отвечающая за эмоциональный контроль).</w:t>
      </w:r>
    </w:p>
    <w:p w14:paraId="39382351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Обнаружение нескольких генов БА объясняет клиническую гетерогенность симптомов БА. Будучи этиологически гетерогенным заболе</w:t>
      </w:r>
      <w:r>
        <w:rPr>
          <w:sz w:val="28"/>
          <w:szCs w:val="28"/>
        </w:rPr>
        <w:t>ванием, БА характеризуется одним общим патологическим фенотипом - прогрессирующей деменцией.</w:t>
      </w:r>
    </w:p>
    <w:p w14:paraId="39AFB829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Ключевое звено патогенеза болезни Альцгеймера - нарушение метаболизма предшественника амилоидного белка.</w:t>
      </w:r>
    </w:p>
    <w:p w14:paraId="2538DFA7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микроскопическом исследовании обнаруживаются два основ</w:t>
      </w:r>
      <w:r>
        <w:rPr>
          <w:sz w:val="28"/>
          <w:szCs w:val="28"/>
        </w:rPr>
        <w:t xml:space="preserve">ных гистологических признака болезни Альцгеймера: </w:t>
      </w:r>
    </w:p>
    <w:p w14:paraId="11E8CC95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амилоидные (сенильные) бляшки в паренхиме мозга, главным компонентом которых являются фибриллярные агрегаты гидрофобного пептида (амилоида, состоящего из 39-43 аминокислот); </w:t>
      </w:r>
    </w:p>
    <w:p w14:paraId="2AFD2B79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нейрофибриллярные клубки, </w:t>
      </w:r>
      <w:r>
        <w:rPr>
          <w:sz w:val="28"/>
          <w:szCs w:val="28"/>
        </w:rPr>
        <w:t>представляющие собой спаянные попарно скрученные филаменты измененных нейронов, легко выявляемые при импрегнации серебром. Характерно также выпадение нейронов, глиоз, наличие единичных телец Леви. Отмеченные изменения наиболее выражены в коре больших полуш</w:t>
      </w:r>
      <w:r>
        <w:rPr>
          <w:sz w:val="28"/>
          <w:szCs w:val="28"/>
        </w:rPr>
        <w:t>арий и гиппокампе.</w:t>
      </w:r>
    </w:p>
    <w:p w14:paraId="4D799567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Сенильные бляшки представляют собой нерастворимые сферические образования диаметром около 0,2 мм состоящие из нескольких белков, в том числе, альфа-антихимотрипсина, АPOЕ, бета-амилоида (Абета42) (накопление Абета42 в паренхиме наблюдает</w:t>
      </w:r>
      <w:r>
        <w:rPr>
          <w:sz w:val="28"/>
          <w:szCs w:val="28"/>
        </w:rPr>
        <w:t>ся при начале развития БА и, по-видимому, инициирует формирование белковых агрегатов Амилоидные бляшки часто окружают капилляры и более крупные сосуды и встречаются в основном в коре головного мозга, а также в некоторых других структурах мозга.</w:t>
      </w:r>
    </w:p>
    <w:p w14:paraId="4C655F18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пре</w:t>
      </w:r>
      <w:r>
        <w:rPr>
          <w:sz w:val="28"/>
          <w:szCs w:val="28"/>
        </w:rPr>
        <w:t xml:space="preserve">дшественник амилоидного белка расщепляется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-секретазой на одинаковые по величине полипептиды (непатогенные). При генетической дефектности этого белка или дефектности ферментных систем предшественник амилоидного белка расщепляется на различные по длине фра</w:t>
      </w:r>
      <w:r>
        <w:rPr>
          <w:sz w:val="28"/>
          <w:szCs w:val="28"/>
        </w:rPr>
        <w:t>гменты. При этом длинные фрагменты являются нерастворимыми и поэтому откладываются в паренхиме головного мозга и стенках церебральных сосудов (стадия диффузного церебрального амилоидоза). Далее в паренхиме головного мозга происходит агрегация нерастворимых</w:t>
      </w:r>
      <w:r>
        <w:rPr>
          <w:sz w:val="28"/>
          <w:szCs w:val="28"/>
        </w:rPr>
        <w:t xml:space="preserve"> фрагментов в патологический белок -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 xml:space="preserve">-амилоид. «Гнёздные» отложения этого белка в паренхиме головного мозга называют сенильными бляшками.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 xml:space="preserve">-Амилоид обладает нейротоксическими свойствами.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-амилоид активирует тканевые медиаторы воспаления, усиливает выброс</w:t>
      </w:r>
      <w:r>
        <w:rPr>
          <w:sz w:val="28"/>
          <w:szCs w:val="28"/>
        </w:rPr>
        <w:t xml:space="preserve"> возбуждающих медиаторов, способствует повышенному образованию свободных радикалов. Результатом всего этого сложного каскада процессов становится повреждение и гибель нейронов. При этом в первую очередь и в наибольшей степени страдают нейроны, окружающие с</w:t>
      </w:r>
      <w:r>
        <w:rPr>
          <w:sz w:val="28"/>
          <w:szCs w:val="28"/>
        </w:rPr>
        <w:t>енильные бляшки.</w:t>
      </w:r>
    </w:p>
    <w:p w14:paraId="67FDEAEA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Нейрофибриллярные клубки - это внутриклеточные включения, состоящие из гиперфосфорилированного тау-протеина и нейрофибрилл. </w:t>
      </w:r>
    </w:p>
    <w:p w14:paraId="132A12FD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норме тау-протеин входит в состав внутренней нейрональной мембраны, образуя цитоскелет, скрепляет и стабилизиру</w:t>
      </w:r>
      <w:r>
        <w:rPr>
          <w:sz w:val="28"/>
          <w:szCs w:val="28"/>
        </w:rPr>
        <w:t xml:space="preserve">ет микротрубочки, обеспечивающие перенос через цитоплазму нейронов клеточных органелл, гликопротеидов и других образований. Способность тау-белка скреплять </w:t>
      </w:r>
      <w:r>
        <w:rPr>
          <w:sz w:val="28"/>
          <w:szCs w:val="28"/>
        </w:rPr>
        <w:lastRenderedPageBreak/>
        <w:t>микротрубочки отчасти объясняется наличием у него нескольких фосфатных групп Изменение биохимических</w:t>
      </w:r>
      <w:r>
        <w:rPr>
          <w:sz w:val="28"/>
          <w:szCs w:val="28"/>
        </w:rPr>
        <w:t xml:space="preserve"> свойств тау-протеина с формированием нейрофибриллярных сплетений приводит к повреждению внутренней мембраны нейрона, что в конечном счёте вызывает гибель клетки. После гибели нейрона нейрофибриллярные сплетения выходят в межклеточное пространство.</w:t>
      </w:r>
    </w:p>
    <w:p w14:paraId="502730AD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A83429B" w14:textId="6B26881D" w:rsidR="00000000" w:rsidRDefault="00D70A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88864" wp14:editId="5E332530">
            <wp:extent cx="3048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DB0B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</w:t>
      </w:r>
    </w:p>
    <w:p w14:paraId="314631AE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EC9D46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Ненормальные белковые образования внутри нейронов. Состоят из: Альфа-синуклеин - белок, состоящий из 140 аминокислот, выявляющийся в головном мозге главным образом в пресинаптических терминалях и в значительно меньшей </w:t>
      </w:r>
      <w:r>
        <w:rPr>
          <w:sz w:val="28"/>
          <w:szCs w:val="28"/>
        </w:rPr>
        <w:t>степени в телах нейронов и дендритах. Он не имеет четкой вторичной структуры и, возможно, участвует во взаимодействиях между различными белками, хотя точно его функции неизвестны. Предполагают, что образование телец Леви связано с патологической агрегацией</w:t>
      </w:r>
      <w:r>
        <w:rPr>
          <w:sz w:val="28"/>
          <w:szCs w:val="28"/>
        </w:rPr>
        <w:t xml:space="preserve"> а-синуклеина, обусловленной нарушениями его метаболической деградации в клетке, расстройством его аксонального транспорта или иными факторами. Другой структурообразующий компонент телец Леви - фосфорилированные и подвергшиеся частичному протеолизу белки н</w:t>
      </w:r>
      <w:r>
        <w:rPr>
          <w:sz w:val="28"/>
          <w:szCs w:val="28"/>
        </w:rPr>
        <w:t xml:space="preserve">ейрофиламентов, в норме формирующих цитоскелет аксонов. Связанные поперечными сшивками, они, </w:t>
      </w:r>
      <w:r>
        <w:rPr>
          <w:sz w:val="28"/>
          <w:szCs w:val="28"/>
        </w:rPr>
        <w:lastRenderedPageBreak/>
        <w:t>по-видимому, образуют плотный гиалиновый стержень. Агрегированный а-синуклеин и белки нейрофиламентов формируют нитевидные структуры, к которым могут присоединятьс</w:t>
      </w:r>
      <w:r>
        <w:rPr>
          <w:sz w:val="28"/>
          <w:szCs w:val="28"/>
        </w:rPr>
        <w:t>я и другие белковые компоненты. Некоторые из них связаны с защитной реакцией клетки на образующиеся включения, другие попадают в формирующиеся структуры случайно, как в «ловушку».</w:t>
      </w:r>
    </w:p>
    <w:p w14:paraId="4C5A880E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компонентом телец Леви является также убиквитин. Он представляет с</w:t>
      </w:r>
      <w:r>
        <w:rPr>
          <w:sz w:val="28"/>
          <w:szCs w:val="28"/>
        </w:rPr>
        <w:t>обой небольшой протеин, состоящий из 76 аминокислот и участвующий в АТФ-зависимой нелизосомальной деградации белков. Убиквитин метит патологические или поврежденные. Вероятно, агрегаты а-синуклеина и нейрофиламентных белков подвергаются убиквитинизации, од</w:t>
      </w:r>
      <w:r>
        <w:rPr>
          <w:sz w:val="28"/>
          <w:szCs w:val="28"/>
        </w:rPr>
        <w:t>нако ферментативные системы нейрона в силу тех или иных причин оказываются не в состоянии их переработать. В отличие от а-синуклеина, убиквитин обнаруживается не во всех ТЛ. Кроме того, тельца Леви содержат киназы и фосфатазы, вовлеченные в процесс фосфори</w:t>
      </w:r>
      <w:r>
        <w:rPr>
          <w:sz w:val="28"/>
          <w:szCs w:val="28"/>
        </w:rPr>
        <w:t xml:space="preserve">лирования, другие белки, связанные с цитоскелетом (например, тубулин), предшественник амилоидного белка, амилоидный р-протеин, белки пресинаптических терминалей (синаптофизин, белок синаптических везикул и др.) </w:t>
      </w:r>
    </w:p>
    <w:p w14:paraId="48226437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Предполагают, что образующиеся включения мог</w:t>
      </w:r>
      <w:r>
        <w:rPr>
          <w:sz w:val="28"/>
          <w:szCs w:val="28"/>
        </w:rPr>
        <w:t>ут блокировать начальный сегмент аксона, нарушая аксональный ток и приводя к ретроградной дегенерации отростков нейронов, или препятствовать функционированию внутриклеточных органелл. В последние годы появились гипотезы, что ТЛ могут запускать механизм ген</w:t>
      </w:r>
      <w:r>
        <w:rPr>
          <w:sz w:val="28"/>
          <w:szCs w:val="28"/>
        </w:rPr>
        <w:t>етически запрограммированной гибели клетки путем апоптоза.</w:t>
      </w:r>
    </w:p>
    <w:p w14:paraId="6A6B77BB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DD3466" w14:textId="0B601A69" w:rsidR="00000000" w:rsidRDefault="00D70A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4C51A46" wp14:editId="1165D9C5">
            <wp:extent cx="2790825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035F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 3 </w:t>
      </w:r>
    </w:p>
    <w:p w14:paraId="18FE36F2" w14:textId="77777777" w:rsidR="00000000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Следует отметить, что начальные признаки альцгеймеровской дегенерации, такие, как диффузный церебральный амилоидоз и даже сенильные бляшки, обнаруживаю</w:t>
      </w:r>
      <w:r>
        <w:rPr>
          <w:sz w:val="28"/>
          <w:szCs w:val="28"/>
        </w:rPr>
        <w:t xml:space="preserve">т у подавляющего большинства пожилых людей с нормальными когнитивными функциями. Поэтому обязательный морфологический критерий диагностики болезни Альцгеймера - присутствие не только ранних, но и поздних признаков, таких, как нейрофибриллярные сплетения и </w:t>
      </w:r>
      <w:r>
        <w:rPr>
          <w:sz w:val="28"/>
          <w:szCs w:val="28"/>
        </w:rPr>
        <w:t>определённая концентрация данных изменений на единицу объёма мозгового вещества. При этом выраженность когнитивных нарушений не коррелирует с количеством сенильных бляшек или нейрофибриллярных сплетений, но коррелирует с уменьшением количества синапсов меж</w:t>
      </w:r>
      <w:r>
        <w:rPr>
          <w:sz w:val="28"/>
          <w:szCs w:val="28"/>
        </w:rPr>
        <w:t>ду нейронами.</w:t>
      </w:r>
    </w:p>
    <w:p w14:paraId="6B8E96D0" w14:textId="77777777" w:rsidR="00910C7B" w:rsidRDefault="00910C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отделы головного мозга страдают неравномерно. наибольшую концентрацию сенильных бляшек, нейрофибриллярных сплетений и гибель нейронов отмечают в гиппокампе и глубинных отделах височных долей головного мозга. Также весьма рано в пато</w:t>
      </w:r>
      <w:r>
        <w:rPr>
          <w:sz w:val="28"/>
          <w:szCs w:val="28"/>
        </w:rPr>
        <w:t>логический процесс вовлекаются медиобазальные отделы лобных долей головного мозга.</w:t>
      </w:r>
    </w:p>
    <w:sectPr w:rsidR="00910C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B"/>
    <w:rsid w:val="00910C7B"/>
    <w:rsid w:val="00D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FA01"/>
  <w14:defaultImageDpi w14:val="0"/>
  <w15:docId w15:val="{16076A2B-D76B-47AF-ABCB-CEF3671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2024-12-22T07:37:00Z</dcterms:created>
  <dcterms:modified xsi:type="dcterms:W3CDTF">2024-12-22T07:37:00Z</dcterms:modified>
</cp:coreProperties>
</file>