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1A52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2272B999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2646D529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066C50AD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045FBAF8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67945F75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421F0184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3A8A0204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5B7C1DDB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4392428F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5D104648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54652C4B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486127EA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524520B6" w14:textId="77777777" w:rsidR="00000000" w:rsidRDefault="008C361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Подготовка медицинских документов</w:t>
      </w:r>
    </w:p>
    <w:p w14:paraId="4104C4C0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6EFCE365" w14:textId="77777777" w:rsidR="00000000" w:rsidRDefault="008C3612">
      <w:pPr>
        <w:tabs>
          <w:tab w:val="left" w:pos="67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14:paraId="76AC9E3D" w14:textId="77777777" w:rsidR="00000000" w:rsidRDefault="008C3612">
      <w:pPr>
        <w:tabs>
          <w:tab w:val="left" w:pos="67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Чункенеева А.</w:t>
      </w:r>
    </w:p>
    <w:p w14:paraId="573F7070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37C95048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Паспортная часть</w:t>
      </w:r>
    </w:p>
    <w:p w14:paraId="41199A98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0E4C9B27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Ф.И.О.</w:t>
      </w:r>
    </w:p>
    <w:p w14:paraId="2BE8EA28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Возраст: 75 лет</w:t>
      </w:r>
    </w:p>
    <w:p w14:paraId="216BC2D8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Место проживания</w:t>
      </w:r>
    </w:p>
    <w:p w14:paraId="3E1EA8CB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Место работы: Пенсионерка</w:t>
      </w:r>
    </w:p>
    <w:p w14:paraId="393E42CC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Дата госпитализации: 28 февраля 1999 года.</w:t>
      </w:r>
    </w:p>
    <w:p w14:paraId="249557CA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Клинический диагноз: Острый илеофеморал</w:t>
      </w:r>
      <w:r>
        <w:rPr>
          <w:sz w:val="28"/>
          <w:szCs w:val="28"/>
        </w:rPr>
        <w:t>ьный тромбофлебит справа.</w:t>
      </w:r>
    </w:p>
    <w:p w14:paraId="1055A565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Больная: ФИО, 75 лет, пенсионерка. Клинический диагноз, Острый илеофеморальный тромбофлебит справа, средней степени тяжести. Дата госпитализации: 28 февраля 1999 года.</w:t>
      </w:r>
    </w:p>
    <w:p w14:paraId="40B6D255" w14:textId="77777777" w:rsidR="00000000" w:rsidRDefault="008C361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температуры тела до 39,8</w:t>
      </w:r>
      <w:r>
        <w:rPr>
          <w:rFonts w:ascii="Symbol" w:hAnsi="Symbol" w:cs="Symbol"/>
          <w:sz w:val="28"/>
          <w:szCs w:val="28"/>
        </w:rPr>
        <w:t>°</w:t>
      </w:r>
      <w:r>
        <w:rPr>
          <w:sz w:val="28"/>
          <w:szCs w:val="28"/>
        </w:rPr>
        <w:t xml:space="preserve">С, жидкий стул 2-3 раза в </w:t>
      </w:r>
      <w:r>
        <w:rPr>
          <w:sz w:val="28"/>
          <w:szCs w:val="28"/>
        </w:rPr>
        <w:t>день (со слов мужа, зеленоватого оттенка), слабые схваткообразные боли и тенезмы, слабость, разбитость, лёгкое головокружение, кашель со слизистой мокротой в небольшом количестве.</w:t>
      </w:r>
    </w:p>
    <w:p w14:paraId="40AFDB06" w14:textId="77777777" w:rsidR="00000000" w:rsidRDefault="008C361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болезнь диагноз тромбофлебит</w:t>
      </w:r>
    </w:p>
    <w:p w14:paraId="35724E58" w14:textId="77777777" w:rsidR="00000000" w:rsidRDefault="008C361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Анамнез заболевания</w:t>
      </w:r>
    </w:p>
    <w:p w14:paraId="7D3465A6" w14:textId="77777777" w:rsidR="00000000" w:rsidRDefault="008C361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E2C8FC8" w14:textId="77777777" w:rsidR="00000000" w:rsidRDefault="008C361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Считает себя больным с </w:t>
      </w:r>
      <w:r>
        <w:rPr>
          <w:sz w:val="28"/>
          <w:szCs w:val="28"/>
        </w:rPr>
        <w:t>7 февраля, когда без каких-либо располагающих факторов появился выраженный отек и посинение кожных покровов правой нижней конечности, одновременно появилась ноющая боль в бедре, которая затем распространилась на всю конечность. Боль усиливалась при ходьбе.</w:t>
      </w:r>
      <w:r>
        <w:rPr>
          <w:sz w:val="28"/>
          <w:szCs w:val="28"/>
        </w:rPr>
        <w:t xml:space="preserve"> Пациент отмечал слабость, головокружение. Самолечением не занимался. Через несколько дней интенсивность боли в ноге снизилась, она локализовалась по передневнутренней поверхности бедра. 18 февраля больной обратился в областную поликлинику в связи с сохран</w:t>
      </w:r>
      <w:r>
        <w:rPr>
          <w:sz w:val="28"/>
          <w:szCs w:val="28"/>
        </w:rPr>
        <w:t xml:space="preserve">ением отёка и цианоза, откуда был </w:t>
      </w:r>
      <w:r>
        <w:rPr>
          <w:sz w:val="28"/>
          <w:szCs w:val="28"/>
        </w:rPr>
        <w:lastRenderedPageBreak/>
        <w:t>направлен в областную клиническую больницу на госпитализацию.</w:t>
      </w:r>
    </w:p>
    <w:p w14:paraId="6E94DCDF" w14:textId="77777777" w:rsidR="00000000" w:rsidRDefault="008C361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mbria" w:hAnsi="Cambria" w:cs="Cambria"/>
          <w:b/>
          <w:bCs/>
          <w:kern w:val="32"/>
          <w:sz w:val="28"/>
          <w:szCs w:val="28"/>
        </w:rPr>
        <w:br w:type="page"/>
      </w:r>
      <w:r>
        <w:rPr>
          <w:sz w:val="28"/>
          <w:szCs w:val="28"/>
        </w:rPr>
        <w:lastRenderedPageBreak/>
        <w:t>3. Анамнез жизни</w:t>
      </w:r>
    </w:p>
    <w:p w14:paraId="5FEA4275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39046EA0" w14:textId="77777777" w:rsidR="00000000" w:rsidRDefault="008C361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 и развивался соответственно возрасту, перенесенных детских инфекций не помнит. В настоящее время находится на пенсии. Профессиональных вр</w:t>
      </w:r>
      <w:r>
        <w:rPr>
          <w:sz w:val="28"/>
          <w:szCs w:val="28"/>
        </w:rPr>
        <w:t>едностей не отмечает. Материально-бытовые условия удовлетворительные. Предпочтений в пище нет. Свободное время проводит на приусадебном участке или отдыхает дома. Перенесенные заболевания: с 1991 г. - остеохондроз шейно-грудного отдела позвоночника. Наслед</w:t>
      </w:r>
      <w:r>
        <w:rPr>
          <w:sz w:val="28"/>
          <w:szCs w:val="28"/>
        </w:rPr>
        <w:t>ственность: ближайшие родственники здоровы. Вредные привычки: В настоящее время не курит, алкоголь употребляет умеренно. Наркотики не употребляет. Аллергологический анамнез: аллергические реакции на лекарственные препараты и пищевые продукты не отмечает. Э</w:t>
      </w:r>
      <w:r>
        <w:rPr>
          <w:sz w:val="28"/>
          <w:szCs w:val="28"/>
        </w:rPr>
        <w:t>пидемиологический анамнез: гепатит, венерические заболевания, малярию, тифы и туберкулез отрицает. Простудными заболеваниями болеет редко.</w:t>
      </w:r>
    </w:p>
    <w:p w14:paraId="7A14CE15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0B32F34B" w14:textId="77777777" w:rsidR="00000000" w:rsidRDefault="008C361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Общий осмотр</w:t>
      </w:r>
    </w:p>
    <w:p w14:paraId="3CAC3ADF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365B4073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при поступлении удовлетворительное. Сознание ясное. Положение активное, выражение лица об</w:t>
      </w:r>
      <w:r>
        <w:rPr>
          <w:sz w:val="28"/>
          <w:szCs w:val="28"/>
        </w:rPr>
        <w:t>ычное. Гиперстенического типа телосложения. Внешний вид соответствует возрасту. Кожные покровы бледные, обычной влажности. Тургор тканей несколько снижен. Подкожно-жировая клетчатка развита хорошо, толщина складки на уровне пупка 1,5 см. Волосяной покров р</w:t>
      </w:r>
      <w:r>
        <w:rPr>
          <w:sz w:val="28"/>
          <w:szCs w:val="28"/>
        </w:rPr>
        <w:t xml:space="preserve">авномерный, симметричный, соответствует полу. Ногти овальной формы, чистые. Слизистая глаз розовая, влажная, чистая. Склеры бледные. Видимые слизистые бледно-розового цвета, влажные, чистые. </w:t>
      </w:r>
    </w:p>
    <w:p w14:paraId="65C44189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Видимого увеличения затылочных, заушных, подчелюстных, подбородо</w:t>
      </w:r>
      <w:r>
        <w:rPr>
          <w:sz w:val="28"/>
          <w:szCs w:val="28"/>
        </w:rPr>
        <w:t xml:space="preserve">чных, задних и передних шейных, над- и подключичных, торакальных, подмышечных, локтевых, паховых и подколенных лимфатических </w:t>
      </w:r>
      <w:r>
        <w:rPr>
          <w:sz w:val="28"/>
          <w:szCs w:val="28"/>
        </w:rPr>
        <w:lastRenderedPageBreak/>
        <w:t>узлов нет. При пальпации передние шейные, подмышечные, паховые узлы округлые, до 1 см, эластичные, безболезненные, неспаянные между</w:t>
      </w:r>
      <w:r>
        <w:rPr>
          <w:sz w:val="28"/>
          <w:szCs w:val="28"/>
        </w:rPr>
        <w:t xml:space="preserve"> собой и с окружающей тканью. Остальные группы узлов не пальпируются.</w:t>
      </w:r>
    </w:p>
    <w:p w14:paraId="351302BB" w14:textId="77777777" w:rsidR="00000000" w:rsidRDefault="008C361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Осанка правильная, походка без особенностей. Суставы обычной конфигурации, симметричные, движения в них в полном объеме, безболезненные. Мышцы развиты удовлетворительно, симметрично, тон</w:t>
      </w:r>
      <w:r>
        <w:rPr>
          <w:sz w:val="28"/>
          <w:szCs w:val="28"/>
        </w:rPr>
        <w:t>ус мышц сохранен. Рост 170 см, вес 75 кг.</w:t>
      </w:r>
    </w:p>
    <w:p w14:paraId="355C913B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3B3C6158" w14:textId="77777777" w:rsidR="00000000" w:rsidRDefault="008C361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Данные лабораторных и инструментальных исследований</w:t>
      </w:r>
    </w:p>
    <w:p w14:paraId="166F4FCD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4755355A" w14:textId="77777777" w:rsidR="00000000" w:rsidRDefault="008C3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noProof/>
          <w:sz w:val="28"/>
          <w:szCs w:val="28"/>
        </w:rPr>
        <w:t>1</w:t>
      </w:r>
      <w:r>
        <w:rPr>
          <w:sz w:val="28"/>
          <w:szCs w:val="28"/>
        </w:rPr>
        <w:t>Анализ крови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3"/>
        <w:gridCol w:w="2322"/>
      </w:tblGrid>
      <w:tr w:rsidR="00000000" w14:paraId="7B6F5A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9B48" w14:textId="77777777" w:rsidR="00000000" w:rsidRDefault="008C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EDF9" w14:textId="77777777" w:rsidR="00000000" w:rsidRDefault="008C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</w:tr>
      <w:tr w:rsidR="00000000" w14:paraId="45C9AB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E369" w14:textId="77777777" w:rsidR="00000000" w:rsidRDefault="008C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Гемоглобин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3525" w14:textId="77777777" w:rsidR="00000000" w:rsidRDefault="008C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152г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25058A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5FFF" w14:textId="77777777" w:rsidR="00000000" w:rsidRDefault="008C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Лейкоциты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AB319" w14:textId="77777777" w:rsidR="00000000" w:rsidRDefault="008C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  <w:r>
              <w:rPr>
                <w:rFonts w:ascii="Symbol" w:hAnsi="Symbol" w:cs="Symbol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109/л</w:t>
            </w:r>
          </w:p>
        </w:tc>
      </w:tr>
      <w:tr w:rsidR="00000000" w14:paraId="212FD1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F785" w14:textId="77777777" w:rsidR="00000000" w:rsidRDefault="008C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Эритроциты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3A28D" w14:textId="77777777" w:rsidR="00000000" w:rsidRDefault="008C36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5,1</w:t>
            </w:r>
            <w:r>
              <w:rPr>
                <w:rFonts w:ascii="Symbol" w:hAnsi="Symbol" w:cs="Symbol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1012/л</w:t>
            </w:r>
          </w:p>
        </w:tc>
      </w:tr>
      <w:tr w:rsidR="00000000" w14:paraId="04A7F9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5F78" w14:textId="77777777" w:rsidR="00000000" w:rsidRDefault="008C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СОЭ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5057" w14:textId="77777777" w:rsidR="00000000" w:rsidRDefault="008C361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34 мм/час</w:t>
            </w:r>
          </w:p>
        </w:tc>
      </w:tr>
      <w:tr w:rsidR="00000000" w14:paraId="418B4E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D42D6" w14:textId="77777777" w:rsidR="00000000" w:rsidRDefault="008C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Цветной показатель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D7DE" w14:textId="77777777" w:rsidR="00000000" w:rsidRDefault="008C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</w:tr>
      <w:tr w:rsidR="00000000" w14:paraId="3C4DBB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1DE0" w14:textId="77777777" w:rsidR="00000000" w:rsidRDefault="008C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Палочкояде</w:t>
            </w:r>
            <w:r>
              <w:rPr>
                <w:sz w:val="20"/>
                <w:szCs w:val="20"/>
              </w:rPr>
              <w:t>рные нейтрофилы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CA68" w14:textId="77777777" w:rsidR="00000000" w:rsidRDefault="008C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  <w:tr w:rsidR="00000000" w14:paraId="49C460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1812" w14:textId="77777777" w:rsidR="00000000" w:rsidRDefault="008C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Сегментоядерные нейтрофилы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2788" w14:textId="77777777" w:rsidR="00000000" w:rsidRDefault="008C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78% </w:t>
            </w:r>
          </w:p>
        </w:tc>
      </w:tr>
      <w:tr w:rsidR="00000000" w14:paraId="7CC243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9A22" w14:textId="77777777" w:rsidR="00000000" w:rsidRDefault="008C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Лимфоциты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BB6D" w14:textId="77777777" w:rsidR="00000000" w:rsidRDefault="008C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</w:tr>
      <w:tr w:rsidR="00000000" w14:paraId="31D288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DFD3" w14:textId="77777777" w:rsidR="00000000" w:rsidRDefault="008C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Моноциты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8A53" w14:textId="77777777" w:rsidR="00000000" w:rsidRDefault="008C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  <w:tr w:rsidR="00000000" w14:paraId="13C665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86F27" w14:textId="77777777" w:rsidR="00000000" w:rsidRDefault="008C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Эозинофилы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D1D36" w14:textId="77777777" w:rsidR="00000000" w:rsidRDefault="008C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1%.</w:t>
            </w:r>
          </w:p>
        </w:tc>
      </w:tr>
    </w:tbl>
    <w:p w14:paraId="3D3B4FDF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2773E9EA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Электрокардиография</w:t>
      </w:r>
    </w:p>
    <w:p w14:paraId="24E18FEC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7C5B295F" w14:textId="5D968BA4" w:rsidR="00000000" w:rsidRDefault="00440C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24C4FF" wp14:editId="4F21C52F">
            <wp:extent cx="1666875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1D25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Ритм синусовый, правильный. ЧСС - 67 уд/мин. Горизонтальное положение электрической оси сердца. Неполная блокада правой ножки пучка Гиса. Умеренные дистрофические изменения миокарда. </w:t>
      </w:r>
    </w:p>
    <w:p w14:paraId="061DE332" w14:textId="77777777" w:rsidR="00000000" w:rsidRDefault="008C3612">
      <w:pPr>
        <w:spacing w:line="360" w:lineRule="auto"/>
        <w:ind w:firstLine="709"/>
        <w:jc w:val="both"/>
        <w:rPr>
          <w:sz w:val="28"/>
          <w:szCs w:val="28"/>
        </w:rPr>
      </w:pPr>
    </w:p>
    <w:p w14:paraId="43A1A4F8" w14:textId="77777777" w:rsidR="00000000" w:rsidRDefault="008C361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Температурный лист </w:t>
      </w:r>
    </w:p>
    <w:p w14:paraId="2B429397" w14:textId="29B57D8F" w:rsidR="008C3612" w:rsidRDefault="00440C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A64CDF" wp14:editId="4701C37D">
            <wp:extent cx="3800475" cy="2466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6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9E"/>
    <w:rsid w:val="00440C9E"/>
    <w:rsid w:val="008C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2B66C"/>
  <w14:defaultImageDpi w14:val="0"/>
  <w15:docId w15:val="{69F519F9-B99C-4CF0-9866-08A37D33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2024-12-15T22:13:00Z</dcterms:created>
  <dcterms:modified xsi:type="dcterms:W3CDTF">2024-12-15T22:13:00Z</dcterms:modified>
</cp:coreProperties>
</file>