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E2B2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науки, молоді та спорту України</w:t>
      </w:r>
    </w:p>
    <w:p w14:paraId="5D858873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університет харчових технологій</w:t>
      </w:r>
    </w:p>
    <w:p w14:paraId="66D0900C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біотехнології і мікробіології</w:t>
      </w:r>
    </w:p>
    <w:p w14:paraId="6A330841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42D09508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6F23191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24646377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3A489343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0D4652AD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DDE6873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3859E70F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6C01F7C6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228B5227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5DB794F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FC9AF0D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Реферат</w:t>
      </w:r>
    </w:p>
    <w:p w14:paraId="574D8061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Тромболітична терапія фібринолізином і стрептокіназою</w:t>
      </w:r>
    </w:p>
    <w:p w14:paraId="5342F057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4A0B110C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2599D23A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1922BEE2" w14:textId="77777777" w:rsidR="00000000" w:rsidRDefault="00BD73EE">
      <w:pPr>
        <w:suppressAutoHyphens/>
        <w:spacing w:line="360" w:lineRule="auto"/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Виконала</w:t>
      </w:r>
    </w:p>
    <w:p w14:paraId="6501A656" w14:textId="77777777" w:rsidR="00000000" w:rsidRDefault="00BD73EE">
      <w:pPr>
        <w:suppressAutoHyphens/>
        <w:spacing w:line="360" w:lineRule="auto"/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студентка групи БТЕК-3-2</w:t>
      </w:r>
    </w:p>
    <w:p w14:paraId="0B5720F7" w14:textId="77777777" w:rsidR="00000000" w:rsidRDefault="00BD73EE">
      <w:pPr>
        <w:suppressAutoHyphens/>
        <w:spacing w:line="360" w:lineRule="auto"/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Савицька</w:t>
      </w:r>
      <w:r>
        <w:rPr>
          <w:sz w:val="28"/>
          <w:szCs w:val="28"/>
          <w:lang w:val="uk-UA"/>
        </w:rPr>
        <w:t xml:space="preserve"> Т.С.</w:t>
      </w:r>
    </w:p>
    <w:p w14:paraId="2898508A" w14:textId="77777777" w:rsidR="00000000" w:rsidRDefault="00BD73EE">
      <w:pPr>
        <w:suppressAutoHyphens/>
        <w:spacing w:line="360" w:lineRule="auto"/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Перевірила</w:t>
      </w:r>
    </w:p>
    <w:p w14:paraId="7656896F" w14:textId="77777777" w:rsidR="00000000" w:rsidRDefault="00BD73EE">
      <w:pPr>
        <w:suppressAutoHyphens/>
        <w:spacing w:line="360" w:lineRule="auto"/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доцент Буценко Л.М</w:t>
      </w:r>
    </w:p>
    <w:p w14:paraId="70E35637" w14:textId="77777777" w:rsidR="00000000" w:rsidRDefault="00BD73E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C6F7596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Зміст</w:t>
      </w:r>
    </w:p>
    <w:p w14:paraId="3AFEF434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1EB3A44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умовних скорочень</w:t>
      </w:r>
    </w:p>
    <w:p w14:paraId="18273891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</w:t>
      </w:r>
    </w:p>
    <w:p w14:paraId="33B1E1CD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Тромбоз. Причини тромбозу. Характеристика тромбів</w:t>
      </w:r>
    </w:p>
    <w:p w14:paraId="4A30481E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Тромболітична терапія</w:t>
      </w:r>
    </w:p>
    <w:p w14:paraId="394B8E26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Механізми тромбогенезу</w:t>
      </w:r>
    </w:p>
    <w:p w14:paraId="22992D2F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Особливості використання тромболітичної терапії</w:t>
      </w:r>
    </w:p>
    <w:p w14:paraId="696734B2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Вплив стрептокінази на тр</w:t>
      </w:r>
      <w:r>
        <w:rPr>
          <w:sz w:val="28"/>
          <w:szCs w:val="28"/>
          <w:lang w:val="uk-UA"/>
        </w:rPr>
        <w:t>омбоцити</w:t>
      </w:r>
    </w:p>
    <w:p w14:paraId="375D7B96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Фібринолізин</w:t>
      </w:r>
    </w:p>
    <w:p w14:paraId="185B0B0D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Стрептокіназа</w:t>
      </w:r>
    </w:p>
    <w:p w14:paraId="77C3B83A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Лікарський препарат Стрептокіназа</w:t>
      </w:r>
    </w:p>
    <w:p w14:paraId="2A7F865A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</w:t>
      </w:r>
    </w:p>
    <w:p w14:paraId="7951F924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літератури</w:t>
      </w:r>
    </w:p>
    <w:p w14:paraId="58CFE119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FB6236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Перелік умовних скорочень</w:t>
      </w:r>
    </w:p>
    <w:p w14:paraId="7BF37B32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6CA153D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АСТ - аспартатамінотрансфераза</w:t>
      </w:r>
    </w:p>
    <w:p w14:paraId="519DAA8A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АГ - артеріальна гіпертензія</w:t>
      </w:r>
    </w:p>
    <w:p w14:paraId="28A440C2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ГІМ - гострий інфаркт міокарда</w:t>
      </w:r>
    </w:p>
    <w:p w14:paraId="40551709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САТ - систолічний артеріальний т</w:t>
      </w:r>
      <w:r>
        <w:rPr>
          <w:sz w:val="28"/>
          <w:szCs w:val="28"/>
          <w:lang w:val="uk-UA"/>
        </w:rPr>
        <w:t>иск</w:t>
      </w:r>
    </w:p>
    <w:p w14:paraId="1B6195D4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 - діастолічний артеріальний тиск</w:t>
      </w:r>
    </w:p>
    <w:p w14:paraId="09BDAC87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ІХС - ішемічна хвороба серця</w:t>
      </w:r>
    </w:p>
    <w:p w14:paraId="4C906799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ССП - серцево-судинна патологія</w:t>
      </w:r>
    </w:p>
    <w:p w14:paraId="5AE32708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 - фактор ризику</w:t>
      </w:r>
    </w:p>
    <w:p w14:paraId="575D3E90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F36004B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Вступ</w:t>
      </w:r>
    </w:p>
    <w:p w14:paraId="45B5F8E4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11A0CC8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Захворювання серцево-судинної системи - основна причина смертності в Україні. Ішемічна хвороба серця патологія наслідком якої</w:t>
      </w:r>
      <w:r>
        <w:rPr>
          <w:sz w:val="28"/>
          <w:szCs w:val="28"/>
          <w:lang w:val="uk-UA"/>
        </w:rPr>
        <w:t xml:space="preserve"> може стати інфаркт міокарда. Одним із важливих моментів лікування є використання тромболітиків. Тому важливим може бути вивчення дії тромболітиків для відновлення функції міокарду Серцево-судинні захворювання залишаються найбільш актуальною проблемою охор</w:t>
      </w:r>
      <w:r>
        <w:rPr>
          <w:sz w:val="28"/>
          <w:szCs w:val="28"/>
          <w:lang w:val="uk-UA"/>
        </w:rPr>
        <w:t>они здоров'я більшості країн світу і в XXI столітті, незважаючи на безперервне вдосконалення методів діагностики та лікування кардіологічних хворих. На сучасному етапі смертність хворих протягом року після перенесеного Гострого Інфаркту Міокарда залишаєтьс</w:t>
      </w:r>
      <w:r>
        <w:rPr>
          <w:sz w:val="28"/>
          <w:szCs w:val="28"/>
          <w:lang w:val="uk-UA"/>
        </w:rPr>
        <w:t>я досить високою - 9,1%. В Україні смертність від серцево-судинних захворювань в останні роки стабільно висока і складає 61% у загальній структурі смертності [1].</w:t>
      </w:r>
    </w:p>
    <w:p w14:paraId="0F693937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2C49D77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1. Тромбоз. Причини тромбозу. Характеристика тромбів</w:t>
      </w:r>
    </w:p>
    <w:p w14:paraId="5BD9B7B2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A68FCDB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Тромбоз - прижиттєве утворення всеред</w:t>
      </w:r>
      <w:r>
        <w:rPr>
          <w:sz w:val="28"/>
          <w:szCs w:val="28"/>
          <w:lang w:val="uk-UA"/>
        </w:rPr>
        <w:t>ині судини згустків, пов'язаних з його стінкою, іменованих тромбом що перешкоджають току крові через звуження або повного закриття просвіту судини [2].</w:t>
      </w:r>
    </w:p>
    <w:p w14:paraId="38B94B8E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Причини тромбозу:</w:t>
      </w:r>
    </w:p>
    <w:p w14:paraId="379452F0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судинної стінки при запаленні, атеросклерозі, ангіоневротичних спазмах, при гіпе</w:t>
      </w:r>
      <w:r>
        <w:rPr>
          <w:sz w:val="28"/>
          <w:szCs w:val="28"/>
          <w:lang w:val="uk-UA"/>
        </w:rPr>
        <w:t>ртонічній хворобі (замість правильно констрикції-дилатації венозна судина звужується і довгий час зберігає свою форму).</w:t>
      </w:r>
    </w:p>
    <w:p w14:paraId="503E9E8C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швидкості і напряму кровотоку в судині, що призводить до розселення формених елементів, відхилення їх від центрального осьового ша</w:t>
      </w:r>
      <w:r>
        <w:rPr>
          <w:sz w:val="28"/>
          <w:szCs w:val="28"/>
          <w:lang w:val="uk-UA"/>
        </w:rPr>
        <w:t>ру крові і до скупчення їх, насамперед лейкоцитів і тромбоцитів, на стінках судин. Ці зміни часто бувають місцевими і загальними і пов'язані з серцевою недостатністю. Тромби з'являються при різкій скорочувальній слабкості, при зростаючій серцевій недостатн</w:t>
      </w:r>
      <w:r>
        <w:rPr>
          <w:sz w:val="28"/>
          <w:szCs w:val="28"/>
          <w:lang w:val="uk-UA"/>
        </w:rPr>
        <w:t>ості. Вони можуть виникати в периферичних венах.</w:t>
      </w:r>
    </w:p>
    <w:p w14:paraId="0D554724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Ряд причин пов'язаних із зміною хімічного складу крові: - перш за все згущення крові, дегідратація її, збільшення числа формених елементів, особливо тромбоцитів, або підвищення їх адгезивних властивостей, зб</w:t>
      </w:r>
      <w:r>
        <w:rPr>
          <w:sz w:val="28"/>
          <w:szCs w:val="28"/>
          <w:lang w:val="uk-UA"/>
        </w:rPr>
        <w:t>ільшення рівня фібриногену крові. Такі стани зустрічаються при злоякісних пухлинах, атеросклерозі [3].</w:t>
      </w:r>
    </w:p>
    <w:p w14:paraId="1B96E13C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Механізм тромбоутворення складається з 4-х стадій:</w:t>
      </w:r>
    </w:p>
    <w:p w14:paraId="064B7445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фаза аглютинації тромбоцитів</w:t>
      </w:r>
    </w:p>
    <w:p w14:paraId="17B83AC2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коагуляція фібриногену, утворення фібрину</w:t>
      </w:r>
    </w:p>
    <w:p w14:paraId="11B2E717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аглютинація еритроцитів</w:t>
      </w:r>
    </w:p>
    <w:p w14:paraId="17582331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преципітація - осадження на згусток всіх основних білків плазми.</w:t>
      </w:r>
    </w:p>
    <w:p w14:paraId="2B4ACD5E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Залежно від місця та умов тромби бувають:</w:t>
      </w:r>
    </w:p>
    <w:p w14:paraId="6FB55C52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Білі (тромбоцити, фібрин, лейкоцити). Ці тромби утворюються при </w:t>
      </w:r>
      <w:r>
        <w:rPr>
          <w:sz w:val="28"/>
          <w:szCs w:val="28"/>
          <w:lang w:val="uk-UA"/>
        </w:rPr>
        <w:lastRenderedPageBreak/>
        <w:t>швидкому кровотоці в артеріях.</w:t>
      </w:r>
    </w:p>
    <w:p w14:paraId="1BA3B971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Червоні (тромбоцити, фібрин, еритроцити) утворюют</w:t>
      </w:r>
      <w:r>
        <w:rPr>
          <w:sz w:val="28"/>
          <w:szCs w:val="28"/>
          <w:lang w:val="uk-UA"/>
        </w:rPr>
        <w:t>ься в умовах повільного кровотоку, частіше у венах.</w:t>
      </w:r>
    </w:p>
    <w:p w14:paraId="730DDD12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Змішані: місце прикріплення називається голівкою, тіло вільно розташовується в просвіті судини. Голівка зазвичай побудована за принципом білого тромбу, у тілі чергуються білі і червоні ділянки, а хвіст </w:t>
      </w:r>
      <w:r>
        <w:rPr>
          <w:sz w:val="28"/>
          <w:szCs w:val="28"/>
          <w:lang w:val="uk-UA"/>
        </w:rPr>
        <w:t>зазвичай червоний.</w:t>
      </w:r>
    </w:p>
    <w:p w14:paraId="75E6DE24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Гіалінові тромби - найрідкісніший варіант (складаються з зруйнованих еритроцитів, тромбоцитів, білкового преципітату). Саме білковий преципітат і створює схожість з хрящем. Ці тромби зустрічаються в артеріолах і венулах [4].</w:t>
      </w:r>
    </w:p>
    <w:p w14:paraId="34E50CC8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відноше</w:t>
      </w:r>
      <w:r>
        <w:rPr>
          <w:sz w:val="28"/>
          <w:szCs w:val="28"/>
          <w:lang w:val="uk-UA"/>
        </w:rPr>
        <w:t>нню до судини розрізняють тромби:</w:t>
      </w:r>
    </w:p>
    <w:p w14:paraId="52281851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тромби які закупорюють судину; цей вид тромбу частіше зустрічається в судинах малого діаметру.</w:t>
      </w:r>
    </w:p>
    <w:p w14:paraId="6739B616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пристінкові, утворюються безпосередньо біля стінки в місці пошкодженої судини;</w:t>
      </w:r>
    </w:p>
    <w:p w14:paraId="2C0B61F4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 камерах серця і в аневризмах бувають кул</w:t>
      </w:r>
      <w:r>
        <w:rPr>
          <w:sz w:val="28"/>
          <w:szCs w:val="28"/>
          <w:lang w:val="uk-UA"/>
        </w:rPr>
        <w:t>ясті тромби [3].</w:t>
      </w:r>
    </w:p>
    <w:p w14:paraId="4BB9A010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Наслідки тромбозу полягають у механічному перешкодженні кровообігу.</w:t>
      </w:r>
    </w:p>
    <w:p w14:paraId="2B3E5829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Тромбоз в артеріях веде до місцевої анемії, трофічних розладів, аж до омертвіння тканин - інфаркту, у венах - застійної гіперемії, набряків і водянки з порушенням різних ф</w:t>
      </w:r>
      <w:r>
        <w:rPr>
          <w:sz w:val="28"/>
          <w:szCs w:val="28"/>
          <w:lang w:val="uk-UA"/>
        </w:rPr>
        <w:t>ункцій організму. Поряд з цим тромбоз створює сприятливі умови для розвитку патогенних мікроорганізмів і їх розповсюдження. Найбільш небезпечні наслідки виникають при розпаді або відриві шматочків тромбу з місця їх утворення, так як, потрапляючи в потік кр</w:t>
      </w:r>
      <w:r>
        <w:rPr>
          <w:sz w:val="28"/>
          <w:szCs w:val="28"/>
          <w:lang w:val="uk-UA"/>
        </w:rPr>
        <w:t>ові, вони викликають закупорку судин - емболію.</w:t>
      </w:r>
    </w:p>
    <w:p w14:paraId="11C8E847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Ступінь всіх цих порушень при тромбозі залежить від ряду умов і, перш за все від того, в судинах якого органу або тканини сталося тромбоутворення. Від можливості і швидкості розвитку колатералей, що забезпечу</w:t>
      </w:r>
      <w:r>
        <w:rPr>
          <w:sz w:val="28"/>
          <w:szCs w:val="28"/>
          <w:lang w:val="uk-UA"/>
        </w:rPr>
        <w:t xml:space="preserve">ють приплив і відтік крові в обхід судин, в якому відбувається тромбоутворення, від виду </w:t>
      </w:r>
      <w:r>
        <w:rPr>
          <w:sz w:val="28"/>
          <w:szCs w:val="28"/>
          <w:lang w:val="uk-UA"/>
        </w:rPr>
        <w:lastRenderedPageBreak/>
        <w:t>тромбу - пристінкового або закупорювального, діаметра судини і швидкості утворення тромбу, бо для розвитку колатерального кровообігу необхідний час [4].</w:t>
      </w:r>
    </w:p>
    <w:p w14:paraId="638394ED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тро</w:t>
      </w:r>
      <w:r>
        <w:rPr>
          <w:sz w:val="28"/>
          <w:szCs w:val="28"/>
          <w:lang w:val="uk-UA"/>
        </w:rPr>
        <w:t>мбозу. Порівняно невеликі пристінкові тромби можуть розчиняться і змиватися потоком крові. Великі тромби піддаються розплавленню з подальшою організацією. Розплавлення - аутоліз тромбу відбувається під впливом ферментів, що звільнилися із зруйнованих кліти</w:t>
      </w:r>
      <w:r>
        <w:rPr>
          <w:sz w:val="28"/>
          <w:szCs w:val="28"/>
          <w:lang w:val="uk-UA"/>
        </w:rPr>
        <w:t>н, причому може протікати асептичних і септичних умовах інфікованих тромбів, найчастіше гноєтворних. Розпад такого тромбу загрожує виникненням інфікованих вогнищ і генералізацією інфекційного процесу[4].</w:t>
      </w:r>
    </w:p>
    <w:p w14:paraId="49F53D96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Тромб може піддаватися петрифікації - скам'яніння, щ</w:t>
      </w:r>
      <w:r>
        <w:rPr>
          <w:sz w:val="28"/>
          <w:szCs w:val="28"/>
          <w:lang w:val="uk-UA"/>
        </w:rPr>
        <w:t>о частіше зустрічається в розширених венах; тромб просочується різними солями кальцію та ін.</w:t>
      </w:r>
    </w:p>
    <w:p w14:paraId="60487623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Вторинне розм'якшення (коліквація) тромбу, відбувається внаслідок двох причин: при попаданні мікроба в тромб (мікробний ферментоліз), і місцевий ферментоліз за ра</w:t>
      </w:r>
      <w:r>
        <w:rPr>
          <w:sz w:val="28"/>
          <w:szCs w:val="28"/>
          <w:lang w:val="uk-UA"/>
        </w:rPr>
        <w:t>хунок власних ферментів вивільнених при пошкодженні.</w:t>
      </w:r>
    </w:p>
    <w:p w14:paraId="56E903F7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лікування венозного тромбозу:</w:t>
      </w:r>
    </w:p>
    <w:p w14:paraId="444A001C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Зупинити поширення тромбозу.</w:t>
      </w:r>
    </w:p>
    <w:p w14:paraId="65F302CB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Запобігти тромбоемболію легеневої артерії, яка загрожує життю в гострій фазі і є причиною хронічної гіпертензії малого кола кровооб</w:t>
      </w:r>
      <w:r>
        <w:rPr>
          <w:sz w:val="28"/>
          <w:szCs w:val="28"/>
          <w:lang w:val="uk-UA"/>
        </w:rPr>
        <w:t>ігу у віддаленому періоді.</w:t>
      </w:r>
    </w:p>
    <w:p w14:paraId="36BF10AB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Не допустити прогресування відтоку і тим самим запобігти можливу венозну гангрену і втрату кінцівки.</w:t>
      </w:r>
    </w:p>
    <w:p w14:paraId="5AEF51AD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Відновити прохідність вен з тим, щоб надалі уникнути розвитку посттромбофлебітичної хвороби.</w:t>
      </w:r>
    </w:p>
    <w:p w14:paraId="2A1D46B8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Попередити рецидив тромбозу, </w:t>
      </w:r>
      <w:r>
        <w:rPr>
          <w:sz w:val="28"/>
          <w:szCs w:val="28"/>
          <w:lang w:val="uk-UA"/>
        </w:rPr>
        <w:t>який суттєво погіршує прогноз захворювання.</w:t>
      </w:r>
    </w:p>
    <w:p w14:paraId="402ED7C3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лікування гострих венозних тромбозів використовують 3 основні </w:t>
      </w:r>
      <w:r>
        <w:rPr>
          <w:sz w:val="28"/>
          <w:szCs w:val="28"/>
          <w:lang w:val="uk-UA"/>
        </w:rPr>
        <w:lastRenderedPageBreak/>
        <w:t>групи препаратів:</w:t>
      </w:r>
    </w:p>
    <w:p w14:paraId="6018224A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антикоагулянти;</w:t>
      </w:r>
    </w:p>
    <w:p w14:paraId="18E8518B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фібринолітики і тромболітики;</w:t>
      </w:r>
    </w:p>
    <w:p w14:paraId="238D011D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дезагреганти.</w:t>
      </w:r>
    </w:p>
    <w:p w14:paraId="7370712D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Консервативна терапія гострих венозних тромбозів спрямована на</w:t>
      </w:r>
      <w:r>
        <w:rPr>
          <w:sz w:val="28"/>
          <w:szCs w:val="28"/>
          <w:lang w:val="uk-UA"/>
        </w:rPr>
        <w:t xml:space="preserve"> запобігання поширення тромбозу та розвитку тромбоемболії легеневої артерії, а також на відновлення прохідності тромбірованних вен.</w:t>
      </w:r>
    </w:p>
    <w:p w14:paraId="3BB2BBAA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Антикоагулянти. В даний час для вирішення цих завдань, як правило, використовують гепарин звичайний нефракціонований (НФГ), </w:t>
      </w:r>
      <w:r>
        <w:rPr>
          <w:sz w:val="28"/>
          <w:szCs w:val="28"/>
          <w:lang w:val="uk-UA"/>
        </w:rPr>
        <w:t>або низькомолекулярні його форми: клексан, фрагмін, фраксипарин та ін</w:t>
      </w:r>
    </w:p>
    <w:p w14:paraId="52D64D63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Протипоказания до проведення</w:t>
      </w:r>
    </w:p>
    <w:p w14:paraId="0263A6A3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Абсолютні:</w:t>
      </w:r>
    </w:p>
    <w:p w14:paraId="43FC5C42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геморагічний інсульт або інсульт невідомого походження незалежно від давнини виникнення;</w:t>
      </w:r>
    </w:p>
    <w:p w14:paraId="436C2DCA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ішемічний інсульт протягом останніх 6 місяців;</w:t>
      </w:r>
    </w:p>
    <w:p w14:paraId="282578C0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травма або</w:t>
      </w:r>
      <w:r>
        <w:rPr>
          <w:sz w:val="28"/>
          <w:szCs w:val="28"/>
          <w:lang w:val="uk-UA"/>
        </w:rPr>
        <w:t xml:space="preserve"> новотворення ЦНС;</w:t>
      </w:r>
    </w:p>
    <w:p w14:paraId="40961379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важка травма або операція або травма голови ( протягом останніх 3-х тижнів);</w:t>
      </w:r>
    </w:p>
    <w:p w14:paraId="5875EBDC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шлунково-кишкова кровотеча протягом останнього місяця;</w:t>
      </w:r>
    </w:p>
    <w:p w14:paraId="3EE64E22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патологія системи згортання крові зі схильністю до кровотечі;</w:t>
      </w:r>
    </w:p>
    <w:p w14:paraId="245047D1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розшаровуюча аневризма аорти.</w:t>
      </w:r>
    </w:p>
    <w:p w14:paraId="36DFF21F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Відносні:</w:t>
      </w:r>
    </w:p>
    <w:p w14:paraId="485856E5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</w:t>
      </w:r>
      <w:r>
        <w:rPr>
          <w:sz w:val="28"/>
          <w:szCs w:val="28"/>
          <w:lang w:val="uk-UA"/>
        </w:rPr>
        <w:t>нзиторні ішемічні атаки протягом останніх 6 міс.</w:t>
      </w:r>
    </w:p>
    <w:p w14:paraId="000A5B8C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терапія непрямими антикоагулянтами;</w:t>
      </w:r>
    </w:p>
    <w:p w14:paraId="2866C0DC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вагітність або 1 тиждень після пологів;</w:t>
      </w:r>
    </w:p>
    <w:p w14:paraId="090177D7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пункція судин, які не можна стиснути;</w:t>
      </w:r>
    </w:p>
    <w:p w14:paraId="185F31E6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травматична реанімація;</w:t>
      </w:r>
    </w:p>
    <w:p w14:paraId="170A0046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рефрактерна артеріальна гіпертензія (систолічний АТ більший за</w:t>
      </w:r>
      <w:r>
        <w:rPr>
          <w:sz w:val="28"/>
          <w:szCs w:val="28"/>
          <w:lang w:val="uk-UA"/>
        </w:rPr>
        <w:t xml:space="preserve"> 180 мм </w:t>
      </w:r>
      <w:r>
        <w:rPr>
          <w:sz w:val="28"/>
          <w:szCs w:val="28"/>
          <w:lang w:val="uk-UA"/>
        </w:rPr>
        <w:lastRenderedPageBreak/>
        <w:t>рт. ст.);</w:t>
      </w:r>
    </w:p>
    <w:p w14:paraId="75B94E59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важкі захворювання печінки;</w:t>
      </w:r>
    </w:p>
    <w:p w14:paraId="60FFB320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інфекційний ендокардит;</w:t>
      </w:r>
    </w:p>
    <w:p w14:paraId="4C87CA23" w14:textId="77777777" w:rsidR="00000000" w:rsidRDefault="00BD73E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виразка шлунка в ст. загострення[3].</w:t>
      </w:r>
    </w:p>
    <w:p w14:paraId="10626FB1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2. Тромболітична терапія</w:t>
      </w:r>
    </w:p>
    <w:p w14:paraId="2B639E03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7B1A239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 "тромболітична терапія" вживається при введенні медикаментозних препаратів для впливу на тромб активаторів плазміно</w:t>
      </w:r>
      <w:r>
        <w:rPr>
          <w:sz w:val="28"/>
          <w:szCs w:val="28"/>
          <w:lang w:val="uk-UA"/>
        </w:rPr>
        <w:t>гена, тобто дані препарати переводять плазміноген у плазмін, який потім викликає деградацію фібрину (головної структури тромбів) [1].</w:t>
      </w:r>
    </w:p>
    <w:p w14:paraId="64A922F8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Тромболітична терапія є сучасним високоефективним методом лікування інфаркту міокарда з елевацією сегмента ST. Вона відчут</w:t>
      </w:r>
      <w:r>
        <w:rPr>
          <w:sz w:val="28"/>
          <w:szCs w:val="28"/>
          <w:lang w:val="uk-UA"/>
        </w:rPr>
        <w:t>но покращує систолічну функцію лівого шлуночка і підвищує виживання пацієнтів з Q-ІМ і блокадою гілок пучка Гіса [4].</w:t>
      </w:r>
    </w:p>
    <w:p w14:paraId="47AF821F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інфарктом міокарда (ІМ) мають на увазі некроз окремих ділянок серцевого м'яза на ґрунті гострої ішемії, що виникла в результаті невідп</w:t>
      </w:r>
      <w:r>
        <w:rPr>
          <w:sz w:val="28"/>
          <w:szCs w:val="28"/>
          <w:lang w:val="uk-UA"/>
        </w:rPr>
        <w:t>овідності коронарного кровообігу потребам міокарда в кисні[5].</w:t>
      </w:r>
    </w:p>
    <w:p w14:paraId="331FCD08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Інфаркт міокарда (ІМ)- являє собою некроз серцевого м'яза як наслідок незворотньої ішемії в результаті відносної чи абсолютонї недостачі поступлення крові до враженої ділянки міокарда. В перева</w:t>
      </w:r>
      <w:r>
        <w:rPr>
          <w:sz w:val="28"/>
          <w:szCs w:val="28"/>
          <w:lang w:val="uk-UA"/>
        </w:rPr>
        <w:t xml:space="preserve">жній більшості випадків (більше 85% всіх інфарктів) безпосередньою причиною розвитку ІМ є тромбозна закупорка коронарних судин "набухлою" атеросклеротичною бляшкою, її розрив і локальний коронароспазм. При цьому оголюються колагенові волокна, відбувається </w:t>
      </w:r>
      <w:r>
        <w:rPr>
          <w:sz w:val="28"/>
          <w:szCs w:val="28"/>
          <w:lang w:val="uk-UA"/>
        </w:rPr>
        <w:t>активація тромбоцитів, запускається каскад реакцій зсідання, який призводить до гострої оклюзії коронарної артерії [5].</w:t>
      </w:r>
    </w:p>
    <w:p w14:paraId="660989B7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6F51B35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3. Механізми тромбогенезу</w:t>
      </w:r>
    </w:p>
    <w:p w14:paraId="54217F0B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413AB14" w14:textId="1DBB7014" w:rsidR="00000000" w:rsidRDefault="0034466F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018525" wp14:editId="71748266">
            <wp:extent cx="3476625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6EF31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3.1</w:t>
      </w:r>
    </w:p>
    <w:p w14:paraId="3662E4DF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AF31016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Дослідження, виконані протягом останніх десятиліть, дозволи</w:t>
      </w:r>
      <w:r>
        <w:rPr>
          <w:sz w:val="28"/>
          <w:szCs w:val="28"/>
          <w:lang w:val="uk-UA"/>
        </w:rPr>
        <w:t>ли уявити і значною мірою розкрити складні механізми виникнення ГКС. ГКС зумовлені гострим або підгострим первинним зменшенням постачання міокарда киснем внаслідок розриву атеросклеротичної бляшки, асоційованого з тромбозом, вазоконстрикцією та мікроемболі</w:t>
      </w:r>
      <w:r>
        <w:rPr>
          <w:sz w:val="28"/>
          <w:szCs w:val="28"/>
          <w:lang w:val="uk-UA"/>
        </w:rPr>
        <w:t>зацією. Бляшки, схильні до розриву, мають велике ліпідне ядро, низьку щільність гладком’язових клітин, високу щільність макрофагів, тонку фіброзну капсулу з дезорганізованого колагену, а також високу концентрацію тканинного фактора. Ліпідне ядро формує клі</w:t>
      </w:r>
      <w:r>
        <w:rPr>
          <w:sz w:val="28"/>
          <w:szCs w:val="28"/>
          <w:lang w:val="uk-UA"/>
        </w:rPr>
        <w:t>тинну масу всередині колагенового матриксу бляшки. Після загибелі тканинних базофілів ліпідне ядро може створюватися шляхом активного розчинення колагену за допомогою металопротеїназ, а не тільки шляхом пасивного накопичення. В ліпідному ядрі бляшок, схиль</w:t>
      </w:r>
      <w:r>
        <w:rPr>
          <w:sz w:val="28"/>
          <w:szCs w:val="28"/>
          <w:lang w:val="uk-UA"/>
        </w:rPr>
        <w:t>них до розриву, виявляють високий вміст ефірів холестерину із значною часткою поліненасичених жирних кислот. На межових ділянках розірваних бляшок частка поліненасичених жирних кислот менша порівняно з такою в центрі. Відносна пропорція різних жирних кисло</w:t>
      </w:r>
      <w:r>
        <w:rPr>
          <w:sz w:val="28"/>
          <w:szCs w:val="28"/>
          <w:lang w:val="uk-UA"/>
        </w:rPr>
        <w:t>т впливає на локальне формування тромбоцитарних згустків і тромба. Розрив бляшки може бути наслідком поєднання різних факторів [6].</w:t>
      </w:r>
    </w:p>
    <w:p w14:paraId="29BCE400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br w:type="page"/>
      </w:r>
      <w:r>
        <w:rPr>
          <w:sz w:val="28"/>
          <w:szCs w:val="28"/>
          <w:lang w:val="uk-UA"/>
        </w:rPr>
        <w:lastRenderedPageBreak/>
        <w:t>4. Особливості використання тромболітичної терапії</w:t>
      </w:r>
    </w:p>
    <w:p w14:paraId="4E839CD4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A246023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показали експериментальні дослідження Г.В. Андрієнко (1965, 1967), у</w:t>
      </w:r>
      <w:r>
        <w:rPr>
          <w:sz w:val="28"/>
          <w:szCs w:val="28"/>
          <w:lang w:val="uk-UA"/>
        </w:rPr>
        <w:t xml:space="preserve"> здорових тварин введення помірних доз фібринолізину викликає зворотну реакцію - фібриноліз не підвищується, а знижується, підвищується згортання крові. При розтині тварин, яким вводили дози препарату, що викликають зменшення фібринолітичної активності та </w:t>
      </w:r>
      <w:r>
        <w:rPr>
          <w:sz w:val="28"/>
          <w:szCs w:val="28"/>
          <w:lang w:val="uk-UA"/>
        </w:rPr>
        <w:t>підвищення згортання крові, було виявлено, що у деяких з них в дрібних легеневих судинах були невеликі згустки фібрину. У зв'язку з цими даними більшість вітчизняних дослідників вже під час проведення тромболітичної терапії починають застосовувати антикоаг</w:t>
      </w:r>
      <w:r>
        <w:rPr>
          <w:sz w:val="28"/>
          <w:szCs w:val="28"/>
          <w:lang w:val="uk-UA"/>
        </w:rPr>
        <w:t>улянти прямої дії (гепарин) надалі переходом на антикоагулянти які надають непряме дію.</w:t>
      </w:r>
    </w:p>
    <w:p w14:paraId="5088E080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вирішенні питання про терапевтичне застосування фібринолітичних препаратів при інфаркті міокарда, як і при інших захворюваннях, необхідно враховувати:</w:t>
      </w:r>
    </w:p>
    <w:p w14:paraId="2E197AC6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механізм ут</w:t>
      </w:r>
      <w:r>
        <w:rPr>
          <w:sz w:val="28"/>
          <w:szCs w:val="28"/>
          <w:lang w:val="uk-UA"/>
        </w:rPr>
        <w:t>ворення тромбу,</w:t>
      </w:r>
    </w:p>
    <w:p w14:paraId="2287C377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давність утворення тромбу,</w:t>
      </w:r>
    </w:p>
    <w:p w14:paraId="4D627549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локалізацію тромбу,</w:t>
      </w:r>
    </w:p>
    <w:p w14:paraId="553A4F2E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створення потрібної і ефективної концентрації тромболітичної препарату в місці тромбозу.</w:t>
      </w:r>
    </w:p>
    <w:p w14:paraId="38FC7380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Механізм утворення тромбу при різних патологічних станах хоча загалом і подібний в сенсі участі в</w:t>
      </w:r>
      <w:r>
        <w:rPr>
          <w:sz w:val="28"/>
          <w:szCs w:val="28"/>
          <w:lang w:val="uk-UA"/>
        </w:rPr>
        <w:t xml:space="preserve"> ньому основних факторів тромбоутворення (зміни згортання і звичайно фібринолітичної систем крові, судинної стінки, порушення кровообігу), проте роль кожного з них, очевидно, не завжди тотожна, що може вплинути на ефективність тромболітичної терапії.</w:t>
      </w:r>
    </w:p>
    <w:p w14:paraId="47E7BC88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Істот</w:t>
      </w:r>
      <w:r>
        <w:rPr>
          <w:sz w:val="28"/>
          <w:szCs w:val="28"/>
          <w:lang w:val="uk-UA"/>
        </w:rPr>
        <w:t xml:space="preserve">не значення для ефективності тромболітичної терапії має давність утворення тромбу. Всі вчені, які займалися вивченням даного питання, одностайно вказують, що тромби, які утворилися в організмі більше доби, </w:t>
      </w:r>
      <w:r>
        <w:rPr>
          <w:sz w:val="28"/>
          <w:szCs w:val="28"/>
          <w:lang w:val="uk-UA"/>
        </w:rPr>
        <w:lastRenderedPageBreak/>
        <w:t>завжди піддаються лізису гірше, ніж свіжоутворенні</w:t>
      </w:r>
      <w:r>
        <w:rPr>
          <w:sz w:val="28"/>
          <w:szCs w:val="28"/>
          <w:lang w:val="uk-UA"/>
        </w:rPr>
        <w:t>. При інфаркті міокарда це грає першорядну роль: чим раніше розпочато тромболітична терапія, тим вона може виявитися більш ефективною.</w:t>
      </w:r>
    </w:p>
    <w:p w14:paraId="20388EBE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про значення локалізації тромбу при проведенні тромболітичної терапії ще не притягнув в достатній мірі уваги досл</w:t>
      </w:r>
      <w:r>
        <w:rPr>
          <w:sz w:val="28"/>
          <w:szCs w:val="28"/>
          <w:lang w:val="uk-UA"/>
        </w:rPr>
        <w:t>ідників. Однак не викликає сумніву, що це питання дуже важливе, тому що в області тромбу концентрація тромболітичного агента, який, як зараз прийнято, вводиться в основному внутрішньовенно, буде різною в залежності від того, знаходиться тромб поблизу чи да</w:t>
      </w:r>
      <w:r>
        <w:rPr>
          <w:sz w:val="28"/>
          <w:szCs w:val="28"/>
          <w:lang w:val="uk-UA"/>
        </w:rPr>
        <w:t>леко від місця введення препарату.</w:t>
      </w:r>
    </w:p>
    <w:p w14:paraId="34C8C0A1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Відомо що створення ефективної концентрації тромболітичної препарату в крові у великій мірі залежить від вихідного стану фібринолітичної системи крові, точніше, її окремих компонентів, які можуть взаємодіяти з препаратом.</w:t>
      </w:r>
    </w:p>
    <w:p w14:paraId="14929D68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Звичайно, при введенні фібринолізину (плазміну) завжди необхідно знати, що в крові хворого може бути підвищений вміст антиплазміну. Антіплазмін буде інактивувати плазмін, і логічний ефект може бути відсутній, або бути зниженими.</w:t>
      </w:r>
    </w:p>
    <w:p w14:paraId="57AD6C1B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 складні випадки можу</w:t>
      </w:r>
      <w:r>
        <w:rPr>
          <w:sz w:val="28"/>
          <w:szCs w:val="28"/>
          <w:lang w:val="uk-UA"/>
        </w:rPr>
        <w:t>ть виникнути при введенні хворим активаторів плазміногену. Особливо це відноситься до стрептокінази.</w:t>
      </w:r>
    </w:p>
    <w:p w14:paraId="33193308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 за все, необхідно знати, що в крові здорових людей міститься певна кількість антистрептокінази, яка має здатність зв'язувати стрептокиназу.</w:t>
      </w:r>
    </w:p>
    <w:p w14:paraId="68C790F9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Стрептокін</w:t>
      </w:r>
      <w:r>
        <w:rPr>
          <w:sz w:val="28"/>
          <w:szCs w:val="28"/>
          <w:lang w:val="uk-UA"/>
        </w:rPr>
        <w:t>аза є антигеном, і при багаторазовому її введенні титр антистрептокінази буде наростати, що вимагатиме збільшення дози препарату, що вводиться для придушення зростаючого вмісту антитіл.</w:t>
      </w:r>
    </w:p>
    <w:p w14:paraId="4B117CD8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Незважаючи на такі труднощі, які виникають у фібринолітичній системі п</w:t>
      </w:r>
      <w:r>
        <w:rPr>
          <w:sz w:val="28"/>
          <w:szCs w:val="28"/>
          <w:lang w:val="uk-UA"/>
        </w:rPr>
        <w:t>ри введенні стрептокінази, остання все ж є потужним і специфічним активатором фібринолізу, і тому багато дослідників при проведенні тромболітичної терапії віддають їй перевагу перед плазміном.</w:t>
      </w:r>
    </w:p>
    <w:p w14:paraId="78EF42E2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 фібринолізина зазвичай починають з внутрішньовенно</w:t>
      </w:r>
      <w:r>
        <w:rPr>
          <w:sz w:val="28"/>
          <w:szCs w:val="28"/>
          <w:lang w:val="uk-UA"/>
        </w:rPr>
        <w:t xml:space="preserve">го </w:t>
      </w:r>
      <w:r>
        <w:rPr>
          <w:sz w:val="28"/>
          <w:szCs w:val="28"/>
          <w:lang w:val="uk-UA"/>
        </w:rPr>
        <w:lastRenderedPageBreak/>
        <w:t>краплинного введення 30 000-60 000 ОД препарату з 10 100-20 200 ОД гепарину протягом 5-7 ч. Надалі через кожні 4 год вводять гепарин (зазвичай в дозі 10 100 ОД) і на 6-8-й день переходять на прийом пепрямих антикоагулянтів.</w:t>
      </w:r>
    </w:p>
    <w:p w14:paraId="0DE5BED5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введенні хворому стрепток</w:t>
      </w:r>
      <w:r>
        <w:rPr>
          <w:sz w:val="28"/>
          <w:szCs w:val="28"/>
          <w:lang w:val="uk-UA"/>
        </w:rPr>
        <w:t>інази звичайно спочатку визначають вміст у крові антистрептокінази, а потім вже розраховують необхідну терапевтичну дозу.</w:t>
      </w:r>
    </w:p>
    <w:p w14:paraId="41D6A60E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Фібринолізин за існуючими інструкціями вводять без урахування в крові антиплазміну (антифібринолізинів), зазвичай в одноразової наведе</w:t>
      </w:r>
      <w:r>
        <w:rPr>
          <w:sz w:val="28"/>
          <w:szCs w:val="28"/>
          <w:lang w:val="uk-UA"/>
        </w:rPr>
        <w:t>ної вище дозі. Але звичайно така доза не може надати сильну і ефективну тромболітичну дію, проте, значне збільшення дози фібринолізина і термінів його введення можливе лише при впевненості у наявності добре очищених препаратів, що не дають пірогенних реакц</w:t>
      </w:r>
      <w:r>
        <w:rPr>
          <w:sz w:val="28"/>
          <w:szCs w:val="28"/>
          <w:lang w:val="uk-UA"/>
        </w:rPr>
        <w:t>ій.</w:t>
      </w:r>
    </w:p>
    <w:p w14:paraId="62AD3529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як фібринолізин і стрептокіназа нерідко дають пірогенную реакцію, хворим одночасно вводять антигістамінні та протиалергічні препарати.</w:t>
      </w:r>
    </w:p>
    <w:p w14:paraId="29DD4A13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лікування тромболітичними препаратами дає обнадійливі результати. Вони, звичайно, діють тим краще, ч</w:t>
      </w:r>
      <w:r>
        <w:rPr>
          <w:sz w:val="28"/>
          <w:szCs w:val="28"/>
          <w:lang w:val="uk-UA"/>
        </w:rPr>
        <w:t>им раніше розпочато лікування [7].</w:t>
      </w:r>
    </w:p>
    <w:p w14:paraId="296F8F20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7D27865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5. Вплив стрептокінази на тромбоцити</w:t>
      </w:r>
    </w:p>
    <w:p w14:paraId="20619642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ACE141A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Тромболітична терапія є єдиною на сьогодні можливістю висоефективної допомоги за тромболітичного утворення. Одним із найбільш доступним і розповсюдженим препаратом є стрептокіназа. </w:t>
      </w:r>
      <w:r>
        <w:rPr>
          <w:sz w:val="28"/>
          <w:szCs w:val="28"/>
          <w:lang w:val="uk-UA"/>
        </w:rPr>
        <w:t>Основною функцією стрептокінази є утворення активного плазміну, який розчеплює фібриновий згусток. Такі вчені як: Бурлова-Васильєва Н.Г., Савчук О.Г., та ін. Дослідили вплив стрептокінази на тромбоцити. Стрептокіназа є імуногенним білком, її поява в кровот</w:t>
      </w:r>
      <w:r>
        <w:rPr>
          <w:sz w:val="28"/>
          <w:szCs w:val="28"/>
          <w:lang w:val="uk-UA"/>
        </w:rPr>
        <w:t>оці спричиняє утворення антистрептокіназних антитіл. У зв’язку з поширеністю стрептококових інфекцій у загальній популяції антитіла до стрептокінази виявляються у більшості людей. Після введення цього тромболітичного агенту рівень антитіл зростає, досягаюч</w:t>
      </w:r>
      <w:r>
        <w:rPr>
          <w:sz w:val="28"/>
          <w:szCs w:val="28"/>
          <w:lang w:val="uk-UA"/>
        </w:rPr>
        <w:t>и піку на 2-й тиждень і може залишатися підвищеним протягом наступних 4-х років. Ці антитіла можуть спричинювати алергічні реакції чи інактивацію стрептокінази, знижуючи ефективність тромболітичної терапії.</w:t>
      </w:r>
    </w:p>
    <w:p w14:paraId="2EE61724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ході дослідження встановлено, що ведення стрепт</w:t>
      </w:r>
      <w:r>
        <w:rPr>
          <w:sz w:val="28"/>
          <w:szCs w:val="28"/>
          <w:lang w:val="uk-UA"/>
        </w:rPr>
        <w:t>окінази у кровотік викликає активацію тромбоцитів. Можливо що загальний ефект активації клітин складається з суми ефектів дії плазміну та безпосередньо сомої стрептокінази. Виявлено що стрептокіназа і гепарин мають здатність інгібувати АДФ-залежну агрегаці</w:t>
      </w:r>
      <w:r>
        <w:rPr>
          <w:sz w:val="28"/>
          <w:szCs w:val="28"/>
          <w:lang w:val="uk-UA"/>
        </w:rPr>
        <w:t>ю одразу після введення хворим на ГІМ.</w:t>
      </w:r>
    </w:p>
    <w:p w14:paraId="4C1296EB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Проведені дослідження дозволяють стверджувати, що стрептокіназа має вплив на тромбоцитарну мембрану. Можливо має місце конкурентне інгібування зязування стрептокінази і АДФ з рецепторами на поверхні клітини. Повторне </w:t>
      </w:r>
      <w:r>
        <w:rPr>
          <w:sz w:val="28"/>
          <w:szCs w:val="28"/>
          <w:lang w:val="uk-UA"/>
        </w:rPr>
        <w:t>застосування стрептокінази у якості тромболітичного агента може призвести до подальшого розвитку порушень у функціонуванні тромбоцитарної мембрани та до утворення значної кількості антитіл у кровотоці. З огляду на результати дослідження повторне застосуван</w:t>
      </w:r>
      <w:r>
        <w:rPr>
          <w:sz w:val="28"/>
          <w:szCs w:val="28"/>
          <w:lang w:val="uk-UA"/>
        </w:rPr>
        <w:t>ня стрептокінази як тромболітичного агенту є небажаним [8].</w:t>
      </w:r>
    </w:p>
    <w:p w14:paraId="0034A338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6. Фібринолізин</w:t>
      </w:r>
    </w:p>
    <w:p w14:paraId="7E6659C1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78E4D15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характеристика:</w:t>
      </w:r>
    </w:p>
    <w:p w14:paraId="692FEC2D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фізико-хімічні властивості: аморфний порошок білого кольору, гігроскопічний;</w:t>
      </w:r>
    </w:p>
    <w:p w14:paraId="6E847A79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склад. 1 ампула містить 300 ОД фібринолітичної активності.</w:t>
      </w:r>
    </w:p>
    <w:p w14:paraId="6B5B6506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ви</w:t>
      </w:r>
      <w:r>
        <w:rPr>
          <w:sz w:val="28"/>
          <w:szCs w:val="28"/>
          <w:lang w:val="uk-UA"/>
        </w:rPr>
        <w:t>пуску. Порошок ліофілізований для приготування розчину для ін’єкцій.</w:t>
      </w:r>
    </w:p>
    <w:p w14:paraId="2C3F74C4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Фармакотерапевтична група. Антитромбічні засоби. Код АТС B01A D05.</w:t>
      </w:r>
    </w:p>
    <w:p w14:paraId="196F5819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Фармакологічні властивості.</w:t>
      </w:r>
    </w:p>
    <w:p w14:paraId="5F938934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Фармакодинаміка. Фібринолізин - компонент крові людини, який одержують при ферментативній ак</w:t>
      </w:r>
      <w:r>
        <w:rPr>
          <w:sz w:val="28"/>
          <w:szCs w:val="28"/>
          <w:lang w:val="uk-UA"/>
        </w:rPr>
        <w:t>тивації трипсином профібринолізину плазми крові людини. У медичній практиці використовується у вигляді безбарвних прозорих розчинів, які готують із порошку безпосередньо перед застосуванням. Активність препарату визначають біологічним шляхом за здатністю с</w:t>
      </w:r>
      <w:r>
        <w:rPr>
          <w:sz w:val="28"/>
          <w:szCs w:val="28"/>
          <w:lang w:val="uk-UA"/>
        </w:rPr>
        <w:t>причиняти лізис свіжого стандартного згустку фібрину протягом 30 хвилин при температурі 37 С і виражають в одиницях дії (ОД).</w:t>
      </w:r>
    </w:p>
    <w:p w14:paraId="3A036CBA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Фібринолізин відноситься до засобів, що діють на згортальність крові. Фібринолізин є фізіологічним компонентом природної протизгор</w:t>
      </w:r>
      <w:r>
        <w:rPr>
          <w:sz w:val="28"/>
          <w:szCs w:val="28"/>
          <w:lang w:val="uk-UA"/>
        </w:rPr>
        <w:t>тальної системи організму. Механізм дії препарату пов’язаний з його здатністю розщеплювати нитки фібрину (діє як протеолітичний фермент). Найбільший ефект засобу досягається при його ранньому застосуванні при патологічних процесах, які супроводжуються випа</w:t>
      </w:r>
      <w:r>
        <w:rPr>
          <w:sz w:val="28"/>
          <w:szCs w:val="28"/>
          <w:lang w:val="uk-UA"/>
        </w:rPr>
        <w:t>данням згустків фібрину та утворенням тромбів. Ефективність знижується при більш давньому існуванні тромбу.</w:t>
      </w:r>
    </w:p>
    <w:p w14:paraId="306EF76F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Фармакокінетика.Не вивчалася.</w:t>
      </w:r>
    </w:p>
    <w:p w14:paraId="2C172B53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Показання для застосування. Травматичні крововиливи в офтальмологічній практиці - не раніше 4-ї доби з моменту внутріш</w:t>
      </w:r>
      <w:r>
        <w:rPr>
          <w:sz w:val="28"/>
          <w:szCs w:val="28"/>
          <w:lang w:val="uk-UA"/>
        </w:rPr>
        <w:t>ньоочної травми. Тромбоз центральної артерії або вени сітківки та її гілок, крововиливи в передню камеру ока, склоподібне тіло, сітківку.</w:t>
      </w:r>
    </w:p>
    <w:p w14:paraId="0FE5EC5E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Спосіб застосування та дози. Фібринолізин вводять підкон’юнктивально.</w:t>
      </w:r>
    </w:p>
    <w:p w14:paraId="02A98421" w14:textId="77777777" w:rsidR="00000000" w:rsidRDefault="00BD73EE">
      <w:pPr>
        <w:pStyle w:val="5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Вміст ампули розчиняють у 0,5 мл води для ін’єкц</w:t>
      </w:r>
      <w:r>
        <w:rPr>
          <w:sz w:val="28"/>
          <w:szCs w:val="28"/>
          <w:lang w:val="uk-UA"/>
        </w:rPr>
        <w:t>ій. Розчин вводять під кон’юнктиву склери чи нижньої перехідної складки після попередньої анестезії шляхом інстиляції у кон’юнктивальний мішок 0,5% розчину дикаїну. Повторні ін’єкції проводять через 1-2 доби. Загальна кількість ін’єкцій - від 3 до 10 (900-</w:t>
      </w:r>
      <w:r>
        <w:rPr>
          <w:sz w:val="28"/>
          <w:szCs w:val="28"/>
          <w:lang w:val="uk-UA"/>
        </w:rPr>
        <w:t>3500 ОД).</w:t>
      </w:r>
    </w:p>
    <w:p w14:paraId="3C3E9F62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Побічна дія. Можливі алергічні реакції (гіперемія обличчя, кропив’янка тощо). Для зняття побічних явищ необхідно зменшити дозу препарату, а при тяжкій реакції відмінити препарат, ввести промедол, антигістамінні засоби. При субкон’юнктивальному вв</w:t>
      </w:r>
      <w:r>
        <w:rPr>
          <w:sz w:val="28"/>
          <w:szCs w:val="28"/>
          <w:lang w:val="uk-UA"/>
        </w:rPr>
        <w:t>еденні препарату можливий біль у ділянці ін’єкції, який швидко минає.</w:t>
      </w:r>
    </w:p>
    <w:p w14:paraId="497551B0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Протипоказання. Підвищена чутливість до препарату.</w:t>
      </w:r>
    </w:p>
    <w:p w14:paraId="34CBAAAC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Передозування. Не вивчалося.</w:t>
      </w:r>
    </w:p>
    <w:p w14:paraId="045F6B3E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застосування. Лікування проводять під ретельним контролем системи згортання крові. Слід дотрим</w:t>
      </w:r>
      <w:r>
        <w:rPr>
          <w:sz w:val="28"/>
          <w:szCs w:val="28"/>
          <w:lang w:val="uk-UA"/>
        </w:rPr>
        <w:t>уватись особливої обережності при призначенні препарату пацієнтам, вік яких перевищує 70 років. Досвід застосування препарату для дітей, вагітних та для жінок у період лактації відсутній.</w:t>
      </w:r>
    </w:p>
    <w:p w14:paraId="5BA1EC6F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Взаємодія з іншими лікарськими засобами. Не вивчалася.</w:t>
      </w:r>
    </w:p>
    <w:p w14:paraId="6DF84007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Умови та терм</w:t>
      </w:r>
      <w:r>
        <w:rPr>
          <w:sz w:val="28"/>
          <w:szCs w:val="28"/>
          <w:lang w:val="uk-UA"/>
        </w:rPr>
        <w:t>ін зберігання. Зберігати при температурі не вище 10</w:t>
      </w:r>
      <w:r>
        <w:rPr>
          <w:sz w:val="28"/>
          <w:szCs w:val="28"/>
          <w:vertAlign w:val="superscript"/>
          <w:lang w:val="uk-UA"/>
        </w:rPr>
        <w:t>0</w:t>
      </w:r>
      <w:r>
        <w:rPr>
          <w:sz w:val="28"/>
          <w:szCs w:val="28"/>
          <w:lang w:val="uk-UA"/>
        </w:rPr>
        <w:t>С.</w:t>
      </w:r>
    </w:p>
    <w:p w14:paraId="67BD4759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 придатності - 2 роки.</w:t>
      </w:r>
    </w:p>
    <w:p w14:paraId="63671671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Умови відпуску. За рецептом [9].</w:t>
      </w:r>
    </w:p>
    <w:p w14:paraId="04D4E996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711CE9E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7. Стрептокіназа</w:t>
      </w:r>
    </w:p>
    <w:p w14:paraId="01308D45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EA84BEF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Стрептокіназа - прямий активатор плазміногену. Це одноланцюговий поліпептид, який не містить вуглеводів, з молекулярною</w:t>
      </w:r>
      <w:r>
        <w:rPr>
          <w:sz w:val="28"/>
          <w:szCs w:val="28"/>
          <w:lang w:val="uk-UA"/>
        </w:rPr>
        <w:t xml:space="preserve"> масою 47000, який виробляється з культури бета-гемолітичного стрептокока групи С (за класифікацією Лансфільда).</w:t>
      </w:r>
    </w:p>
    <w:p w14:paraId="5975EEAF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Стрептокіназа - неферментний білок, який утворює стехеометрично 1:1 комплекс з плазміном, молекула якого при цьому зазнає конформаційні зміни, </w:t>
      </w:r>
      <w:r>
        <w:rPr>
          <w:sz w:val="28"/>
          <w:szCs w:val="28"/>
          <w:lang w:val="uk-UA"/>
        </w:rPr>
        <w:t>що приводять до оголення його активного центру. Комплекс Стрептокіназа - плазміноген грає роль ферменту в перетворенні ендогенного плазміногену в плазмін, причому він приблизно однаковою мірою активує як пов'язані з фібріновим тромбом, так і вільні, що цир</w:t>
      </w:r>
      <w:r>
        <w:rPr>
          <w:sz w:val="28"/>
          <w:szCs w:val="28"/>
          <w:lang w:val="uk-UA"/>
        </w:rPr>
        <w:t>кулюють у крові молекули плазміногену. Т1 / 2 стрептокінази 15-25 хв. Стрептокиназу отримують з культури бактерій, внаслідок чого вона володіє антигенними властивостями. У крові людини завжди виявляються антитіла проти стрептокінази, що пов'язано з великою</w:t>
      </w:r>
      <w:r>
        <w:rPr>
          <w:sz w:val="28"/>
          <w:szCs w:val="28"/>
          <w:lang w:val="uk-UA"/>
        </w:rPr>
        <w:t xml:space="preserve"> поширеністю стрептококових інфекцій у загальній популяції. Титри антистрептокіназних антитіл швидко наростають протягом декількох днів після її введення і через кілька тижнів досягають піку. Цей пік може в 1000 разів перевищувати вихідні титри антитіл про</w:t>
      </w:r>
      <w:r>
        <w:rPr>
          <w:sz w:val="28"/>
          <w:szCs w:val="28"/>
          <w:lang w:val="uk-UA"/>
        </w:rPr>
        <w:t>ти стрептокінази. У частини хворих титри антистрептокіназних антитіл повертаються до вихідного рівня (до її введення) через 6 міс, проте в багатьох випадках титри цих антитіл залишаються підвищеними у хворих, які отримували стрептокиназу 2-4 роки тому, обу</w:t>
      </w:r>
      <w:r>
        <w:rPr>
          <w:sz w:val="28"/>
          <w:szCs w:val="28"/>
          <w:lang w:val="uk-UA"/>
        </w:rPr>
        <w:t>мовлюючи резистентність до повторного введення препарату, а також алергічні реакції .</w:t>
      </w:r>
    </w:p>
    <w:p w14:paraId="1C52933B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динаміку антистрептокіназних антитіл, зазвичай не рекомендують повторне введення стрептокінази після проведеного лікування, а також відразу після перенесеної с</w:t>
      </w:r>
      <w:r>
        <w:rPr>
          <w:sz w:val="28"/>
          <w:szCs w:val="28"/>
          <w:lang w:val="uk-UA"/>
        </w:rPr>
        <w:t>трептококової інфекції. У той же час нещодавно показано (М. Buchalter і співавт., 1992 р.), що протягом 72 год. після лікування стрептокіназою повторне її введення (при необхідності) може бути ефективним і безпечним у більшості хворих.</w:t>
      </w:r>
    </w:p>
    <w:p w14:paraId="26E7083D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профілактики але</w:t>
      </w:r>
      <w:r>
        <w:rPr>
          <w:sz w:val="28"/>
          <w:szCs w:val="28"/>
          <w:lang w:val="uk-UA"/>
        </w:rPr>
        <w:t>ргічних реакцій (включаючи анафілактичний шок) деякі автори рекомендують перед введенням стрептокінази внутрішньовенно ввести кортикостероїди (до 180-240 мг преднізолону) та / або антигістамінні препарати.</w:t>
      </w:r>
    </w:p>
    <w:p w14:paraId="0833E2C8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Частотою прохідності інфаркт-пов'язаної коронарної</w:t>
      </w:r>
      <w:r>
        <w:rPr>
          <w:sz w:val="28"/>
          <w:szCs w:val="28"/>
          <w:lang w:val="uk-UA"/>
        </w:rPr>
        <w:t xml:space="preserve"> артерії, збільшується, але при цьому значно зростає ризик розвитку гіпотонії [10].</w:t>
      </w:r>
    </w:p>
    <w:p w14:paraId="498FC53C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B8E5994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Лікарський препарат Стрептокіназа</w:t>
      </w:r>
    </w:p>
    <w:p w14:paraId="0F0F40E2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738E7D4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Назва: Стрептокіназа (Streptokinase)</w:t>
      </w:r>
    </w:p>
    <w:p w14:paraId="3D22A607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Фармакологічна дія: Активує фібринолітичну (розчинювальну згусток крові) ферментну систему, роз</w:t>
      </w:r>
      <w:r>
        <w:rPr>
          <w:sz w:val="28"/>
          <w:szCs w:val="28"/>
          <w:lang w:val="uk-UA"/>
        </w:rPr>
        <w:t>щеплює міститься в тромбах фібрин, в результаті чого відбувається тромболізис (розчинення згустку крові).</w:t>
      </w:r>
    </w:p>
    <w:p w14:paraId="7548379A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Показання до застосування: Емболія (закупорка) легеневої артерії та її гілок; тромбоз (утворення згустку крові в посудині) артерій і емболія периферич</w:t>
      </w:r>
      <w:r>
        <w:rPr>
          <w:sz w:val="28"/>
          <w:szCs w:val="28"/>
          <w:lang w:val="uk-UA"/>
        </w:rPr>
        <w:t>них артерій при консервативному (нехірургічного) лікуванні; тромбоз поверхневих і глибоких вен кінцівок; гострий інфаркт міокарда протягом перших 12 год.; закупорка судин сітківки очі.</w:t>
      </w:r>
    </w:p>
    <w:p w14:paraId="6E89FFB6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Спосіб застосування: Вводять стрептокиназу внутрішньовенно крапельно, а</w:t>
      </w:r>
      <w:r>
        <w:rPr>
          <w:sz w:val="28"/>
          <w:szCs w:val="28"/>
          <w:lang w:val="uk-UA"/>
        </w:rPr>
        <w:t xml:space="preserve"> в необхідних випадках внутрішньоартеріально. Внутрішньовенно вводять зазвичай у початковій дозі 250000 ME (ИЕ) в 50 мл ізотонічного розчину натрію хлориду протягом 30 хв. (30 крапель на хвилину). Ця доза зазвичай викликає початок лізису (розчинення) тромб</w:t>
      </w:r>
      <w:r>
        <w:rPr>
          <w:sz w:val="28"/>
          <w:szCs w:val="28"/>
          <w:lang w:val="uk-UA"/>
        </w:rPr>
        <w:t>у. Потім продовжують введення стрептокінази в дозі 100 000 ME в годину. Загальна тривалість введення становить, як правило, 16-18 ч. Подальше лікування проводять гепарином і антикоагулянтами непрямої дії. При великих артеріальних і венозних тромбозах іноді</w:t>
      </w:r>
      <w:r>
        <w:rPr>
          <w:sz w:val="28"/>
          <w:szCs w:val="28"/>
          <w:lang w:val="uk-UA"/>
        </w:rPr>
        <w:t xml:space="preserve"> необхідно тривале введення стрептокінази. Внутрішньоартеріальне введення стрептокінази застосовують в гострому періоді інфаркту міокарда (початкова доза 20000 ME; підтримуюча - 2000-4000 ME в хвилину протягом 30-90 хв.). У всіх випадках введення стрептокі</w:t>
      </w:r>
      <w:r>
        <w:rPr>
          <w:sz w:val="28"/>
          <w:szCs w:val="28"/>
          <w:lang w:val="uk-UA"/>
        </w:rPr>
        <w:t>нази слід починати якомога раніше, оскільки кращий ефект спостерігається при свіжих тромбах. Лікування стрептокіназою проводять під контролем тромбінового часу (показника згортання крові) і вмісту в крові фібриногену (одного з факторів згортання крові).</w:t>
      </w:r>
    </w:p>
    <w:p w14:paraId="3F23D131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>бічні дії: Можливі неспецифічні реакції на білок; головний біль, нудота, легкий озноб, алергічні реакції; гематоми (обмежене скупчення крові в тканини /синяк /) при внутрішньом'язових ін'єкціях; кровотечі після пункції (проколювання голкою). Для попереджен</w:t>
      </w:r>
      <w:r>
        <w:rPr>
          <w:sz w:val="28"/>
          <w:szCs w:val="28"/>
          <w:lang w:val="uk-UA"/>
        </w:rPr>
        <w:t>ня алергічних реакцій рекомендується одночасно зі стрептокіназою вводити внутрішньовенно 50 мг преднізолону.</w:t>
      </w:r>
    </w:p>
    <w:p w14:paraId="5C1D2A2D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Протипоказання: Геморагічні діатези (підвищена кровоточивість), недавні кровотечі, виражена гіпертонія (стійкий підйом артеріального тиску), стрепт</w:t>
      </w:r>
      <w:r>
        <w:rPr>
          <w:sz w:val="28"/>
          <w:szCs w:val="28"/>
          <w:lang w:val="uk-UA"/>
        </w:rPr>
        <w:t>ококовий сепсис (зараження крові мікробами /стрептококами /з вогнища гнійного запалення), виразка шлунка, септичний ендокардит (захворювання внутрішніх порожнин серця внаслідок наявності в крові мікробів) , важка форма цукрового діабету, вагітність [11]</w:t>
      </w:r>
    </w:p>
    <w:p w14:paraId="65E7F755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F0862CE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t>Висновок</w:t>
      </w:r>
    </w:p>
    <w:p w14:paraId="4FC33407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EAFDD6B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Тромболітична терапія є сучасним високоефективним методом лікування тромбозу.</w:t>
      </w:r>
    </w:p>
    <w:p w14:paraId="0BCE026E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Механізм утворення тромбу при різних патологічних станах хоча загалом і подібний в сенсі участі в ньому основних факторів тромбоутворення (зміни згортання і звичайно фі</w:t>
      </w:r>
      <w:r>
        <w:rPr>
          <w:sz w:val="28"/>
          <w:szCs w:val="28"/>
          <w:lang w:val="uk-UA"/>
        </w:rPr>
        <w:t>бринолітичної систем крові, судинної стінки, порушення кровообігу), проте роль кожного з них, очевидно, не завжди тотожна, що може вплинути на ефективність тромболітичної терапії.</w:t>
      </w:r>
    </w:p>
    <w:p w14:paraId="793FDE0B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Істотне значення для ефективності тромболітичної терапії має давність утворе</w:t>
      </w:r>
      <w:r>
        <w:rPr>
          <w:sz w:val="28"/>
          <w:szCs w:val="28"/>
          <w:lang w:val="uk-UA"/>
        </w:rPr>
        <w:t>ння тромбу. Всі вчені, які займалися вивченням даного питання, одностайно вказують, що тромби, які утворилися в організмі більше доби, завжди піддаються лізису гірше, ніж свіжоутворенні.</w:t>
      </w:r>
    </w:p>
    <w:p w14:paraId="22365305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Стрептокіназа має вплив на тромбоцитарну мембрану. Повторне застосува</w:t>
      </w:r>
      <w:r>
        <w:rPr>
          <w:sz w:val="28"/>
          <w:szCs w:val="28"/>
          <w:lang w:val="uk-UA"/>
        </w:rPr>
        <w:t>ння стрептокінази у якості тромболітичного агента може призвести до подальшого розвитку порушень у функціонуванні тромбоцитарної мембрани та до утворення значної кількості антитіл у кровотоці. Повторне застосування стрептокінази як тромболітичного агенту є</w:t>
      </w:r>
      <w:r>
        <w:rPr>
          <w:sz w:val="28"/>
          <w:szCs w:val="28"/>
          <w:lang w:val="uk-UA"/>
        </w:rPr>
        <w:t xml:space="preserve"> небажаним.</w:t>
      </w:r>
    </w:p>
    <w:p w14:paraId="191BA695" w14:textId="77777777" w:rsidR="00000000" w:rsidRDefault="00BD73EE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тромб терапія фібринолізин стрептокіназа</w:t>
      </w:r>
    </w:p>
    <w:p w14:paraId="54D26BB5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Список літератури</w:t>
      </w:r>
    </w:p>
    <w:p w14:paraId="277AE6D5" w14:textId="77777777" w:rsidR="00000000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0F63852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Кардангушева A.M. Питание и факторы риска основных сердечно-сосудистых заболеваний. Автореф. дис. канд. мед. наук. - Нальчик, 2002. - 25</w:t>
      </w:r>
    </w:p>
    <w:p w14:paraId="70DB6B71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Регіонарний тромболізис в лікуванні тромб</w:t>
      </w:r>
      <w:r>
        <w:rPr>
          <w:sz w:val="28"/>
          <w:szCs w:val="28"/>
          <w:lang w:val="uk-UA"/>
        </w:rPr>
        <w:t>озів глибоких вен системи нижньої порожнистої вени: [методичні рекомендації] / І.І. Мітюк, О.М. Скупий, О.І. Мітюк, Я.В. Хребтій. - Київ, 2006. - 17 с</w:t>
      </w:r>
    </w:p>
    <w:p w14:paraId="2CB5BD19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Амосова Е.Н., Дыкун Я.В., Мишалов В.Г. Посібник із тромболітичної терапії. - К., 1998. - 162 с. 2.</w:t>
      </w:r>
    </w:p>
    <w:p w14:paraId="5324230D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Дз</w:t>
      </w:r>
      <w:r>
        <w:rPr>
          <w:sz w:val="28"/>
          <w:szCs w:val="28"/>
          <w:lang w:val="uk-UA"/>
        </w:rPr>
        <w:t>як Г.В., Коваль Е.А. Тромболітична терапія при гострому коронарному синдромі з элевацией сегмента ST: чи необхідно змінити стандарт реперфузійної терапії // Український кардіологічний журнал. - 2004. - №1. - С. 15-21.</w:t>
      </w:r>
    </w:p>
    <w:p w14:paraId="2C6181B1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Зяблов Ю.І., Округін С.А., Орлова С.</w:t>
      </w:r>
      <w:r>
        <w:rPr>
          <w:sz w:val="28"/>
          <w:szCs w:val="28"/>
          <w:lang w:val="uk-UA"/>
        </w:rPr>
        <w:t>Д. Виникнення, перебіг і найближчий результат гострого інфаркту міокарда у чоловіків і жінок / / Клін. Медицина 2001. - №11. - С. 26-28.</w:t>
      </w:r>
    </w:p>
    <w:p w14:paraId="33B92038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Кательнйцкая Л.И., Джагессар Р.К., Коган Т.Т. и др. Особенности дисфункции эндотелия при остром коронарном синдроме у</w:t>
      </w:r>
      <w:r>
        <w:rPr>
          <w:sz w:val="28"/>
          <w:szCs w:val="28"/>
          <w:lang w:val="uk-UA"/>
        </w:rPr>
        <w:t xml:space="preserve"> лиц молодого возраста // Российский кардіологи-ческий журнал. 2004. - №5 (49) .- С. 22</w:t>
      </w:r>
    </w:p>
    <w:p w14:paraId="6015D1AB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Бурлова-Васильєва Н.К., Савчук О.М., Краснобрижа Є.М., Укр. кардіол. журн. - 2007. - №4. - С. 8-12.</w:t>
      </w:r>
    </w:p>
    <w:p w14:paraId="40197858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Електронний ресурс: Інструкція фібринолізину. Режим доступу: htt</w:t>
      </w:r>
      <w:r>
        <w:rPr>
          <w:sz w:val="28"/>
          <w:szCs w:val="28"/>
          <w:lang w:val="uk-UA"/>
        </w:rPr>
        <w:t>p://mozdocs.kiev.ua.</w:t>
      </w:r>
    </w:p>
    <w:p w14:paraId="2C2A9F09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Електронний ресурс: Стрептокіназа. Режим доступу: cardiology-manual.com.ua.</w:t>
      </w:r>
    </w:p>
    <w:p w14:paraId="7A23F8A7" w14:textId="77777777" w:rsidR="00000000" w:rsidRDefault="00BD73EE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Електронний ресурс: Інструкція стрептокіназа. Режим доступу: http://mozdocs.kiev.ua.</w:t>
      </w:r>
    </w:p>
    <w:p w14:paraId="51071D72" w14:textId="77777777" w:rsidR="00BD73EE" w:rsidRDefault="00BD73E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sectPr w:rsidR="00BD73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6F"/>
    <w:rsid w:val="0034466F"/>
    <w:rsid w:val="00B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21A1B"/>
  <w14:defaultImageDpi w14:val="0"/>
  <w15:docId w15:val="{C7246E79-703E-4C40-85BA-DE66FE0E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3994</Words>
  <Characters>22767</Characters>
  <Application>Microsoft Office Word</Application>
  <DocSecurity>0</DocSecurity>
  <Lines>189</Lines>
  <Paragraphs>53</Paragraphs>
  <ScaleCrop>false</ScaleCrop>
  <Company/>
  <LinksUpToDate>false</LinksUpToDate>
  <CharactersWithSpaces>26708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2024-12-23T15:52:00Z</dcterms:created>
  <dcterms:modified xsi:type="dcterms:W3CDTF">2024-12-23T15:52:00Z</dcterms:modified>
</cp:coreProperties>
</file>