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E846" w14:textId="77777777" w:rsidR="00000000" w:rsidRDefault="00B4274B">
      <w:pPr>
        <w:spacing w:line="360" w:lineRule="auto"/>
        <w:ind w:firstLine="709"/>
        <w:jc w:val="both"/>
        <w:rPr>
          <w:sz w:val="28"/>
          <w:szCs w:val="28"/>
          <w:lang w:val="uk-UA"/>
        </w:rPr>
      </w:pPr>
      <w:r>
        <w:rPr>
          <w:sz w:val="28"/>
          <w:szCs w:val="28"/>
          <w:lang w:val="uk-UA"/>
        </w:rPr>
        <w:t>ЗМІСТ</w:t>
      </w:r>
    </w:p>
    <w:p w14:paraId="7F389E37" w14:textId="77777777" w:rsidR="00000000" w:rsidRDefault="00B4274B">
      <w:pPr>
        <w:spacing w:line="360" w:lineRule="auto"/>
        <w:ind w:firstLine="709"/>
        <w:jc w:val="both"/>
        <w:rPr>
          <w:sz w:val="28"/>
          <w:szCs w:val="28"/>
          <w:lang w:val="uk-UA"/>
        </w:rPr>
      </w:pPr>
    </w:p>
    <w:p w14:paraId="3A1AAD8D" w14:textId="77777777" w:rsidR="00000000" w:rsidRDefault="00B4274B">
      <w:pPr>
        <w:spacing w:line="360" w:lineRule="auto"/>
        <w:rPr>
          <w:sz w:val="28"/>
          <w:szCs w:val="28"/>
          <w:lang w:val="uk-UA"/>
        </w:rPr>
      </w:pPr>
      <w:r>
        <w:rPr>
          <w:sz w:val="28"/>
          <w:szCs w:val="28"/>
          <w:lang w:val="uk-UA"/>
        </w:rPr>
        <w:t>ЗАГАЛЬНА ХАРАКТЕРИСТИКА ЛІКАРСЬКОГО ПРЕПАРАТУ «КОЗААР»</w:t>
      </w:r>
    </w:p>
    <w:p w14:paraId="2C80C095" w14:textId="77777777" w:rsidR="00000000" w:rsidRDefault="00B4274B">
      <w:pPr>
        <w:spacing w:line="360" w:lineRule="auto"/>
        <w:rPr>
          <w:sz w:val="28"/>
          <w:szCs w:val="28"/>
          <w:lang w:val="uk-UA"/>
        </w:rPr>
      </w:pPr>
      <w:r>
        <w:rPr>
          <w:sz w:val="28"/>
          <w:szCs w:val="28"/>
          <w:lang w:val="uk-UA"/>
        </w:rPr>
        <w:t>СХЕМА МЕХАНІЗМУ ДІЇ ЛІКАРСЬКОГО ПРЕПАРАТУ «КОЗААР»</w:t>
      </w:r>
    </w:p>
    <w:p w14:paraId="6268DD1B" w14:textId="77777777" w:rsidR="00000000" w:rsidRDefault="00B4274B">
      <w:pPr>
        <w:spacing w:line="360" w:lineRule="auto"/>
        <w:rPr>
          <w:sz w:val="28"/>
          <w:szCs w:val="28"/>
          <w:lang w:val="uk-UA"/>
        </w:rPr>
      </w:pPr>
      <w:r>
        <w:rPr>
          <w:sz w:val="28"/>
          <w:szCs w:val="28"/>
          <w:lang w:val="uk-UA"/>
        </w:rPr>
        <w:t>ДАНІ ПРО ФАРКАКОКІНЕТИКУ ЛІКАРСЬКОГО ПРЕПАРАТУ «КОЗААР»</w:t>
      </w:r>
    </w:p>
    <w:p w14:paraId="6BF751DD" w14:textId="77777777" w:rsidR="00000000" w:rsidRDefault="00B4274B">
      <w:pPr>
        <w:spacing w:line="360" w:lineRule="auto"/>
        <w:rPr>
          <w:sz w:val="28"/>
          <w:szCs w:val="28"/>
          <w:lang w:val="uk-UA"/>
        </w:rPr>
      </w:pPr>
      <w:r>
        <w:rPr>
          <w:sz w:val="28"/>
          <w:szCs w:val="28"/>
          <w:lang w:val="uk-UA"/>
        </w:rPr>
        <w:t>ДАНІ ПРО ПОБІЧНІ ЕФЕКТИ ЛІКАРСЬКОГО ПРЕПАРАТУ «КОЗААР» ТА ЧАСТОТУ ЇХ ВИНИКНЕННЯ</w:t>
      </w:r>
    </w:p>
    <w:p w14:paraId="0A0C6B32" w14:textId="77777777" w:rsidR="00000000" w:rsidRDefault="00B4274B">
      <w:pPr>
        <w:spacing w:line="360" w:lineRule="auto"/>
        <w:rPr>
          <w:sz w:val="28"/>
          <w:szCs w:val="28"/>
          <w:lang w:val="uk-UA"/>
        </w:rPr>
      </w:pPr>
      <w:r>
        <w:rPr>
          <w:sz w:val="28"/>
          <w:szCs w:val="28"/>
          <w:lang w:val="uk-UA"/>
        </w:rPr>
        <w:t>ОСОБЛИ</w:t>
      </w:r>
      <w:r>
        <w:rPr>
          <w:sz w:val="28"/>
          <w:szCs w:val="28"/>
          <w:lang w:val="uk-UA"/>
        </w:rPr>
        <w:t>ВОСТІ ВИКОРИСТАННЯ ПРЕПАРАТУ В ОКРЕМИХ КАТЕГОРІЯХ ПАЦІЄНТІВ</w:t>
      </w:r>
    </w:p>
    <w:p w14:paraId="197923D3" w14:textId="77777777" w:rsidR="00000000" w:rsidRDefault="00B4274B">
      <w:pPr>
        <w:spacing w:line="360" w:lineRule="auto"/>
        <w:rPr>
          <w:sz w:val="28"/>
          <w:szCs w:val="28"/>
          <w:lang w:val="uk-UA"/>
        </w:rPr>
      </w:pPr>
      <w:r>
        <w:rPr>
          <w:sz w:val="28"/>
          <w:szCs w:val="28"/>
          <w:lang w:val="uk-UA"/>
        </w:rPr>
        <w:t>ВЗАЄМОДІЯ ПРЕПАРАТА «КОЗААР» З ПРЕПАРАТАМИ ІНШИХ ФАРМАКОЛОГІЧНИХ ГРУП</w:t>
      </w:r>
    </w:p>
    <w:p w14:paraId="57601424" w14:textId="77777777" w:rsidR="00000000" w:rsidRDefault="00B4274B">
      <w:pPr>
        <w:spacing w:line="360" w:lineRule="auto"/>
        <w:rPr>
          <w:sz w:val="28"/>
          <w:szCs w:val="28"/>
          <w:lang w:val="uk-UA"/>
        </w:rPr>
      </w:pPr>
      <w:r>
        <w:rPr>
          <w:sz w:val="28"/>
          <w:szCs w:val="28"/>
          <w:lang w:val="uk-UA"/>
        </w:rPr>
        <w:t>ОСОБЛИВОСТІ ВЗАЄМОДІЇ ПРЕПАРАТА «КОЗААР» З ЇЖЕЮ</w:t>
      </w:r>
    </w:p>
    <w:p w14:paraId="1BF195A7" w14:textId="77777777" w:rsidR="00000000" w:rsidRDefault="00B4274B">
      <w:pPr>
        <w:spacing w:line="360" w:lineRule="auto"/>
        <w:rPr>
          <w:sz w:val="28"/>
          <w:szCs w:val="28"/>
          <w:lang w:val="uk-UA"/>
        </w:rPr>
      </w:pPr>
      <w:r>
        <w:rPr>
          <w:sz w:val="28"/>
          <w:szCs w:val="28"/>
          <w:lang w:val="uk-UA"/>
        </w:rPr>
        <w:t>ПЕРЕЛІК ВИКОРИСТАНОЇ ЛІТЕРАТУРИ</w:t>
      </w:r>
    </w:p>
    <w:p w14:paraId="1E06E2B7" w14:textId="77777777" w:rsidR="00000000" w:rsidRDefault="00B4274B">
      <w:pPr>
        <w:spacing w:line="360" w:lineRule="auto"/>
        <w:ind w:firstLine="709"/>
        <w:jc w:val="both"/>
        <w:rPr>
          <w:sz w:val="28"/>
          <w:szCs w:val="28"/>
          <w:lang w:val="uk-UA"/>
        </w:rPr>
      </w:pPr>
    </w:p>
    <w:p w14:paraId="09343F0E" w14:textId="77777777" w:rsidR="00000000" w:rsidRDefault="00B4274B">
      <w:pPr>
        <w:spacing w:line="360" w:lineRule="auto"/>
        <w:ind w:firstLine="709"/>
        <w:jc w:val="both"/>
        <w:rPr>
          <w:rFonts w:ascii="Calibri" w:hAnsi="Calibri" w:cs="Calibri"/>
          <w:sz w:val="28"/>
          <w:szCs w:val="28"/>
          <w:lang w:val="uk-UA"/>
        </w:rPr>
      </w:pPr>
      <w:r>
        <w:rPr>
          <w:sz w:val="28"/>
          <w:szCs w:val="28"/>
          <w:lang w:val="uk-UA"/>
        </w:rPr>
        <w:br w:type="page"/>
      </w:r>
    </w:p>
    <w:p w14:paraId="3463B4E2" w14:textId="77777777" w:rsidR="00000000" w:rsidRDefault="00B4274B">
      <w:pPr>
        <w:pStyle w:val="1"/>
        <w:spacing w:line="360" w:lineRule="auto"/>
        <w:ind w:firstLine="709"/>
        <w:jc w:val="both"/>
        <w:rPr>
          <w:sz w:val="28"/>
          <w:szCs w:val="28"/>
          <w:lang w:val="uk-UA"/>
        </w:rPr>
      </w:pPr>
      <w:r>
        <w:rPr>
          <w:sz w:val="28"/>
          <w:szCs w:val="28"/>
          <w:lang w:val="uk-UA"/>
        </w:rPr>
        <w:t>ЗАГАЛЬНА ХАРАКТЕРИСТИКА ЛІКАРСЬКОГО ПРЕПАР</w:t>
      </w:r>
      <w:r>
        <w:rPr>
          <w:sz w:val="28"/>
          <w:szCs w:val="28"/>
          <w:lang w:val="uk-UA"/>
        </w:rPr>
        <w:t>АТУ «КОЗААР»</w:t>
      </w:r>
    </w:p>
    <w:p w14:paraId="701F0FCD" w14:textId="77777777" w:rsidR="00000000" w:rsidRDefault="00B4274B">
      <w:pPr>
        <w:spacing w:line="360" w:lineRule="auto"/>
        <w:ind w:firstLine="709"/>
        <w:jc w:val="both"/>
        <w:rPr>
          <w:sz w:val="28"/>
          <w:szCs w:val="28"/>
          <w:lang w:val="uk-UA"/>
        </w:rPr>
      </w:pPr>
    </w:p>
    <w:p w14:paraId="72AE132C" w14:textId="77777777" w:rsidR="00000000" w:rsidRDefault="00B4274B">
      <w:pPr>
        <w:tabs>
          <w:tab w:val="left" w:pos="0"/>
          <w:tab w:val="left" w:pos="540"/>
        </w:tabs>
        <w:spacing w:line="360" w:lineRule="auto"/>
        <w:ind w:firstLine="709"/>
        <w:jc w:val="both"/>
        <w:rPr>
          <w:sz w:val="28"/>
          <w:szCs w:val="28"/>
          <w:lang w:val="uk-UA"/>
        </w:rPr>
      </w:pPr>
      <w:r>
        <w:rPr>
          <w:sz w:val="28"/>
          <w:szCs w:val="28"/>
          <w:lang w:val="uk-UA"/>
        </w:rPr>
        <w:t>Гіпотензивний препарат, який є специфічним блокатором ангіотензин II рецепторів. Не подавляє кіназу II - фермент, який руйнує брадикардин. Знижує концентрацию у крові норєпінефріна і альдостерона, АТ, тиск у малому колі кровообігу; зменшує по</w:t>
      </w:r>
      <w:r>
        <w:rPr>
          <w:sz w:val="28"/>
          <w:szCs w:val="28"/>
          <w:lang w:val="uk-UA"/>
        </w:rPr>
        <w:t>стнагрузку, оказує діуретичний ефект. Перешкоджає розвитку гіпертрофії міокарду, збільшує толерантність до фізичних вправ.</w:t>
      </w:r>
    </w:p>
    <w:p w14:paraId="1B2267D0" w14:textId="77777777" w:rsidR="00000000" w:rsidRDefault="00B4274B">
      <w:pPr>
        <w:spacing w:line="360" w:lineRule="auto"/>
        <w:ind w:firstLine="709"/>
        <w:jc w:val="both"/>
        <w:rPr>
          <w:sz w:val="28"/>
          <w:szCs w:val="28"/>
          <w:lang w:val="uk-UA"/>
        </w:rPr>
      </w:pPr>
    </w:p>
    <w:p w14:paraId="11F54E89" w14:textId="77777777" w:rsidR="00000000" w:rsidRDefault="00B4274B">
      <w:pPr>
        <w:spacing w:line="360" w:lineRule="auto"/>
        <w:ind w:firstLine="709"/>
        <w:jc w:val="both"/>
        <w:rPr>
          <w:sz w:val="28"/>
          <w:szCs w:val="28"/>
          <w:lang w:val="uk-UA"/>
        </w:rPr>
      </w:pPr>
      <w:r>
        <w:rPr>
          <w:sz w:val="28"/>
          <w:szCs w:val="28"/>
          <w:lang w:val="uk-UA"/>
        </w:rPr>
        <w:t>Таблиця 1</w:t>
      </w:r>
    </w:p>
    <w:p w14:paraId="0AD2AB8C" w14:textId="77777777" w:rsidR="00000000" w:rsidRDefault="00B4274B">
      <w:pPr>
        <w:spacing w:line="360" w:lineRule="auto"/>
        <w:ind w:firstLine="709"/>
        <w:jc w:val="both"/>
        <w:rPr>
          <w:sz w:val="28"/>
          <w:szCs w:val="28"/>
          <w:lang w:val="uk-UA"/>
        </w:rPr>
      </w:pPr>
      <w:r>
        <w:rPr>
          <w:sz w:val="28"/>
          <w:szCs w:val="28"/>
          <w:lang w:val="uk-UA"/>
        </w:rPr>
        <w:t>Інформація щодо походження досліджуємого ЛП</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2340"/>
        <w:gridCol w:w="2700"/>
        <w:gridCol w:w="2350"/>
      </w:tblGrid>
      <w:tr w:rsidR="00000000" w14:paraId="00FE6C7E"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4F0BE22A" w14:textId="77777777" w:rsidR="00000000" w:rsidRDefault="00B4274B">
            <w:pPr>
              <w:spacing w:line="276" w:lineRule="auto"/>
              <w:rPr>
                <w:sz w:val="20"/>
                <w:szCs w:val="20"/>
                <w:lang w:val="uk-UA"/>
              </w:rPr>
            </w:pPr>
            <w:r>
              <w:rPr>
                <w:sz w:val="20"/>
                <w:szCs w:val="20"/>
                <w:lang w:val="uk-UA"/>
              </w:rPr>
              <w:t>Препарат</w:t>
            </w:r>
          </w:p>
        </w:tc>
        <w:tc>
          <w:tcPr>
            <w:tcW w:w="2340" w:type="dxa"/>
            <w:tcBorders>
              <w:top w:val="single" w:sz="6" w:space="0" w:color="auto"/>
              <w:left w:val="single" w:sz="6" w:space="0" w:color="auto"/>
              <w:bottom w:val="single" w:sz="6" w:space="0" w:color="auto"/>
              <w:right w:val="single" w:sz="6" w:space="0" w:color="auto"/>
            </w:tcBorders>
          </w:tcPr>
          <w:p w14:paraId="15F049F7" w14:textId="77777777" w:rsidR="00000000" w:rsidRDefault="00B4274B">
            <w:pPr>
              <w:spacing w:line="276" w:lineRule="auto"/>
              <w:rPr>
                <w:sz w:val="20"/>
                <w:szCs w:val="20"/>
                <w:lang w:val="uk-UA"/>
              </w:rPr>
            </w:pPr>
            <w:r>
              <w:rPr>
                <w:sz w:val="20"/>
                <w:szCs w:val="20"/>
                <w:lang w:val="uk-UA"/>
              </w:rPr>
              <w:t>Фармакологічна група</w:t>
            </w:r>
          </w:p>
        </w:tc>
        <w:tc>
          <w:tcPr>
            <w:tcW w:w="2700" w:type="dxa"/>
            <w:tcBorders>
              <w:top w:val="single" w:sz="6" w:space="0" w:color="auto"/>
              <w:left w:val="single" w:sz="6" w:space="0" w:color="auto"/>
              <w:bottom w:val="single" w:sz="6" w:space="0" w:color="auto"/>
              <w:right w:val="single" w:sz="6" w:space="0" w:color="auto"/>
            </w:tcBorders>
          </w:tcPr>
          <w:p w14:paraId="3E524101" w14:textId="77777777" w:rsidR="00000000" w:rsidRDefault="00B4274B">
            <w:pPr>
              <w:spacing w:line="276" w:lineRule="auto"/>
              <w:rPr>
                <w:sz w:val="20"/>
                <w:szCs w:val="20"/>
                <w:lang w:val="uk-UA"/>
              </w:rPr>
            </w:pPr>
            <w:r>
              <w:rPr>
                <w:sz w:val="20"/>
                <w:szCs w:val="20"/>
                <w:lang w:val="uk-UA"/>
              </w:rPr>
              <w:t>Міжнародна непатентована назва</w:t>
            </w:r>
          </w:p>
        </w:tc>
        <w:tc>
          <w:tcPr>
            <w:tcW w:w="2350" w:type="dxa"/>
            <w:tcBorders>
              <w:top w:val="single" w:sz="6" w:space="0" w:color="auto"/>
              <w:left w:val="single" w:sz="6" w:space="0" w:color="auto"/>
              <w:bottom w:val="single" w:sz="6" w:space="0" w:color="auto"/>
              <w:right w:val="single" w:sz="6" w:space="0" w:color="auto"/>
            </w:tcBorders>
          </w:tcPr>
          <w:p w14:paraId="749486A5" w14:textId="77777777" w:rsidR="00000000" w:rsidRDefault="00B4274B">
            <w:pPr>
              <w:spacing w:line="276" w:lineRule="auto"/>
              <w:rPr>
                <w:sz w:val="20"/>
                <w:szCs w:val="20"/>
                <w:lang w:val="uk-UA"/>
              </w:rPr>
            </w:pPr>
            <w:r>
              <w:rPr>
                <w:sz w:val="20"/>
                <w:szCs w:val="20"/>
                <w:lang w:val="uk-UA"/>
              </w:rPr>
              <w:t>Назва бренду,  фі</w:t>
            </w:r>
            <w:r>
              <w:rPr>
                <w:sz w:val="20"/>
                <w:szCs w:val="20"/>
                <w:lang w:val="uk-UA"/>
              </w:rPr>
              <w:t>рма-виробник</w:t>
            </w:r>
          </w:p>
        </w:tc>
      </w:tr>
      <w:tr w:rsidR="00000000" w14:paraId="2164D47A"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3B94DDB0" w14:textId="77777777" w:rsidR="00000000" w:rsidRDefault="00B4274B">
            <w:pPr>
              <w:spacing w:line="276" w:lineRule="auto"/>
              <w:rPr>
                <w:sz w:val="20"/>
                <w:szCs w:val="20"/>
                <w:lang w:val="uk-UA"/>
              </w:rPr>
            </w:pPr>
            <w:r>
              <w:rPr>
                <w:sz w:val="20"/>
                <w:szCs w:val="20"/>
                <w:lang w:val="uk-UA"/>
              </w:rPr>
              <w:t>Козаар</w:t>
            </w:r>
          </w:p>
        </w:tc>
        <w:tc>
          <w:tcPr>
            <w:tcW w:w="2340" w:type="dxa"/>
            <w:tcBorders>
              <w:top w:val="single" w:sz="6" w:space="0" w:color="auto"/>
              <w:left w:val="single" w:sz="6" w:space="0" w:color="auto"/>
              <w:bottom w:val="single" w:sz="6" w:space="0" w:color="auto"/>
              <w:right w:val="single" w:sz="6" w:space="0" w:color="auto"/>
            </w:tcBorders>
          </w:tcPr>
          <w:p w14:paraId="59098074" w14:textId="77777777" w:rsidR="00000000" w:rsidRDefault="00B4274B">
            <w:pPr>
              <w:spacing w:line="276" w:lineRule="auto"/>
              <w:rPr>
                <w:sz w:val="20"/>
                <w:szCs w:val="20"/>
                <w:lang w:val="uk-UA"/>
              </w:rPr>
            </w:pPr>
            <w:r>
              <w:rPr>
                <w:sz w:val="20"/>
                <w:szCs w:val="20"/>
                <w:lang w:val="uk-UA"/>
              </w:rPr>
              <w:t>Ангіотензина Iiрецепторів антагоніст</w:t>
            </w:r>
          </w:p>
        </w:tc>
        <w:tc>
          <w:tcPr>
            <w:tcW w:w="2700" w:type="dxa"/>
            <w:tcBorders>
              <w:top w:val="single" w:sz="6" w:space="0" w:color="auto"/>
              <w:left w:val="single" w:sz="6" w:space="0" w:color="auto"/>
              <w:bottom w:val="single" w:sz="6" w:space="0" w:color="auto"/>
              <w:right w:val="single" w:sz="6" w:space="0" w:color="auto"/>
            </w:tcBorders>
          </w:tcPr>
          <w:p w14:paraId="5C91CD70" w14:textId="77777777" w:rsidR="00000000" w:rsidRDefault="00B4274B">
            <w:pPr>
              <w:spacing w:line="276" w:lineRule="auto"/>
              <w:rPr>
                <w:sz w:val="20"/>
                <w:szCs w:val="20"/>
                <w:lang w:val="uk-UA"/>
              </w:rPr>
            </w:pPr>
            <w:r>
              <w:rPr>
                <w:sz w:val="20"/>
                <w:szCs w:val="20"/>
                <w:lang w:val="uk-UA"/>
              </w:rPr>
              <w:t>Лозартан</w:t>
            </w:r>
          </w:p>
        </w:tc>
        <w:tc>
          <w:tcPr>
            <w:tcW w:w="2350" w:type="dxa"/>
            <w:tcBorders>
              <w:top w:val="single" w:sz="6" w:space="0" w:color="auto"/>
              <w:left w:val="single" w:sz="6" w:space="0" w:color="auto"/>
              <w:bottom w:val="single" w:sz="6" w:space="0" w:color="auto"/>
              <w:right w:val="single" w:sz="6" w:space="0" w:color="auto"/>
            </w:tcBorders>
          </w:tcPr>
          <w:p w14:paraId="60831FB9" w14:textId="77777777" w:rsidR="00000000" w:rsidRDefault="00B4274B">
            <w:pPr>
              <w:spacing w:line="276" w:lineRule="auto"/>
              <w:rPr>
                <w:sz w:val="20"/>
                <w:szCs w:val="20"/>
                <w:lang w:val="uk-UA"/>
              </w:rPr>
            </w:pPr>
            <w:r>
              <w:rPr>
                <w:sz w:val="20"/>
                <w:szCs w:val="20"/>
                <w:lang w:val="uk-UA"/>
              </w:rPr>
              <w:t>Merck Sharp &amp;Dohme B.V., Нідерланди</w:t>
            </w:r>
          </w:p>
        </w:tc>
      </w:tr>
    </w:tbl>
    <w:p w14:paraId="3437FEC0" w14:textId="77777777" w:rsidR="00000000" w:rsidRDefault="00B4274B">
      <w:pPr>
        <w:tabs>
          <w:tab w:val="left" w:pos="0"/>
          <w:tab w:val="left" w:pos="540"/>
        </w:tabs>
        <w:spacing w:line="360" w:lineRule="auto"/>
        <w:ind w:firstLine="709"/>
        <w:jc w:val="both"/>
        <w:rPr>
          <w:sz w:val="28"/>
          <w:szCs w:val="28"/>
          <w:lang w:val="uk-UA"/>
        </w:rPr>
      </w:pPr>
    </w:p>
    <w:p w14:paraId="6334C897" w14:textId="77777777" w:rsidR="00000000" w:rsidRDefault="00B4274B">
      <w:pPr>
        <w:spacing w:line="360" w:lineRule="auto"/>
        <w:ind w:firstLine="709"/>
        <w:jc w:val="both"/>
        <w:rPr>
          <w:sz w:val="28"/>
          <w:szCs w:val="28"/>
          <w:lang w:val="uk-UA"/>
        </w:rPr>
      </w:pPr>
      <w:r>
        <w:rPr>
          <w:sz w:val="28"/>
          <w:szCs w:val="28"/>
          <w:lang w:val="uk-UA"/>
        </w:rPr>
        <w:t>Таблиця 2</w:t>
      </w:r>
    </w:p>
    <w:p w14:paraId="7B003593" w14:textId="77777777" w:rsidR="00000000" w:rsidRDefault="00B4274B">
      <w:pPr>
        <w:spacing w:line="360" w:lineRule="auto"/>
        <w:ind w:firstLine="709"/>
        <w:jc w:val="both"/>
        <w:rPr>
          <w:sz w:val="28"/>
          <w:szCs w:val="28"/>
          <w:lang w:val="uk-UA"/>
        </w:rPr>
      </w:pPr>
      <w:r>
        <w:rPr>
          <w:sz w:val="28"/>
          <w:szCs w:val="28"/>
          <w:lang w:val="uk-UA"/>
        </w:rPr>
        <w:t>Інформація щодо реєстрації в Україні аналогів досліджуємого ЛП</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84"/>
        <w:gridCol w:w="2317"/>
        <w:gridCol w:w="3353"/>
        <w:gridCol w:w="1985"/>
      </w:tblGrid>
      <w:tr w:rsidR="00000000" w14:paraId="683B085D" w14:textId="77777777">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14:paraId="521437BF" w14:textId="77777777" w:rsidR="00000000" w:rsidRDefault="00B4274B">
            <w:pPr>
              <w:spacing w:line="276" w:lineRule="auto"/>
              <w:rPr>
                <w:sz w:val="20"/>
                <w:szCs w:val="20"/>
                <w:lang w:val="uk-UA"/>
              </w:rPr>
            </w:pPr>
            <w:r>
              <w:rPr>
                <w:sz w:val="20"/>
                <w:szCs w:val="20"/>
                <w:lang w:val="uk-UA"/>
              </w:rPr>
              <w:t>Синонім</w:t>
            </w:r>
          </w:p>
        </w:tc>
        <w:tc>
          <w:tcPr>
            <w:tcW w:w="2317" w:type="dxa"/>
            <w:tcBorders>
              <w:top w:val="single" w:sz="6" w:space="0" w:color="auto"/>
              <w:left w:val="single" w:sz="6" w:space="0" w:color="auto"/>
              <w:bottom w:val="single" w:sz="6" w:space="0" w:color="auto"/>
              <w:right w:val="single" w:sz="6" w:space="0" w:color="auto"/>
            </w:tcBorders>
          </w:tcPr>
          <w:p w14:paraId="6CAB713A" w14:textId="77777777" w:rsidR="00000000" w:rsidRDefault="00B4274B">
            <w:pPr>
              <w:spacing w:line="276" w:lineRule="auto"/>
              <w:rPr>
                <w:sz w:val="20"/>
                <w:szCs w:val="20"/>
                <w:lang w:val="uk-UA"/>
              </w:rPr>
            </w:pPr>
            <w:r>
              <w:rPr>
                <w:sz w:val="20"/>
                <w:szCs w:val="20"/>
                <w:lang w:val="uk-UA"/>
              </w:rPr>
              <w:t>Фірма-виробник</w:t>
            </w:r>
          </w:p>
        </w:tc>
        <w:tc>
          <w:tcPr>
            <w:tcW w:w="3353" w:type="dxa"/>
            <w:tcBorders>
              <w:top w:val="single" w:sz="6" w:space="0" w:color="auto"/>
              <w:left w:val="single" w:sz="6" w:space="0" w:color="auto"/>
              <w:bottom w:val="single" w:sz="6" w:space="0" w:color="auto"/>
              <w:right w:val="single" w:sz="6" w:space="0" w:color="auto"/>
            </w:tcBorders>
          </w:tcPr>
          <w:p w14:paraId="0823ABEB" w14:textId="77777777" w:rsidR="00000000" w:rsidRDefault="00B4274B">
            <w:pPr>
              <w:spacing w:line="276" w:lineRule="auto"/>
              <w:rPr>
                <w:sz w:val="20"/>
                <w:szCs w:val="20"/>
                <w:lang w:val="uk-UA"/>
              </w:rPr>
            </w:pPr>
            <w:r>
              <w:rPr>
                <w:sz w:val="20"/>
                <w:szCs w:val="20"/>
                <w:lang w:val="uk-UA"/>
              </w:rPr>
              <w:t>Реєстрація в Україні (№ реєстраційного посвідчення)</w:t>
            </w:r>
          </w:p>
        </w:tc>
        <w:tc>
          <w:tcPr>
            <w:tcW w:w="1985" w:type="dxa"/>
            <w:tcBorders>
              <w:top w:val="single" w:sz="6" w:space="0" w:color="auto"/>
              <w:left w:val="single" w:sz="6" w:space="0" w:color="auto"/>
              <w:bottom w:val="single" w:sz="6" w:space="0" w:color="auto"/>
              <w:right w:val="single" w:sz="6" w:space="0" w:color="auto"/>
            </w:tcBorders>
          </w:tcPr>
          <w:p w14:paraId="5B8714EF" w14:textId="77777777" w:rsidR="00000000" w:rsidRDefault="00B4274B">
            <w:pPr>
              <w:spacing w:line="276" w:lineRule="auto"/>
              <w:rPr>
                <w:sz w:val="20"/>
                <w:szCs w:val="20"/>
                <w:lang w:val="uk-UA"/>
              </w:rPr>
            </w:pPr>
            <w:r>
              <w:rPr>
                <w:sz w:val="20"/>
                <w:szCs w:val="20"/>
                <w:lang w:val="uk-UA"/>
              </w:rPr>
              <w:t>Те</w:t>
            </w:r>
            <w:r>
              <w:rPr>
                <w:sz w:val="20"/>
                <w:szCs w:val="20"/>
                <w:lang w:val="uk-UA"/>
              </w:rPr>
              <w:t>рмін реєстрації</w:t>
            </w:r>
          </w:p>
        </w:tc>
      </w:tr>
      <w:tr w:rsidR="00000000" w14:paraId="05BF654E"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3BBCB512" w14:textId="77777777" w:rsidR="00000000" w:rsidRDefault="00B4274B">
            <w:pPr>
              <w:spacing w:line="276" w:lineRule="auto"/>
              <w:rPr>
                <w:sz w:val="20"/>
                <w:szCs w:val="20"/>
                <w:lang w:val="uk-UA"/>
              </w:rPr>
            </w:pPr>
            <w:r>
              <w:rPr>
                <w:sz w:val="20"/>
                <w:szCs w:val="20"/>
                <w:lang w:val="uk-UA"/>
              </w:rPr>
              <w:t>Ангізар</w:t>
            </w:r>
          </w:p>
        </w:tc>
        <w:tc>
          <w:tcPr>
            <w:tcW w:w="2317" w:type="dxa"/>
            <w:tcBorders>
              <w:top w:val="single" w:sz="6" w:space="0" w:color="auto"/>
              <w:left w:val="single" w:sz="6" w:space="0" w:color="auto"/>
              <w:bottom w:val="single" w:sz="6" w:space="0" w:color="auto"/>
              <w:right w:val="single" w:sz="6" w:space="0" w:color="auto"/>
            </w:tcBorders>
          </w:tcPr>
          <w:p w14:paraId="517B52D9" w14:textId="77777777" w:rsidR="00000000" w:rsidRDefault="00B4274B">
            <w:pPr>
              <w:spacing w:line="276" w:lineRule="auto"/>
              <w:rPr>
                <w:sz w:val="20"/>
                <w:szCs w:val="20"/>
                <w:lang w:val="uk-UA"/>
              </w:rPr>
            </w:pPr>
            <w:r>
              <w:rPr>
                <w:sz w:val="20"/>
                <w:szCs w:val="20"/>
                <w:lang w:val="uk-UA"/>
              </w:rPr>
              <w:t>Micro Labs, Індія</w:t>
            </w:r>
          </w:p>
        </w:tc>
        <w:tc>
          <w:tcPr>
            <w:tcW w:w="3353" w:type="dxa"/>
            <w:tcBorders>
              <w:top w:val="single" w:sz="6" w:space="0" w:color="auto"/>
              <w:left w:val="single" w:sz="6" w:space="0" w:color="auto"/>
              <w:bottom w:val="single" w:sz="6" w:space="0" w:color="auto"/>
              <w:right w:val="single" w:sz="6" w:space="0" w:color="auto"/>
            </w:tcBorders>
          </w:tcPr>
          <w:p w14:paraId="03262A79" w14:textId="77777777" w:rsidR="00000000" w:rsidRDefault="00B4274B">
            <w:pPr>
              <w:spacing w:line="276" w:lineRule="auto"/>
              <w:rPr>
                <w:sz w:val="20"/>
                <w:szCs w:val="20"/>
                <w:lang w:val="uk-UA"/>
              </w:rPr>
            </w:pPr>
            <w:r>
              <w:rPr>
                <w:sz w:val="20"/>
                <w:szCs w:val="20"/>
                <w:lang w:val="uk-UA"/>
              </w:rPr>
              <w:t>UA/3163/01/01 від 01.09.2010</w:t>
            </w:r>
          </w:p>
        </w:tc>
        <w:tc>
          <w:tcPr>
            <w:tcW w:w="1985" w:type="dxa"/>
            <w:tcBorders>
              <w:top w:val="single" w:sz="6" w:space="0" w:color="auto"/>
              <w:left w:val="single" w:sz="6" w:space="0" w:color="auto"/>
              <w:bottom w:val="single" w:sz="6" w:space="0" w:color="auto"/>
              <w:right w:val="single" w:sz="6" w:space="0" w:color="auto"/>
            </w:tcBorders>
          </w:tcPr>
          <w:p w14:paraId="6A381D0D" w14:textId="77777777" w:rsidR="00000000" w:rsidRDefault="00B4274B">
            <w:pPr>
              <w:spacing w:line="276" w:lineRule="auto"/>
              <w:rPr>
                <w:sz w:val="20"/>
                <w:szCs w:val="20"/>
                <w:lang w:val="uk-UA"/>
              </w:rPr>
            </w:pPr>
            <w:r>
              <w:rPr>
                <w:sz w:val="20"/>
                <w:szCs w:val="20"/>
                <w:lang w:val="uk-UA"/>
              </w:rPr>
              <w:t>01.09.2015</w:t>
            </w:r>
          </w:p>
        </w:tc>
      </w:tr>
      <w:tr w:rsidR="00000000" w14:paraId="40F913F4"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1A9E02D5" w14:textId="77777777" w:rsidR="00000000" w:rsidRDefault="00B4274B">
            <w:pPr>
              <w:spacing w:line="276" w:lineRule="auto"/>
              <w:rPr>
                <w:sz w:val="20"/>
                <w:szCs w:val="20"/>
                <w:lang w:val="uk-UA"/>
              </w:rPr>
            </w:pPr>
            <w:r>
              <w:rPr>
                <w:sz w:val="20"/>
                <w:szCs w:val="20"/>
                <w:lang w:val="uk-UA"/>
              </w:rPr>
              <w:t>Гіперзар</w:t>
            </w:r>
          </w:p>
        </w:tc>
        <w:tc>
          <w:tcPr>
            <w:tcW w:w="2317" w:type="dxa"/>
            <w:tcBorders>
              <w:top w:val="single" w:sz="6" w:space="0" w:color="auto"/>
              <w:left w:val="single" w:sz="6" w:space="0" w:color="auto"/>
              <w:bottom w:val="single" w:sz="6" w:space="0" w:color="auto"/>
              <w:right w:val="single" w:sz="6" w:space="0" w:color="auto"/>
            </w:tcBorders>
          </w:tcPr>
          <w:p w14:paraId="3ADF6046" w14:textId="77777777" w:rsidR="00000000" w:rsidRDefault="00B4274B">
            <w:pPr>
              <w:spacing w:line="276" w:lineRule="auto"/>
              <w:rPr>
                <w:sz w:val="20"/>
                <w:szCs w:val="20"/>
                <w:lang w:val="uk-UA"/>
              </w:rPr>
            </w:pPr>
            <w:r>
              <w:rPr>
                <w:sz w:val="20"/>
                <w:szCs w:val="20"/>
                <w:lang w:val="uk-UA"/>
              </w:rPr>
              <w:t>Genom Biotech, Індія</w:t>
            </w:r>
          </w:p>
        </w:tc>
        <w:tc>
          <w:tcPr>
            <w:tcW w:w="3353" w:type="dxa"/>
            <w:tcBorders>
              <w:top w:val="single" w:sz="6" w:space="0" w:color="auto"/>
              <w:left w:val="single" w:sz="6" w:space="0" w:color="auto"/>
              <w:bottom w:val="single" w:sz="6" w:space="0" w:color="auto"/>
              <w:right w:val="single" w:sz="6" w:space="0" w:color="auto"/>
            </w:tcBorders>
          </w:tcPr>
          <w:p w14:paraId="267D2E6E" w14:textId="77777777" w:rsidR="00000000" w:rsidRDefault="00B4274B">
            <w:pPr>
              <w:spacing w:line="276" w:lineRule="auto"/>
              <w:rPr>
                <w:sz w:val="20"/>
                <w:szCs w:val="20"/>
                <w:lang w:val="uk-UA"/>
              </w:rPr>
            </w:pPr>
            <w:r>
              <w:rPr>
                <w:sz w:val="20"/>
                <w:szCs w:val="20"/>
                <w:lang w:val="uk-UA"/>
              </w:rPr>
              <w:t>UA/0275/01/01 від 17.12.2008</w:t>
            </w:r>
          </w:p>
        </w:tc>
        <w:tc>
          <w:tcPr>
            <w:tcW w:w="1985" w:type="dxa"/>
            <w:tcBorders>
              <w:top w:val="single" w:sz="6" w:space="0" w:color="auto"/>
              <w:left w:val="single" w:sz="6" w:space="0" w:color="auto"/>
              <w:bottom w:val="single" w:sz="6" w:space="0" w:color="auto"/>
              <w:right w:val="single" w:sz="6" w:space="0" w:color="auto"/>
            </w:tcBorders>
          </w:tcPr>
          <w:p w14:paraId="2B6AF300" w14:textId="77777777" w:rsidR="00000000" w:rsidRDefault="00B4274B">
            <w:pPr>
              <w:spacing w:line="276" w:lineRule="auto"/>
              <w:rPr>
                <w:sz w:val="20"/>
                <w:szCs w:val="20"/>
                <w:lang w:val="uk-UA"/>
              </w:rPr>
            </w:pPr>
            <w:r>
              <w:rPr>
                <w:sz w:val="20"/>
                <w:szCs w:val="20"/>
                <w:lang w:val="uk-UA"/>
              </w:rPr>
              <w:t>31.03.2013</w:t>
            </w:r>
          </w:p>
        </w:tc>
      </w:tr>
      <w:tr w:rsidR="00000000" w14:paraId="3C8A4C24"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2E7F4006" w14:textId="77777777" w:rsidR="00000000" w:rsidRDefault="00B4274B">
            <w:pPr>
              <w:spacing w:line="276" w:lineRule="auto"/>
              <w:rPr>
                <w:sz w:val="20"/>
                <w:szCs w:val="20"/>
                <w:lang w:val="uk-UA"/>
              </w:rPr>
            </w:pPr>
            <w:r>
              <w:rPr>
                <w:sz w:val="20"/>
                <w:szCs w:val="20"/>
                <w:lang w:val="uk-UA"/>
              </w:rPr>
              <w:t>Клосарт</w:t>
            </w:r>
          </w:p>
        </w:tc>
        <w:tc>
          <w:tcPr>
            <w:tcW w:w="2317" w:type="dxa"/>
            <w:tcBorders>
              <w:top w:val="single" w:sz="6" w:space="0" w:color="auto"/>
              <w:left w:val="single" w:sz="6" w:space="0" w:color="auto"/>
              <w:bottom w:val="single" w:sz="6" w:space="0" w:color="auto"/>
              <w:right w:val="single" w:sz="6" w:space="0" w:color="auto"/>
            </w:tcBorders>
          </w:tcPr>
          <w:p w14:paraId="62C7EB7D" w14:textId="77777777" w:rsidR="00000000" w:rsidRDefault="00B4274B">
            <w:pPr>
              <w:spacing w:line="276" w:lineRule="auto"/>
              <w:rPr>
                <w:sz w:val="20"/>
                <w:szCs w:val="20"/>
                <w:lang w:val="uk-UA"/>
              </w:rPr>
            </w:pPr>
            <w:r>
              <w:rPr>
                <w:sz w:val="20"/>
                <w:szCs w:val="20"/>
                <w:lang w:val="uk-UA"/>
              </w:rPr>
              <w:t>Кусум Фарм, Україна (Суми)</w:t>
            </w:r>
          </w:p>
        </w:tc>
        <w:tc>
          <w:tcPr>
            <w:tcW w:w="3353" w:type="dxa"/>
            <w:tcBorders>
              <w:top w:val="single" w:sz="6" w:space="0" w:color="auto"/>
              <w:left w:val="single" w:sz="6" w:space="0" w:color="auto"/>
              <w:bottom w:val="single" w:sz="6" w:space="0" w:color="auto"/>
              <w:right w:val="single" w:sz="6" w:space="0" w:color="auto"/>
            </w:tcBorders>
          </w:tcPr>
          <w:p w14:paraId="2AA1F4ED" w14:textId="77777777" w:rsidR="00000000" w:rsidRDefault="00B4274B">
            <w:pPr>
              <w:spacing w:line="276" w:lineRule="auto"/>
              <w:rPr>
                <w:sz w:val="20"/>
                <w:szCs w:val="20"/>
                <w:lang w:val="uk-UA"/>
              </w:rPr>
            </w:pPr>
            <w:r>
              <w:rPr>
                <w:sz w:val="20"/>
                <w:szCs w:val="20"/>
                <w:lang w:val="uk-UA"/>
              </w:rPr>
              <w:t>UA/8765/01/01 від 16.08.2013</w:t>
            </w:r>
          </w:p>
        </w:tc>
        <w:tc>
          <w:tcPr>
            <w:tcW w:w="1985" w:type="dxa"/>
            <w:tcBorders>
              <w:top w:val="single" w:sz="6" w:space="0" w:color="auto"/>
              <w:left w:val="single" w:sz="6" w:space="0" w:color="auto"/>
              <w:bottom w:val="single" w:sz="6" w:space="0" w:color="auto"/>
              <w:right w:val="single" w:sz="6" w:space="0" w:color="auto"/>
            </w:tcBorders>
          </w:tcPr>
          <w:p w14:paraId="223DEBC3" w14:textId="77777777" w:rsidR="00000000" w:rsidRDefault="00B4274B">
            <w:pPr>
              <w:spacing w:line="276" w:lineRule="auto"/>
              <w:rPr>
                <w:sz w:val="20"/>
                <w:szCs w:val="20"/>
                <w:lang w:val="uk-UA"/>
              </w:rPr>
            </w:pPr>
            <w:r>
              <w:rPr>
                <w:sz w:val="20"/>
                <w:szCs w:val="20"/>
                <w:lang w:val="uk-UA"/>
              </w:rPr>
              <w:t>16.08.2018</w:t>
            </w:r>
          </w:p>
        </w:tc>
      </w:tr>
      <w:tr w:rsidR="00000000" w14:paraId="5728EAD5"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2097D2AD" w14:textId="77777777" w:rsidR="00000000" w:rsidRDefault="00B4274B">
            <w:pPr>
              <w:spacing w:line="276" w:lineRule="auto"/>
              <w:rPr>
                <w:sz w:val="20"/>
                <w:szCs w:val="20"/>
                <w:lang w:val="uk-UA"/>
              </w:rPr>
            </w:pPr>
            <w:r>
              <w:rPr>
                <w:sz w:val="20"/>
                <w:szCs w:val="20"/>
                <w:lang w:val="uk-UA"/>
              </w:rPr>
              <w:t>Лозап</w:t>
            </w:r>
          </w:p>
        </w:tc>
        <w:tc>
          <w:tcPr>
            <w:tcW w:w="2317" w:type="dxa"/>
            <w:tcBorders>
              <w:top w:val="single" w:sz="6" w:space="0" w:color="auto"/>
              <w:left w:val="single" w:sz="6" w:space="0" w:color="auto"/>
              <w:bottom w:val="single" w:sz="6" w:space="0" w:color="auto"/>
              <w:right w:val="single" w:sz="6" w:space="0" w:color="auto"/>
            </w:tcBorders>
          </w:tcPr>
          <w:p w14:paraId="7B7A0944" w14:textId="77777777" w:rsidR="00000000" w:rsidRDefault="00B4274B">
            <w:pPr>
              <w:spacing w:line="276" w:lineRule="auto"/>
              <w:rPr>
                <w:sz w:val="20"/>
                <w:szCs w:val="20"/>
                <w:lang w:val="uk-UA"/>
              </w:rPr>
            </w:pPr>
            <w:r>
              <w:rPr>
                <w:sz w:val="20"/>
                <w:szCs w:val="20"/>
                <w:lang w:val="uk-UA"/>
              </w:rPr>
              <w:t>Zentiva, Словакія</w:t>
            </w:r>
          </w:p>
        </w:tc>
        <w:tc>
          <w:tcPr>
            <w:tcW w:w="3353" w:type="dxa"/>
            <w:tcBorders>
              <w:top w:val="single" w:sz="6" w:space="0" w:color="auto"/>
              <w:left w:val="single" w:sz="6" w:space="0" w:color="auto"/>
              <w:bottom w:val="single" w:sz="6" w:space="0" w:color="auto"/>
              <w:right w:val="single" w:sz="6" w:space="0" w:color="auto"/>
            </w:tcBorders>
          </w:tcPr>
          <w:p w14:paraId="13C26E6A" w14:textId="77777777" w:rsidR="00000000" w:rsidRDefault="00B4274B">
            <w:pPr>
              <w:spacing w:line="276" w:lineRule="auto"/>
              <w:rPr>
                <w:sz w:val="20"/>
                <w:szCs w:val="20"/>
                <w:lang w:val="uk-UA"/>
              </w:rPr>
            </w:pPr>
            <w:r>
              <w:rPr>
                <w:sz w:val="20"/>
                <w:szCs w:val="20"/>
                <w:lang w:val="uk-UA"/>
              </w:rPr>
              <w:t>UA/3906/01/04 від 11.10.2010</w:t>
            </w:r>
          </w:p>
        </w:tc>
        <w:tc>
          <w:tcPr>
            <w:tcW w:w="1985" w:type="dxa"/>
            <w:tcBorders>
              <w:top w:val="single" w:sz="6" w:space="0" w:color="auto"/>
              <w:left w:val="single" w:sz="6" w:space="0" w:color="auto"/>
              <w:bottom w:val="single" w:sz="6" w:space="0" w:color="auto"/>
              <w:right w:val="single" w:sz="6" w:space="0" w:color="auto"/>
            </w:tcBorders>
          </w:tcPr>
          <w:p w14:paraId="2512A3F6" w14:textId="77777777" w:rsidR="00000000" w:rsidRDefault="00B4274B">
            <w:pPr>
              <w:spacing w:line="276" w:lineRule="auto"/>
              <w:rPr>
                <w:sz w:val="20"/>
                <w:szCs w:val="20"/>
                <w:lang w:val="uk-UA"/>
              </w:rPr>
            </w:pPr>
            <w:r>
              <w:rPr>
                <w:sz w:val="20"/>
                <w:szCs w:val="20"/>
                <w:lang w:val="uk-UA"/>
              </w:rPr>
              <w:t>11.10.2015</w:t>
            </w:r>
          </w:p>
        </w:tc>
      </w:tr>
      <w:tr w:rsidR="00000000" w14:paraId="403BA548"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57C5DEBF" w14:textId="77777777" w:rsidR="00000000" w:rsidRDefault="00B4274B">
            <w:pPr>
              <w:spacing w:line="276" w:lineRule="auto"/>
              <w:rPr>
                <w:sz w:val="20"/>
                <w:szCs w:val="20"/>
                <w:lang w:val="uk-UA"/>
              </w:rPr>
            </w:pPr>
            <w:r>
              <w:rPr>
                <w:sz w:val="20"/>
                <w:szCs w:val="20"/>
                <w:lang w:val="uk-UA"/>
              </w:rPr>
              <w:t>Лозартан</w:t>
            </w:r>
          </w:p>
        </w:tc>
        <w:tc>
          <w:tcPr>
            <w:tcW w:w="2317" w:type="dxa"/>
            <w:tcBorders>
              <w:top w:val="single" w:sz="6" w:space="0" w:color="auto"/>
              <w:left w:val="single" w:sz="6" w:space="0" w:color="auto"/>
              <w:bottom w:val="single" w:sz="6" w:space="0" w:color="auto"/>
              <w:right w:val="single" w:sz="6" w:space="0" w:color="auto"/>
            </w:tcBorders>
          </w:tcPr>
          <w:p w14:paraId="5CFF1868" w14:textId="77777777" w:rsidR="00000000" w:rsidRDefault="00B4274B">
            <w:pPr>
              <w:spacing w:line="276" w:lineRule="auto"/>
              <w:rPr>
                <w:sz w:val="20"/>
                <w:szCs w:val="20"/>
                <w:lang w:val="uk-UA"/>
              </w:rPr>
            </w:pPr>
            <w:r>
              <w:rPr>
                <w:sz w:val="20"/>
                <w:szCs w:val="20"/>
                <w:lang w:val="uk-UA"/>
              </w:rPr>
              <w:t>Sandoz, Словакія</w:t>
            </w:r>
          </w:p>
        </w:tc>
        <w:tc>
          <w:tcPr>
            <w:tcW w:w="3353" w:type="dxa"/>
            <w:tcBorders>
              <w:top w:val="single" w:sz="6" w:space="0" w:color="auto"/>
              <w:left w:val="single" w:sz="6" w:space="0" w:color="auto"/>
              <w:bottom w:val="single" w:sz="6" w:space="0" w:color="auto"/>
              <w:right w:val="single" w:sz="6" w:space="0" w:color="auto"/>
            </w:tcBorders>
          </w:tcPr>
          <w:p w14:paraId="41583183" w14:textId="77777777" w:rsidR="00000000" w:rsidRDefault="00B4274B">
            <w:pPr>
              <w:spacing w:line="276" w:lineRule="auto"/>
              <w:rPr>
                <w:sz w:val="20"/>
                <w:szCs w:val="20"/>
                <w:lang w:val="uk-UA"/>
              </w:rPr>
            </w:pPr>
            <w:r>
              <w:rPr>
                <w:sz w:val="20"/>
                <w:szCs w:val="20"/>
                <w:lang w:val="uk-UA"/>
              </w:rPr>
              <w:t>UA/6750/01/01 від 19.07.2012</w:t>
            </w:r>
          </w:p>
        </w:tc>
        <w:tc>
          <w:tcPr>
            <w:tcW w:w="1985" w:type="dxa"/>
            <w:tcBorders>
              <w:top w:val="single" w:sz="6" w:space="0" w:color="auto"/>
              <w:left w:val="single" w:sz="6" w:space="0" w:color="auto"/>
              <w:bottom w:val="single" w:sz="6" w:space="0" w:color="auto"/>
              <w:right w:val="single" w:sz="6" w:space="0" w:color="auto"/>
            </w:tcBorders>
          </w:tcPr>
          <w:p w14:paraId="6F703F5C" w14:textId="77777777" w:rsidR="00000000" w:rsidRDefault="00B4274B">
            <w:pPr>
              <w:spacing w:line="276" w:lineRule="auto"/>
              <w:rPr>
                <w:sz w:val="20"/>
                <w:szCs w:val="20"/>
                <w:lang w:val="uk-UA"/>
              </w:rPr>
            </w:pPr>
            <w:r>
              <w:rPr>
                <w:sz w:val="20"/>
                <w:szCs w:val="20"/>
                <w:lang w:val="uk-UA"/>
              </w:rPr>
              <w:t>19.07.2017</w:t>
            </w:r>
          </w:p>
        </w:tc>
      </w:tr>
      <w:tr w:rsidR="00000000" w14:paraId="6B9B7FAA"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4B40948C" w14:textId="77777777" w:rsidR="00000000" w:rsidRDefault="00B4274B">
            <w:pPr>
              <w:spacing w:line="276" w:lineRule="auto"/>
              <w:rPr>
                <w:sz w:val="20"/>
                <w:szCs w:val="20"/>
                <w:lang w:val="uk-UA"/>
              </w:rPr>
            </w:pPr>
            <w:r>
              <w:rPr>
                <w:sz w:val="20"/>
                <w:szCs w:val="20"/>
                <w:lang w:val="uk-UA"/>
              </w:rPr>
              <w:t>Лозартин</w:t>
            </w:r>
          </w:p>
        </w:tc>
        <w:tc>
          <w:tcPr>
            <w:tcW w:w="2317" w:type="dxa"/>
            <w:tcBorders>
              <w:top w:val="single" w:sz="6" w:space="0" w:color="auto"/>
              <w:left w:val="single" w:sz="6" w:space="0" w:color="auto"/>
              <w:bottom w:val="single" w:sz="6" w:space="0" w:color="auto"/>
              <w:right w:val="single" w:sz="6" w:space="0" w:color="auto"/>
            </w:tcBorders>
          </w:tcPr>
          <w:p w14:paraId="078F8D17" w14:textId="77777777" w:rsidR="00000000" w:rsidRDefault="00B4274B">
            <w:pPr>
              <w:spacing w:line="276" w:lineRule="auto"/>
              <w:rPr>
                <w:sz w:val="20"/>
                <w:szCs w:val="20"/>
                <w:lang w:val="uk-UA"/>
              </w:rPr>
            </w:pPr>
            <w:r>
              <w:rPr>
                <w:sz w:val="20"/>
                <w:szCs w:val="20"/>
                <w:lang w:val="uk-UA"/>
              </w:rPr>
              <w:t>ООО“Здоров'є” Україна (Харків)</w:t>
            </w:r>
          </w:p>
        </w:tc>
        <w:tc>
          <w:tcPr>
            <w:tcW w:w="3353" w:type="dxa"/>
            <w:tcBorders>
              <w:top w:val="single" w:sz="6" w:space="0" w:color="auto"/>
              <w:left w:val="single" w:sz="6" w:space="0" w:color="auto"/>
              <w:bottom w:val="single" w:sz="6" w:space="0" w:color="auto"/>
              <w:right w:val="single" w:sz="6" w:space="0" w:color="auto"/>
            </w:tcBorders>
          </w:tcPr>
          <w:p w14:paraId="292450BF" w14:textId="77777777" w:rsidR="00000000" w:rsidRDefault="00B4274B">
            <w:pPr>
              <w:spacing w:line="276" w:lineRule="auto"/>
              <w:rPr>
                <w:sz w:val="20"/>
                <w:szCs w:val="20"/>
                <w:lang w:val="uk-UA"/>
              </w:rPr>
            </w:pPr>
            <w:r>
              <w:rPr>
                <w:sz w:val="20"/>
                <w:szCs w:val="20"/>
                <w:lang w:val="uk-UA"/>
              </w:rPr>
              <w:t>UA/9458/01/01 від 17.03.2009</w:t>
            </w:r>
          </w:p>
        </w:tc>
        <w:tc>
          <w:tcPr>
            <w:tcW w:w="1985" w:type="dxa"/>
            <w:tcBorders>
              <w:top w:val="single" w:sz="6" w:space="0" w:color="auto"/>
              <w:left w:val="single" w:sz="6" w:space="0" w:color="auto"/>
              <w:bottom w:val="single" w:sz="6" w:space="0" w:color="auto"/>
              <w:right w:val="single" w:sz="6" w:space="0" w:color="auto"/>
            </w:tcBorders>
          </w:tcPr>
          <w:p w14:paraId="713A7B5D" w14:textId="77777777" w:rsidR="00000000" w:rsidRDefault="00B4274B">
            <w:pPr>
              <w:spacing w:line="276" w:lineRule="auto"/>
              <w:rPr>
                <w:sz w:val="20"/>
                <w:szCs w:val="20"/>
                <w:lang w:val="uk-UA"/>
              </w:rPr>
            </w:pPr>
            <w:r>
              <w:rPr>
                <w:sz w:val="20"/>
                <w:szCs w:val="20"/>
                <w:lang w:val="uk-UA"/>
              </w:rPr>
              <w:t>17.03.2014</w:t>
            </w:r>
          </w:p>
        </w:tc>
      </w:tr>
      <w:tr w:rsidR="00000000" w14:paraId="6519D9FB"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477D97B7" w14:textId="77777777" w:rsidR="00000000" w:rsidRDefault="00B4274B">
            <w:pPr>
              <w:spacing w:line="276" w:lineRule="auto"/>
              <w:rPr>
                <w:sz w:val="20"/>
                <w:szCs w:val="20"/>
                <w:lang w:val="uk-UA"/>
              </w:rPr>
            </w:pPr>
            <w:r>
              <w:rPr>
                <w:sz w:val="20"/>
                <w:szCs w:val="20"/>
                <w:lang w:val="uk-UA"/>
              </w:rPr>
              <w:t>Лозекс</w:t>
            </w:r>
          </w:p>
        </w:tc>
        <w:tc>
          <w:tcPr>
            <w:tcW w:w="2317" w:type="dxa"/>
            <w:tcBorders>
              <w:top w:val="single" w:sz="6" w:space="0" w:color="auto"/>
              <w:left w:val="single" w:sz="6" w:space="0" w:color="auto"/>
              <w:bottom w:val="single" w:sz="6" w:space="0" w:color="auto"/>
              <w:right w:val="single" w:sz="6" w:space="0" w:color="auto"/>
            </w:tcBorders>
          </w:tcPr>
          <w:p w14:paraId="3832242B" w14:textId="77777777" w:rsidR="00000000" w:rsidRDefault="00B4274B">
            <w:pPr>
              <w:spacing w:line="276" w:lineRule="auto"/>
              <w:rPr>
                <w:sz w:val="20"/>
                <w:szCs w:val="20"/>
                <w:lang w:val="uk-UA"/>
              </w:rPr>
            </w:pPr>
            <w:r>
              <w:rPr>
                <w:sz w:val="20"/>
                <w:szCs w:val="20"/>
                <w:lang w:val="uk-UA"/>
              </w:rPr>
              <w:t>Фармекс Груп, Україна (Бориспіль)</w:t>
            </w:r>
          </w:p>
        </w:tc>
        <w:tc>
          <w:tcPr>
            <w:tcW w:w="3353" w:type="dxa"/>
            <w:tcBorders>
              <w:top w:val="single" w:sz="6" w:space="0" w:color="auto"/>
              <w:left w:val="single" w:sz="6" w:space="0" w:color="auto"/>
              <w:bottom w:val="single" w:sz="6" w:space="0" w:color="auto"/>
              <w:right w:val="single" w:sz="6" w:space="0" w:color="auto"/>
            </w:tcBorders>
          </w:tcPr>
          <w:p w14:paraId="76A2538B" w14:textId="77777777" w:rsidR="00000000" w:rsidRDefault="00B4274B">
            <w:pPr>
              <w:spacing w:line="276" w:lineRule="auto"/>
              <w:rPr>
                <w:sz w:val="20"/>
                <w:szCs w:val="20"/>
                <w:lang w:val="uk-UA"/>
              </w:rPr>
            </w:pPr>
            <w:r>
              <w:rPr>
                <w:sz w:val="20"/>
                <w:szCs w:val="20"/>
                <w:lang w:val="uk-UA"/>
              </w:rPr>
              <w:t>UA/11292/01/01 від 06.01.2011</w:t>
            </w:r>
          </w:p>
        </w:tc>
        <w:tc>
          <w:tcPr>
            <w:tcW w:w="1985" w:type="dxa"/>
            <w:tcBorders>
              <w:top w:val="single" w:sz="6" w:space="0" w:color="auto"/>
              <w:left w:val="single" w:sz="6" w:space="0" w:color="auto"/>
              <w:bottom w:val="single" w:sz="6" w:space="0" w:color="auto"/>
              <w:right w:val="single" w:sz="6" w:space="0" w:color="auto"/>
            </w:tcBorders>
          </w:tcPr>
          <w:p w14:paraId="4C6BF81A" w14:textId="77777777" w:rsidR="00000000" w:rsidRDefault="00B4274B">
            <w:pPr>
              <w:spacing w:line="276" w:lineRule="auto"/>
              <w:rPr>
                <w:sz w:val="20"/>
                <w:szCs w:val="20"/>
                <w:lang w:val="uk-UA"/>
              </w:rPr>
            </w:pPr>
            <w:r>
              <w:rPr>
                <w:sz w:val="20"/>
                <w:szCs w:val="20"/>
                <w:lang w:val="uk-UA"/>
              </w:rPr>
              <w:t>31.03.2014</w:t>
            </w:r>
          </w:p>
        </w:tc>
      </w:tr>
      <w:tr w:rsidR="00000000" w14:paraId="7B614837"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2BCC588A" w14:textId="77777777" w:rsidR="00000000" w:rsidRDefault="00B4274B">
            <w:pPr>
              <w:spacing w:line="276" w:lineRule="auto"/>
              <w:rPr>
                <w:sz w:val="20"/>
                <w:szCs w:val="20"/>
                <w:lang w:val="uk-UA"/>
              </w:rPr>
            </w:pPr>
            <w:r>
              <w:rPr>
                <w:sz w:val="20"/>
                <w:szCs w:val="20"/>
                <w:lang w:val="uk-UA"/>
              </w:rPr>
              <w:t>Лоріста</w:t>
            </w:r>
          </w:p>
        </w:tc>
        <w:tc>
          <w:tcPr>
            <w:tcW w:w="2317" w:type="dxa"/>
            <w:tcBorders>
              <w:top w:val="single" w:sz="6" w:space="0" w:color="auto"/>
              <w:left w:val="single" w:sz="6" w:space="0" w:color="auto"/>
              <w:bottom w:val="single" w:sz="6" w:space="0" w:color="auto"/>
              <w:right w:val="single" w:sz="6" w:space="0" w:color="auto"/>
            </w:tcBorders>
          </w:tcPr>
          <w:p w14:paraId="596D5E41" w14:textId="77777777" w:rsidR="00000000" w:rsidRDefault="00B4274B">
            <w:pPr>
              <w:spacing w:line="276" w:lineRule="auto"/>
              <w:rPr>
                <w:sz w:val="20"/>
                <w:szCs w:val="20"/>
                <w:lang w:val="uk-UA"/>
              </w:rPr>
            </w:pPr>
            <w:r>
              <w:rPr>
                <w:sz w:val="20"/>
                <w:szCs w:val="20"/>
                <w:lang w:val="uk-UA"/>
              </w:rPr>
              <w:t>KRKA, Словакія</w:t>
            </w:r>
          </w:p>
        </w:tc>
        <w:tc>
          <w:tcPr>
            <w:tcW w:w="3353" w:type="dxa"/>
            <w:tcBorders>
              <w:top w:val="single" w:sz="6" w:space="0" w:color="auto"/>
              <w:left w:val="single" w:sz="6" w:space="0" w:color="auto"/>
              <w:bottom w:val="single" w:sz="6" w:space="0" w:color="auto"/>
              <w:right w:val="single" w:sz="6" w:space="0" w:color="auto"/>
            </w:tcBorders>
          </w:tcPr>
          <w:p w14:paraId="53C5BF53" w14:textId="77777777" w:rsidR="00000000" w:rsidRDefault="00B4274B">
            <w:pPr>
              <w:spacing w:line="276" w:lineRule="auto"/>
              <w:rPr>
                <w:sz w:val="20"/>
                <w:szCs w:val="20"/>
                <w:lang w:val="uk-UA"/>
              </w:rPr>
            </w:pPr>
            <w:r>
              <w:rPr>
                <w:sz w:val="20"/>
                <w:szCs w:val="20"/>
                <w:lang w:val="uk-UA"/>
              </w:rPr>
              <w:t>UA/5516/01/02 від 25.01.2012</w:t>
            </w:r>
          </w:p>
        </w:tc>
        <w:tc>
          <w:tcPr>
            <w:tcW w:w="1985" w:type="dxa"/>
            <w:tcBorders>
              <w:top w:val="single" w:sz="6" w:space="0" w:color="auto"/>
              <w:left w:val="single" w:sz="6" w:space="0" w:color="auto"/>
              <w:bottom w:val="single" w:sz="6" w:space="0" w:color="auto"/>
              <w:right w:val="single" w:sz="6" w:space="0" w:color="auto"/>
            </w:tcBorders>
          </w:tcPr>
          <w:p w14:paraId="6449B994" w14:textId="77777777" w:rsidR="00000000" w:rsidRDefault="00B4274B">
            <w:pPr>
              <w:spacing w:line="276" w:lineRule="auto"/>
              <w:rPr>
                <w:sz w:val="20"/>
                <w:szCs w:val="20"/>
                <w:lang w:val="uk-UA"/>
              </w:rPr>
            </w:pPr>
            <w:r>
              <w:rPr>
                <w:sz w:val="20"/>
                <w:szCs w:val="20"/>
                <w:lang w:val="uk-UA"/>
              </w:rPr>
              <w:t>30.05.2017</w:t>
            </w:r>
          </w:p>
        </w:tc>
      </w:tr>
      <w:tr w:rsidR="00000000" w14:paraId="6473CE34"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5E1C63EF" w14:textId="77777777" w:rsidR="00000000" w:rsidRDefault="00B4274B">
            <w:pPr>
              <w:spacing w:line="276" w:lineRule="auto"/>
              <w:rPr>
                <w:sz w:val="20"/>
                <w:szCs w:val="20"/>
                <w:lang w:val="uk-UA"/>
              </w:rPr>
            </w:pPr>
            <w:r>
              <w:rPr>
                <w:sz w:val="20"/>
                <w:szCs w:val="20"/>
                <w:lang w:val="uk-UA"/>
              </w:rPr>
              <w:t>Лосакар</w:t>
            </w:r>
          </w:p>
        </w:tc>
        <w:tc>
          <w:tcPr>
            <w:tcW w:w="2317" w:type="dxa"/>
            <w:tcBorders>
              <w:top w:val="single" w:sz="6" w:space="0" w:color="auto"/>
              <w:left w:val="single" w:sz="6" w:space="0" w:color="auto"/>
              <w:bottom w:val="single" w:sz="6" w:space="0" w:color="auto"/>
              <w:right w:val="single" w:sz="6" w:space="0" w:color="auto"/>
            </w:tcBorders>
          </w:tcPr>
          <w:p w14:paraId="0232AEB4" w14:textId="77777777" w:rsidR="00000000" w:rsidRDefault="00B4274B">
            <w:pPr>
              <w:spacing w:line="276" w:lineRule="auto"/>
              <w:rPr>
                <w:sz w:val="20"/>
                <w:szCs w:val="20"/>
                <w:lang w:val="uk-UA"/>
              </w:rPr>
            </w:pPr>
            <w:r>
              <w:rPr>
                <w:sz w:val="20"/>
                <w:szCs w:val="20"/>
                <w:lang w:val="uk-UA"/>
              </w:rPr>
              <w:t>Cadilla, Індія</w:t>
            </w:r>
          </w:p>
        </w:tc>
        <w:tc>
          <w:tcPr>
            <w:tcW w:w="3353" w:type="dxa"/>
            <w:tcBorders>
              <w:top w:val="single" w:sz="6" w:space="0" w:color="auto"/>
              <w:left w:val="single" w:sz="6" w:space="0" w:color="auto"/>
              <w:bottom w:val="single" w:sz="6" w:space="0" w:color="auto"/>
              <w:right w:val="single" w:sz="6" w:space="0" w:color="auto"/>
            </w:tcBorders>
          </w:tcPr>
          <w:p w14:paraId="6D64F1ED" w14:textId="77777777" w:rsidR="00000000" w:rsidRDefault="00B4274B">
            <w:pPr>
              <w:spacing w:line="276" w:lineRule="auto"/>
              <w:rPr>
                <w:sz w:val="20"/>
                <w:szCs w:val="20"/>
                <w:lang w:val="uk-UA"/>
              </w:rPr>
            </w:pPr>
            <w:r>
              <w:rPr>
                <w:sz w:val="20"/>
                <w:szCs w:val="20"/>
                <w:lang w:val="uk-UA"/>
              </w:rPr>
              <w:t>UA/5278/01/01 від 30.05.2012</w:t>
            </w:r>
          </w:p>
        </w:tc>
        <w:tc>
          <w:tcPr>
            <w:tcW w:w="1985" w:type="dxa"/>
            <w:tcBorders>
              <w:top w:val="single" w:sz="6" w:space="0" w:color="auto"/>
              <w:left w:val="single" w:sz="6" w:space="0" w:color="auto"/>
              <w:bottom w:val="single" w:sz="6" w:space="0" w:color="auto"/>
              <w:right w:val="single" w:sz="6" w:space="0" w:color="auto"/>
            </w:tcBorders>
          </w:tcPr>
          <w:p w14:paraId="54A1F654" w14:textId="77777777" w:rsidR="00000000" w:rsidRDefault="00B4274B">
            <w:pPr>
              <w:spacing w:line="276" w:lineRule="auto"/>
              <w:rPr>
                <w:sz w:val="20"/>
                <w:szCs w:val="20"/>
                <w:lang w:val="uk-UA"/>
              </w:rPr>
            </w:pPr>
            <w:r>
              <w:rPr>
                <w:sz w:val="20"/>
                <w:szCs w:val="20"/>
                <w:lang w:val="uk-UA"/>
              </w:rPr>
              <w:t>30.05.2017</w:t>
            </w:r>
          </w:p>
        </w:tc>
      </w:tr>
      <w:tr w:rsidR="00000000" w14:paraId="342A4D70"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49BA8AFD" w14:textId="77777777" w:rsidR="00000000" w:rsidRDefault="00B4274B">
            <w:pPr>
              <w:spacing w:line="276" w:lineRule="auto"/>
              <w:rPr>
                <w:sz w:val="20"/>
                <w:szCs w:val="20"/>
                <w:lang w:val="uk-UA"/>
              </w:rPr>
            </w:pPr>
            <w:r>
              <w:rPr>
                <w:sz w:val="20"/>
                <w:szCs w:val="20"/>
                <w:lang w:val="uk-UA"/>
              </w:rPr>
              <w:t>Лотар</w:t>
            </w:r>
          </w:p>
        </w:tc>
        <w:tc>
          <w:tcPr>
            <w:tcW w:w="2317" w:type="dxa"/>
            <w:tcBorders>
              <w:top w:val="single" w:sz="6" w:space="0" w:color="auto"/>
              <w:left w:val="single" w:sz="6" w:space="0" w:color="auto"/>
              <w:bottom w:val="single" w:sz="6" w:space="0" w:color="auto"/>
              <w:right w:val="single" w:sz="6" w:space="0" w:color="auto"/>
            </w:tcBorders>
          </w:tcPr>
          <w:p w14:paraId="1472ED8B" w14:textId="77777777" w:rsidR="00000000" w:rsidRDefault="00B4274B">
            <w:pPr>
              <w:spacing w:line="276" w:lineRule="auto"/>
              <w:rPr>
                <w:sz w:val="20"/>
                <w:szCs w:val="20"/>
                <w:lang w:val="uk-UA"/>
              </w:rPr>
            </w:pPr>
            <w:r>
              <w:rPr>
                <w:sz w:val="20"/>
                <w:szCs w:val="20"/>
                <w:lang w:val="uk-UA"/>
              </w:rPr>
              <w:t>Alkaloid, Македонія</w:t>
            </w:r>
          </w:p>
        </w:tc>
        <w:tc>
          <w:tcPr>
            <w:tcW w:w="3353" w:type="dxa"/>
            <w:tcBorders>
              <w:top w:val="single" w:sz="6" w:space="0" w:color="auto"/>
              <w:left w:val="single" w:sz="6" w:space="0" w:color="auto"/>
              <w:bottom w:val="single" w:sz="6" w:space="0" w:color="auto"/>
              <w:right w:val="single" w:sz="6" w:space="0" w:color="auto"/>
            </w:tcBorders>
          </w:tcPr>
          <w:p w14:paraId="180FBAFA" w14:textId="77777777" w:rsidR="00000000" w:rsidRDefault="00B4274B">
            <w:pPr>
              <w:spacing w:line="276" w:lineRule="auto"/>
              <w:rPr>
                <w:sz w:val="20"/>
                <w:szCs w:val="20"/>
                <w:lang w:val="uk-UA"/>
              </w:rPr>
            </w:pPr>
            <w:r>
              <w:rPr>
                <w:sz w:val="20"/>
                <w:szCs w:val="20"/>
                <w:lang w:val="uk-UA"/>
              </w:rPr>
              <w:t>UA/11210/01/01 від 22.11.2010</w:t>
            </w:r>
          </w:p>
        </w:tc>
        <w:tc>
          <w:tcPr>
            <w:tcW w:w="1985" w:type="dxa"/>
            <w:tcBorders>
              <w:top w:val="single" w:sz="6" w:space="0" w:color="auto"/>
              <w:left w:val="single" w:sz="6" w:space="0" w:color="auto"/>
              <w:bottom w:val="single" w:sz="6" w:space="0" w:color="auto"/>
              <w:right w:val="single" w:sz="6" w:space="0" w:color="auto"/>
            </w:tcBorders>
          </w:tcPr>
          <w:p w14:paraId="2E84B541" w14:textId="77777777" w:rsidR="00000000" w:rsidRDefault="00B4274B">
            <w:pPr>
              <w:spacing w:line="276" w:lineRule="auto"/>
              <w:rPr>
                <w:sz w:val="20"/>
                <w:szCs w:val="20"/>
                <w:lang w:val="uk-UA"/>
              </w:rPr>
            </w:pPr>
            <w:r>
              <w:rPr>
                <w:sz w:val="20"/>
                <w:szCs w:val="20"/>
                <w:lang w:val="uk-UA"/>
              </w:rPr>
              <w:t>22.11.2015</w:t>
            </w:r>
          </w:p>
        </w:tc>
      </w:tr>
      <w:tr w:rsidR="00000000" w14:paraId="41A77D05"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55E99ED3" w14:textId="77777777" w:rsidR="00000000" w:rsidRDefault="00B4274B">
            <w:pPr>
              <w:spacing w:line="276" w:lineRule="auto"/>
              <w:rPr>
                <w:sz w:val="20"/>
                <w:szCs w:val="20"/>
                <w:lang w:val="uk-UA"/>
              </w:rPr>
            </w:pPr>
            <w:r>
              <w:rPr>
                <w:sz w:val="20"/>
                <w:szCs w:val="20"/>
                <w:lang w:val="uk-UA"/>
              </w:rPr>
              <w:t>Пресартан</w:t>
            </w:r>
          </w:p>
        </w:tc>
        <w:tc>
          <w:tcPr>
            <w:tcW w:w="2317" w:type="dxa"/>
            <w:tcBorders>
              <w:top w:val="single" w:sz="6" w:space="0" w:color="auto"/>
              <w:left w:val="single" w:sz="6" w:space="0" w:color="auto"/>
              <w:bottom w:val="single" w:sz="6" w:space="0" w:color="auto"/>
              <w:right w:val="single" w:sz="6" w:space="0" w:color="auto"/>
            </w:tcBorders>
          </w:tcPr>
          <w:p w14:paraId="7E7ED605" w14:textId="77777777" w:rsidR="00000000" w:rsidRDefault="00B4274B">
            <w:pPr>
              <w:spacing w:line="276" w:lineRule="auto"/>
              <w:rPr>
                <w:sz w:val="20"/>
                <w:szCs w:val="20"/>
                <w:lang w:val="uk-UA"/>
              </w:rPr>
            </w:pPr>
            <w:r>
              <w:rPr>
                <w:sz w:val="20"/>
                <w:szCs w:val="20"/>
                <w:lang w:val="uk-UA"/>
              </w:rPr>
              <w:t>IPCA, Ін</w:t>
            </w:r>
            <w:r>
              <w:rPr>
                <w:sz w:val="20"/>
                <w:szCs w:val="20"/>
                <w:lang w:val="uk-UA"/>
              </w:rPr>
              <w:t>дія</w:t>
            </w:r>
          </w:p>
        </w:tc>
        <w:tc>
          <w:tcPr>
            <w:tcW w:w="3353" w:type="dxa"/>
            <w:tcBorders>
              <w:top w:val="single" w:sz="6" w:space="0" w:color="auto"/>
              <w:left w:val="single" w:sz="6" w:space="0" w:color="auto"/>
              <w:bottom w:val="single" w:sz="6" w:space="0" w:color="auto"/>
              <w:right w:val="single" w:sz="6" w:space="0" w:color="auto"/>
            </w:tcBorders>
          </w:tcPr>
          <w:p w14:paraId="62E5880F" w14:textId="77777777" w:rsidR="00000000" w:rsidRDefault="00B4274B">
            <w:pPr>
              <w:spacing w:line="276" w:lineRule="auto"/>
              <w:rPr>
                <w:sz w:val="20"/>
                <w:szCs w:val="20"/>
                <w:lang w:val="uk-UA"/>
              </w:rPr>
            </w:pPr>
            <w:r>
              <w:rPr>
                <w:sz w:val="20"/>
                <w:szCs w:val="20"/>
                <w:lang w:val="uk-UA"/>
              </w:rPr>
              <w:t>UA/8575/01/02 від 03.07.2014</w:t>
            </w:r>
          </w:p>
        </w:tc>
        <w:tc>
          <w:tcPr>
            <w:tcW w:w="1985" w:type="dxa"/>
            <w:tcBorders>
              <w:top w:val="single" w:sz="6" w:space="0" w:color="auto"/>
              <w:left w:val="single" w:sz="6" w:space="0" w:color="auto"/>
              <w:bottom w:val="single" w:sz="6" w:space="0" w:color="auto"/>
              <w:right w:val="single" w:sz="6" w:space="0" w:color="auto"/>
            </w:tcBorders>
          </w:tcPr>
          <w:p w14:paraId="1AA1863C" w14:textId="77777777" w:rsidR="00000000" w:rsidRDefault="00B4274B">
            <w:pPr>
              <w:spacing w:line="276" w:lineRule="auto"/>
              <w:rPr>
                <w:sz w:val="20"/>
                <w:szCs w:val="20"/>
                <w:lang w:val="uk-UA"/>
              </w:rPr>
            </w:pPr>
            <w:r>
              <w:rPr>
                <w:sz w:val="20"/>
                <w:szCs w:val="20"/>
                <w:lang w:val="uk-UA"/>
              </w:rPr>
              <w:t>03.07.2019</w:t>
            </w:r>
          </w:p>
        </w:tc>
      </w:tr>
      <w:tr w:rsidR="00000000" w14:paraId="5D7052AA" w14:textId="77777777">
        <w:tblPrEx>
          <w:tblCellMar>
            <w:top w:w="0" w:type="dxa"/>
            <w:left w:w="108" w:type="dxa"/>
            <w:bottom w:w="0" w:type="dxa"/>
            <w:right w:w="108" w:type="dxa"/>
          </w:tblCellMar>
        </w:tblPrEx>
        <w:tc>
          <w:tcPr>
            <w:tcW w:w="1384" w:type="dxa"/>
            <w:tcBorders>
              <w:top w:val="single" w:sz="6" w:space="0" w:color="auto"/>
              <w:left w:val="single" w:sz="6" w:space="0" w:color="auto"/>
              <w:bottom w:val="single" w:sz="6" w:space="0" w:color="auto"/>
              <w:right w:val="single" w:sz="6" w:space="0" w:color="auto"/>
            </w:tcBorders>
          </w:tcPr>
          <w:p w14:paraId="5173FEC2" w14:textId="77777777" w:rsidR="00000000" w:rsidRDefault="00B4274B">
            <w:pPr>
              <w:spacing w:line="276" w:lineRule="auto"/>
              <w:rPr>
                <w:sz w:val="20"/>
                <w:szCs w:val="20"/>
                <w:lang w:val="uk-UA"/>
              </w:rPr>
            </w:pPr>
            <w:r>
              <w:rPr>
                <w:sz w:val="20"/>
                <w:szCs w:val="20"/>
                <w:lang w:val="uk-UA"/>
              </w:rPr>
              <w:t>Сентор</w:t>
            </w:r>
          </w:p>
        </w:tc>
        <w:tc>
          <w:tcPr>
            <w:tcW w:w="2317" w:type="dxa"/>
            <w:tcBorders>
              <w:top w:val="single" w:sz="6" w:space="0" w:color="auto"/>
              <w:left w:val="single" w:sz="6" w:space="0" w:color="auto"/>
              <w:bottom w:val="single" w:sz="6" w:space="0" w:color="auto"/>
              <w:right w:val="single" w:sz="6" w:space="0" w:color="auto"/>
            </w:tcBorders>
          </w:tcPr>
          <w:p w14:paraId="6A013F6D" w14:textId="77777777" w:rsidR="00000000" w:rsidRDefault="00B4274B">
            <w:pPr>
              <w:spacing w:line="276" w:lineRule="auto"/>
              <w:rPr>
                <w:sz w:val="20"/>
                <w:szCs w:val="20"/>
                <w:lang w:val="uk-UA"/>
              </w:rPr>
            </w:pPr>
            <w:r>
              <w:rPr>
                <w:sz w:val="20"/>
                <w:szCs w:val="20"/>
                <w:lang w:val="uk-UA"/>
              </w:rPr>
              <w:t>Gedeon Richter, Угорщина</w:t>
            </w:r>
          </w:p>
        </w:tc>
        <w:tc>
          <w:tcPr>
            <w:tcW w:w="3353" w:type="dxa"/>
            <w:tcBorders>
              <w:top w:val="single" w:sz="6" w:space="0" w:color="auto"/>
              <w:left w:val="single" w:sz="6" w:space="0" w:color="auto"/>
              <w:bottom w:val="single" w:sz="6" w:space="0" w:color="auto"/>
              <w:right w:val="single" w:sz="6" w:space="0" w:color="auto"/>
            </w:tcBorders>
          </w:tcPr>
          <w:p w14:paraId="4CEB2877" w14:textId="77777777" w:rsidR="00000000" w:rsidRDefault="00B4274B">
            <w:pPr>
              <w:spacing w:line="276" w:lineRule="auto"/>
              <w:rPr>
                <w:sz w:val="20"/>
                <w:szCs w:val="20"/>
                <w:lang w:val="uk-UA"/>
              </w:rPr>
            </w:pPr>
            <w:r>
              <w:rPr>
                <w:sz w:val="20"/>
                <w:szCs w:val="20"/>
                <w:lang w:val="uk-UA"/>
              </w:rPr>
              <w:t>UA/7042/01/02 від 23.08.2012</w:t>
            </w:r>
          </w:p>
        </w:tc>
        <w:tc>
          <w:tcPr>
            <w:tcW w:w="1985" w:type="dxa"/>
            <w:tcBorders>
              <w:top w:val="single" w:sz="6" w:space="0" w:color="auto"/>
              <w:left w:val="single" w:sz="6" w:space="0" w:color="auto"/>
              <w:bottom w:val="single" w:sz="6" w:space="0" w:color="auto"/>
              <w:right w:val="single" w:sz="6" w:space="0" w:color="auto"/>
            </w:tcBorders>
          </w:tcPr>
          <w:p w14:paraId="747C3E56" w14:textId="77777777" w:rsidR="00000000" w:rsidRDefault="00B4274B">
            <w:pPr>
              <w:spacing w:line="276" w:lineRule="auto"/>
              <w:rPr>
                <w:sz w:val="20"/>
                <w:szCs w:val="20"/>
                <w:lang w:val="uk-UA"/>
              </w:rPr>
            </w:pPr>
            <w:r>
              <w:rPr>
                <w:sz w:val="20"/>
                <w:szCs w:val="20"/>
                <w:lang w:val="uk-UA"/>
              </w:rPr>
              <w:t>23.08.2017</w:t>
            </w:r>
          </w:p>
        </w:tc>
      </w:tr>
    </w:tbl>
    <w:p w14:paraId="3920337A" w14:textId="77777777" w:rsidR="00000000" w:rsidRDefault="00B4274B">
      <w:pPr>
        <w:spacing w:line="360" w:lineRule="auto"/>
        <w:ind w:firstLine="709"/>
        <w:jc w:val="both"/>
        <w:rPr>
          <w:sz w:val="28"/>
          <w:szCs w:val="28"/>
          <w:lang w:val="uk-UA"/>
        </w:rPr>
      </w:pPr>
    </w:p>
    <w:p w14:paraId="2363A27E" w14:textId="77777777" w:rsidR="00000000" w:rsidRDefault="00B4274B">
      <w:pPr>
        <w:pStyle w:val="1"/>
        <w:spacing w:line="360" w:lineRule="auto"/>
        <w:ind w:firstLine="709"/>
        <w:jc w:val="both"/>
        <w:rPr>
          <w:sz w:val="28"/>
          <w:szCs w:val="28"/>
          <w:lang w:val="uk-UA"/>
        </w:rPr>
      </w:pPr>
      <w:r>
        <w:rPr>
          <w:sz w:val="28"/>
          <w:szCs w:val="28"/>
          <w:lang w:val="uk-UA"/>
        </w:rPr>
        <w:t>СХЕМА МЕХАНІЗМУ ДІЇ ЛІКАРСЬКОГО ПРЕПАРАТУ «КОЗААР»</w:t>
      </w:r>
    </w:p>
    <w:p w14:paraId="405D8714" w14:textId="77777777" w:rsidR="00000000" w:rsidRDefault="00B4274B">
      <w:pPr>
        <w:spacing w:line="360" w:lineRule="auto"/>
        <w:ind w:firstLine="709"/>
        <w:jc w:val="both"/>
        <w:rPr>
          <w:sz w:val="28"/>
          <w:szCs w:val="28"/>
          <w:lang w:val="uk-UA"/>
        </w:rPr>
      </w:pPr>
    </w:p>
    <w:p w14:paraId="5F13D2CB" w14:textId="77777777" w:rsidR="00000000" w:rsidRDefault="00B4274B">
      <w:pPr>
        <w:spacing w:line="360" w:lineRule="auto"/>
        <w:ind w:firstLine="709"/>
        <w:jc w:val="both"/>
        <w:rPr>
          <w:sz w:val="28"/>
          <w:szCs w:val="28"/>
          <w:lang w:val="uk-UA"/>
        </w:rPr>
      </w:pPr>
      <w:r>
        <w:rPr>
          <w:sz w:val="28"/>
          <w:szCs w:val="28"/>
          <w:lang w:val="uk-UA"/>
        </w:rPr>
        <w:t>Блокатори рецепторів ангіотензину ІІ першого типу (БРА), введені в клінічну практику</w:t>
      </w:r>
      <w:r>
        <w:rPr>
          <w:sz w:val="28"/>
          <w:szCs w:val="28"/>
          <w:lang w:val="uk-UA"/>
        </w:rPr>
        <w:t xml:space="preserve"> в 90-ті роки минулого століття, стали останнім класом антигіпертензивних засобів першого ряду. Тривалий час вони перебували в тіні своїх найближчих родичів - інгібіторів ангіотензинперетворювального ферменту (ІАПФ): призначалися лише при непереносимості о</w:t>
      </w:r>
      <w:r>
        <w:rPr>
          <w:sz w:val="28"/>
          <w:szCs w:val="28"/>
          <w:lang w:val="uk-UA"/>
        </w:rPr>
        <w:t>станніх або при наявності побічних ефектів при їх прийомі. Минали роки, і ефективність БРА при артеріальній гіпертензії (АГ) стала доведеним фактом, а самі препарати у світі стали популярними антигіпертензивними ліками. Паралельно з ефективністю БРА при АГ</w:t>
      </w:r>
      <w:r>
        <w:rPr>
          <w:sz w:val="28"/>
          <w:szCs w:val="28"/>
          <w:lang w:val="uk-UA"/>
        </w:rPr>
        <w:t xml:space="preserve"> досліджували їх терапевтичний потенціал при інших серцево-судинних та суміжних захворюваннях: ішемічній хворобі серця (ІХС), інфаркті міокарда, серцевій недостатності, цукровому діабеті, ураженні нирок, метаболічному синдромі тощо.</w:t>
      </w:r>
    </w:p>
    <w:p w14:paraId="168AAF5C" w14:textId="77777777" w:rsidR="00000000" w:rsidRDefault="00B4274B">
      <w:pPr>
        <w:spacing w:line="360" w:lineRule="auto"/>
        <w:ind w:firstLine="709"/>
        <w:jc w:val="both"/>
        <w:rPr>
          <w:sz w:val="28"/>
          <w:szCs w:val="28"/>
          <w:lang w:val="uk-UA"/>
        </w:rPr>
      </w:pPr>
      <w:r>
        <w:rPr>
          <w:sz w:val="28"/>
          <w:szCs w:val="28"/>
          <w:lang w:val="uk-UA"/>
        </w:rPr>
        <w:t>За роки використання БР</w:t>
      </w:r>
      <w:r>
        <w:rPr>
          <w:sz w:val="28"/>
          <w:szCs w:val="28"/>
          <w:lang w:val="uk-UA"/>
        </w:rPr>
        <w:t>А в клінічній практиці завдяки численним контрольованим проспективним та ретроспективним дослідженням на сьогодні безсумнівно встановлено, що при порівнянні з іншими групами антигіпертензивних препаратів першого ряду вони справляють абсолютно еквівалентний</w:t>
      </w:r>
      <w:r>
        <w:rPr>
          <w:sz w:val="28"/>
          <w:szCs w:val="28"/>
          <w:lang w:val="uk-UA"/>
        </w:rPr>
        <w:t xml:space="preserve"> антигіпертензивний ефект [6], мають позитивні метаболічні властивості [5], характеризуються дуже доброю, майже ідеальною, переносимістю [21], що сприяє високій прихильності пацієнтів до лікування БРА [7, 8] і, відповідно, їх високій ефективності в запобіг</w:t>
      </w:r>
      <w:r>
        <w:rPr>
          <w:sz w:val="28"/>
          <w:szCs w:val="28"/>
          <w:lang w:val="uk-UA"/>
        </w:rPr>
        <w:t>анні розвитку серцево-судинних та ниркових ускладнень [10].</w:t>
      </w:r>
    </w:p>
    <w:p w14:paraId="61760854" w14:textId="77777777" w:rsidR="00000000" w:rsidRDefault="00B4274B">
      <w:pPr>
        <w:spacing w:line="360" w:lineRule="auto"/>
        <w:ind w:firstLine="709"/>
        <w:jc w:val="both"/>
        <w:rPr>
          <w:sz w:val="28"/>
          <w:szCs w:val="28"/>
          <w:lang w:val="uk-UA"/>
        </w:rPr>
      </w:pPr>
      <w:r>
        <w:rPr>
          <w:sz w:val="28"/>
          <w:szCs w:val="28"/>
          <w:lang w:val="uk-UA"/>
        </w:rPr>
        <w:t>Перший міф про БРА: інгібітори ангіотензинперетворювального ферменту та БРА мають однаковий механізм дії. Справедливим є те, що обидва класи препаратів є блокаторами активності ренін-ангіотензинов</w:t>
      </w:r>
      <w:r>
        <w:rPr>
          <w:sz w:val="28"/>
          <w:szCs w:val="28"/>
          <w:lang w:val="uk-UA"/>
        </w:rPr>
        <w:t xml:space="preserve">ої ситеми (РАС), але точки їх дії є різними, і наслідки такої блокади РАС на різному рівні мають </w:t>
      </w:r>
      <w:r>
        <w:rPr>
          <w:sz w:val="28"/>
          <w:szCs w:val="28"/>
          <w:lang w:val="uk-UA"/>
        </w:rPr>
        <w:lastRenderedPageBreak/>
        <w:t>принципові біохімічні, метаболічні та клінічні наслідки. На рис. 1 подано схему функціонування РАС та механізм дії ІАПФ і БРА.</w:t>
      </w:r>
    </w:p>
    <w:p w14:paraId="082A694B" w14:textId="77777777" w:rsidR="00000000" w:rsidRDefault="00B4274B">
      <w:pPr>
        <w:spacing w:line="360" w:lineRule="auto"/>
        <w:ind w:firstLine="709"/>
        <w:jc w:val="both"/>
        <w:rPr>
          <w:sz w:val="28"/>
          <w:szCs w:val="28"/>
          <w:lang w:val="uk-UA"/>
        </w:rPr>
      </w:pPr>
    </w:p>
    <w:p w14:paraId="5E160F80" w14:textId="0676DF44" w:rsidR="00000000" w:rsidRDefault="00BD4201">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24F9E0FB" wp14:editId="56188A1A">
            <wp:extent cx="3467100" cy="2581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2581275"/>
                    </a:xfrm>
                    <a:prstGeom prst="rect">
                      <a:avLst/>
                    </a:prstGeom>
                    <a:noFill/>
                    <a:ln>
                      <a:noFill/>
                    </a:ln>
                  </pic:spPr>
                </pic:pic>
              </a:graphicData>
            </a:graphic>
          </wp:inline>
        </w:drawing>
      </w:r>
    </w:p>
    <w:p w14:paraId="0F5D969E" w14:textId="77777777" w:rsidR="00000000" w:rsidRDefault="00B4274B">
      <w:pPr>
        <w:spacing w:line="360" w:lineRule="auto"/>
        <w:ind w:firstLine="709"/>
        <w:jc w:val="both"/>
        <w:rPr>
          <w:sz w:val="28"/>
          <w:szCs w:val="28"/>
          <w:lang w:val="uk-UA"/>
        </w:rPr>
      </w:pPr>
    </w:p>
    <w:p w14:paraId="1467DB35" w14:textId="77777777" w:rsidR="00000000" w:rsidRDefault="00B4274B">
      <w:pPr>
        <w:spacing w:line="360" w:lineRule="auto"/>
        <w:ind w:firstLine="709"/>
        <w:jc w:val="both"/>
        <w:rPr>
          <w:sz w:val="28"/>
          <w:szCs w:val="28"/>
          <w:lang w:val="uk-UA"/>
        </w:rPr>
      </w:pPr>
      <w:r>
        <w:rPr>
          <w:sz w:val="28"/>
          <w:szCs w:val="28"/>
          <w:lang w:val="uk-UA"/>
        </w:rPr>
        <w:t>Згідно з класичними уявленнями, циркулюючий ангіотензиноген утворюється в печінці й розщеплюються протеолітичним ферментом реніном, виробленим в юкстагломерулярних клітинах нирки, до утворення АI. АПФ відщеплює 2 амінокислоти від AI, утворюючи А</w:t>
      </w:r>
      <w:r>
        <w:rPr>
          <w:sz w:val="28"/>
          <w:szCs w:val="28"/>
          <w:lang w:val="uk-UA"/>
        </w:rPr>
        <w:t>II, що і є власне ефекторним гормоном. Він з’єднується з рецепторами до АІІ. У людей є такі типи рецепторів до АІІ - перший (АТ1) і другий (АТ2) [1]. Основні відомі судинні ефекти РАС реалізуються через вплив на АТ1-рецептори. Існує достатньо доказів, що к</w:t>
      </w:r>
      <w:r>
        <w:rPr>
          <w:sz w:val="28"/>
          <w:szCs w:val="28"/>
          <w:lang w:val="uk-UA"/>
        </w:rPr>
        <w:t>рім реніну та АПФ інші ферменти можуть бути залучені до продукції АII [12]. Ці ферменти були виявлені в серці, нирках, судинах та інших органах і тканинах (тканинний активатор плазміногену, катепсин G, тонін, хімази, хімостатин-чутливий фермент продукції А</w:t>
      </w:r>
      <w:r>
        <w:rPr>
          <w:sz w:val="28"/>
          <w:szCs w:val="28"/>
          <w:lang w:val="uk-UA"/>
        </w:rPr>
        <w:t>ІІ - CAGE та деякі інші) [2, 3]. Ці альтернативні шляхи можуть відігравати певну роль у явищі, відомому як «втеча AПФ», коли при тривалому прийомі інгібіторів АПФ не вдається повністю пригнітити вироблення АII [4]. Крім того, АПФ бере участь у розпаді брад</w:t>
      </w:r>
      <w:r>
        <w:rPr>
          <w:sz w:val="28"/>
          <w:szCs w:val="28"/>
          <w:lang w:val="uk-UA"/>
        </w:rPr>
        <w:t xml:space="preserve">икініну. Прийом інгібіторів АПФ призводить не тільки до пригнічення </w:t>
      </w:r>
      <w:r>
        <w:rPr>
          <w:sz w:val="28"/>
          <w:szCs w:val="28"/>
          <w:lang w:val="uk-UA"/>
        </w:rPr>
        <w:lastRenderedPageBreak/>
        <w:t>активності РАС, а й до зменшення розпаду брадикініну, що є другою гілкою в реалізації клінічних ефектів цих препаратів. Із нею пов’язаний вплив інгібіторів АПФ на функцію ендотелію, згорта</w:t>
      </w:r>
      <w:r>
        <w:rPr>
          <w:sz w:val="28"/>
          <w:szCs w:val="28"/>
          <w:lang w:val="uk-UA"/>
        </w:rPr>
        <w:t>ння крові та фібриноліз. На сьогодні неможливо сказати, яка із двох гілок більше впливає на кінцевий клінічний ефект. На відміну від інгібіторів АПФ БРА мають одну точку дії - вони блокують АТ1-рецептори. Тобто АІІ, утворений будь-яким шляхом, не може зв’я</w:t>
      </w:r>
      <w:r>
        <w:rPr>
          <w:sz w:val="28"/>
          <w:szCs w:val="28"/>
          <w:lang w:val="uk-UA"/>
        </w:rPr>
        <w:t>затися із заблокованим рецептором. У той же час АІІ може вільно взаємодіяти з АТ2-рецепторами. Більшість експертів вважають, що активація цих рецепторів має протилежний ефект щодо активації АТ1-рецепторів. Отже, БРА більш повно блокують РАС порівняно з інг</w:t>
      </w:r>
      <w:r>
        <w:rPr>
          <w:sz w:val="28"/>
          <w:szCs w:val="28"/>
          <w:lang w:val="uk-UA"/>
        </w:rPr>
        <w:t>ібіторами АПФ, але не мають впливу на брадикінін і безпосередньо не впливають на процеси згортання крові та фібриноліз, а також впливають на ендотелій тільки через блокаду РАС. Указані відмінності в механізмах дії інгібіторів АПФ та БРА дозволяють говорити</w:t>
      </w:r>
      <w:r>
        <w:rPr>
          <w:sz w:val="28"/>
          <w:szCs w:val="28"/>
          <w:lang w:val="uk-UA"/>
        </w:rPr>
        <w:t xml:space="preserve"> про те, що вся так звана подібність їх дії полягає у впливі на активність РАС. У той же час кінцеві точки дії обох класів препаратів значно різняться, що приводить до втручання в різні біохімічні процеси в організмі та, відповідно, дає різні клінічні резу</w:t>
      </w:r>
      <w:r>
        <w:rPr>
          <w:sz w:val="28"/>
          <w:szCs w:val="28"/>
          <w:lang w:val="uk-UA"/>
        </w:rPr>
        <w:t>льтати.</w:t>
      </w:r>
    </w:p>
    <w:p w14:paraId="6F512F62" w14:textId="77777777" w:rsidR="00000000" w:rsidRDefault="00B4274B">
      <w:pPr>
        <w:spacing w:line="360" w:lineRule="auto"/>
        <w:ind w:firstLine="709"/>
        <w:jc w:val="both"/>
        <w:rPr>
          <w:sz w:val="28"/>
          <w:szCs w:val="28"/>
          <w:lang w:val="uk-UA"/>
        </w:rPr>
      </w:pPr>
    </w:p>
    <w:p w14:paraId="1893A61C" w14:textId="77777777" w:rsidR="00000000" w:rsidRDefault="00B4274B">
      <w:pPr>
        <w:pStyle w:val="1"/>
        <w:spacing w:line="360" w:lineRule="auto"/>
        <w:ind w:firstLine="709"/>
        <w:jc w:val="both"/>
        <w:rPr>
          <w:sz w:val="28"/>
          <w:szCs w:val="28"/>
          <w:lang w:val="uk-UA"/>
        </w:rPr>
      </w:pPr>
      <w:r>
        <w:rPr>
          <w:sz w:val="28"/>
          <w:szCs w:val="28"/>
          <w:lang w:val="uk-UA"/>
        </w:rPr>
        <w:t>ДАНІ ПРО ФАРКАКОКІНЕТИКУ ЛІКАРСЬКОГО ПРЕПАРАТУ «КОЗААР»</w:t>
      </w:r>
    </w:p>
    <w:p w14:paraId="73583C09" w14:textId="77777777" w:rsidR="00000000" w:rsidRDefault="00B4274B">
      <w:pPr>
        <w:spacing w:line="360" w:lineRule="auto"/>
        <w:ind w:firstLine="709"/>
        <w:jc w:val="both"/>
        <w:rPr>
          <w:sz w:val="28"/>
          <w:szCs w:val="28"/>
          <w:lang w:val="uk-UA"/>
        </w:rPr>
      </w:pPr>
    </w:p>
    <w:p w14:paraId="1B042A7F" w14:textId="77777777" w:rsidR="00000000" w:rsidRDefault="00B4274B">
      <w:pPr>
        <w:spacing w:line="360" w:lineRule="auto"/>
        <w:ind w:firstLine="709"/>
        <w:jc w:val="both"/>
        <w:rPr>
          <w:sz w:val="28"/>
          <w:szCs w:val="28"/>
          <w:lang w:val="uk-UA"/>
        </w:rPr>
      </w:pPr>
      <w:r>
        <w:rPr>
          <w:sz w:val="28"/>
          <w:szCs w:val="28"/>
          <w:lang w:val="uk-UA"/>
        </w:rPr>
        <w:t>АТІІ - це ключовий регулятор артеріального тиску та об’єму позаклітинної рідини. АТІІ-індукована вазоконстрикція відбувається за рахунок скорочення гладенької мускулатури судин і сприяє підв</w:t>
      </w:r>
      <w:r>
        <w:rPr>
          <w:sz w:val="28"/>
          <w:szCs w:val="28"/>
          <w:lang w:val="uk-UA"/>
        </w:rPr>
        <w:t>ищенню артеріального тиску. Підвищується опір кровотоку переважно на рівні еферентних артеріол ниркових клубочків, тому підвищується гідравлічний тиск в клубочкових капілярах. [12]. Взаємодія АТІІ із САС призводить до посилення синтезу та вивільнення інших</w:t>
      </w:r>
      <w:r>
        <w:rPr>
          <w:sz w:val="28"/>
          <w:szCs w:val="28"/>
          <w:lang w:val="uk-UA"/>
        </w:rPr>
        <w:t xml:space="preserve"> біологічно активних речовин, зокрема адреналіну з мозкової </w:t>
      </w:r>
      <w:r>
        <w:rPr>
          <w:sz w:val="28"/>
          <w:szCs w:val="28"/>
          <w:lang w:val="uk-UA"/>
        </w:rPr>
        <w:lastRenderedPageBreak/>
        <w:t>зони наднирників, антидіуретичного гормону із гіпофізу та альдостерону з коркового шару наднирників [13, 12].</w:t>
      </w:r>
    </w:p>
    <w:p w14:paraId="09DEFC1E" w14:textId="77777777" w:rsidR="00000000" w:rsidRDefault="00B4274B">
      <w:pPr>
        <w:shd w:val="clear" w:color="auto" w:fill="FFFFFF"/>
        <w:spacing w:line="360" w:lineRule="auto"/>
        <w:ind w:firstLine="709"/>
        <w:jc w:val="both"/>
        <w:rPr>
          <w:sz w:val="28"/>
          <w:szCs w:val="28"/>
          <w:lang w:val="uk-UA"/>
        </w:rPr>
      </w:pPr>
      <w:r>
        <w:rPr>
          <w:sz w:val="28"/>
          <w:szCs w:val="28"/>
          <w:lang w:val="uk-UA"/>
        </w:rPr>
        <w:t>В фізіологічних умовах АТІІ блокує продукцію реніну за принципом зворотного зв’язку. Т</w:t>
      </w:r>
      <w:r>
        <w:rPr>
          <w:sz w:val="28"/>
          <w:szCs w:val="28"/>
          <w:lang w:val="uk-UA"/>
        </w:rPr>
        <w:t xml:space="preserve">акож АТІІ має позитивний тропний вплив на міокард, що призводить до збільшення хвилинного об’єму серця. Кінцевим результатом такого складного впливу АТІІ є підвищення артеріального тиску. Напівперіод життя АТІІ становить 10-12 хв, після чого в тканинах та </w:t>
      </w:r>
      <w:r>
        <w:rPr>
          <w:sz w:val="28"/>
          <w:szCs w:val="28"/>
          <w:lang w:val="uk-UA"/>
        </w:rPr>
        <w:t>системному кровотоці він швидко гідролізується на АТІІІ та пептидні фрагменти [13, 12, 14].</w:t>
      </w:r>
    </w:p>
    <w:p w14:paraId="4A7AC44B" w14:textId="77777777" w:rsidR="00000000" w:rsidRDefault="00B4274B">
      <w:pPr>
        <w:shd w:val="clear" w:color="auto" w:fill="FFFFFF"/>
        <w:spacing w:line="360" w:lineRule="auto"/>
        <w:ind w:firstLine="709"/>
        <w:jc w:val="both"/>
        <w:rPr>
          <w:sz w:val="28"/>
          <w:szCs w:val="28"/>
          <w:lang w:val="uk-UA"/>
        </w:rPr>
      </w:pPr>
      <w:r>
        <w:rPr>
          <w:sz w:val="28"/>
          <w:szCs w:val="28"/>
          <w:lang w:val="uk-UA"/>
        </w:rPr>
        <w:t>Біологічна дія АТІІ реалізується шляхом його взаємодії зі специфічними рецепторами клітинних мембран [15, 14]. На сьогодні встановлено існування семи підтипів ангіо</w:t>
      </w:r>
      <w:r>
        <w:rPr>
          <w:sz w:val="28"/>
          <w:szCs w:val="28"/>
          <w:lang w:val="uk-UA"/>
        </w:rPr>
        <w:t>тензинових рецепторів: АТ1, АТ2, АТ3, АТ4 та ін., які були виділені у людини за допомогою створених високоселективних лігандів. Перші чотири підтипи рецепторів є нині найбільш вивченими [16].</w:t>
      </w:r>
    </w:p>
    <w:p w14:paraId="62C95054" w14:textId="77777777" w:rsidR="00000000" w:rsidRDefault="00B4274B">
      <w:pPr>
        <w:shd w:val="clear" w:color="auto" w:fill="FFFFFF"/>
        <w:spacing w:line="360" w:lineRule="auto"/>
        <w:ind w:firstLine="709"/>
        <w:jc w:val="both"/>
        <w:rPr>
          <w:sz w:val="28"/>
          <w:szCs w:val="28"/>
          <w:lang w:val="uk-UA"/>
        </w:rPr>
      </w:pPr>
      <w:r>
        <w:rPr>
          <w:sz w:val="28"/>
          <w:szCs w:val="28"/>
          <w:lang w:val="uk-UA"/>
        </w:rPr>
        <w:t>Взаємодія АТ4 з АТІІ викликає розширення судин, зменшує транспор</w:t>
      </w:r>
      <w:r>
        <w:rPr>
          <w:sz w:val="28"/>
          <w:szCs w:val="28"/>
          <w:lang w:val="uk-UA"/>
        </w:rPr>
        <w:t>т натрію в ниркових канальцях, поліпшує пам’ять, а також, можливо, сприяє процесам запалення. З впливом на АТ4-рецептори пов’язують інгібування тканинного активатора плазміногену, який бере участь у синтезі АТІІ альтернативним шляхом [17].</w:t>
      </w:r>
    </w:p>
    <w:p w14:paraId="601B939C" w14:textId="77777777" w:rsidR="00000000" w:rsidRDefault="00B4274B">
      <w:pPr>
        <w:shd w:val="clear" w:color="auto" w:fill="FFFFFF"/>
        <w:spacing w:line="360" w:lineRule="auto"/>
        <w:ind w:firstLine="709"/>
        <w:jc w:val="both"/>
        <w:rPr>
          <w:sz w:val="28"/>
          <w:szCs w:val="28"/>
          <w:lang w:val="uk-UA"/>
        </w:rPr>
      </w:pPr>
      <w:r>
        <w:rPr>
          <w:sz w:val="28"/>
          <w:szCs w:val="28"/>
          <w:lang w:val="uk-UA"/>
        </w:rPr>
        <w:t>Рецептори АТ1 ро</w:t>
      </w:r>
      <w:r>
        <w:rPr>
          <w:sz w:val="28"/>
          <w:szCs w:val="28"/>
          <w:lang w:val="uk-UA"/>
        </w:rPr>
        <w:t>зділяються на два підтипи: АТ1А та АТ1В. Усі відомі фізіологічні ефекти АТІІ зумовлені його дією на АТ1, який характеризується високою спорідненістю до АТІІ. Фізіологічна дія АТІІ полягає в: підвищенні артеріального тиску, вазоконстрикції, стимуляції нирко</w:t>
      </w:r>
      <w:r>
        <w:rPr>
          <w:sz w:val="28"/>
          <w:szCs w:val="28"/>
          <w:lang w:val="uk-UA"/>
        </w:rPr>
        <w:t>вої реабсорбції іонів натрію, вивільненні альдостерону, вазопресину, катехоламінів і простагландинів; стимуляції відчуття спраги [18, 12, 17, 19]. Функціональні характеристики рецепторів залежать від їх анатомічної локалізації. Рецептори І типу розташовані</w:t>
      </w:r>
      <w:r>
        <w:rPr>
          <w:sz w:val="28"/>
          <w:szCs w:val="28"/>
          <w:lang w:val="uk-UA"/>
        </w:rPr>
        <w:t xml:space="preserve"> в серцевій, легеневій, нирковій тканинах, гіпофізі, наднирниках; при цьому співвідношення підтипів різне [22].</w:t>
      </w:r>
    </w:p>
    <w:p w14:paraId="1CFAB37F" w14:textId="77777777" w:rsidR="00000000" w:rsidRDefault="00B4274B">
      <w:pPr>
        <w:shd w:val="clear" w:color="auto" w:fill="FFFFFF"/>
        <w:spacing w:line="360" w:lineRule="auto"/>
        <w:ind w:firstLine="709"/>
        <w:jc w:val="both"/>
        <w:rPr>
          <w:sz w:val="28"/>
          <w:szCs w:val="28"/>
          <w:lang w:val="uk-UA"/>
        </w:rPr>
      </w:pPr>
      <w:r>
        <w:rPr>
          <w:sz w:val="28"/>
          <w:szCs w:val="28"/>
          <w:lang w:val="uk-UA"/>
        </w:rPr>
        <w:t>В кровоносних судинах стимуляція АТ1-рецепторів призводить до вазоконстрикції та ремоделювання судинної стінки (шляхом активації генів росту гла</w:t>
      </w:r>
      <w:r>
        <w:rPr>
          <w:sz w:val="28"/>
          <w:szCs w:val="28"/>
          <w:lang w:val="uk-UA"/>
        </w:rPr>
        <w:t>денької мускулатури). Такі ж самі проліферативні процеси відбуваються після їх стимуляції в серці, призводячи до гіпертрофії серцевого м’яза, збільшення вмісту колагену та фіброзної тканини в матриксі. За участі цих рецепторів відбувається пряма іонотропна</w:t>
      </w:r>
      <w:r>
        <w:rPr>
          <w:sz w:val="28"/>
          <w:szCs w:val="28"/>
          <w:lang w:val="uk-UA"/>
        </w:rPr>
        <w:t xml:space="preserve"> дія та збільшення симпатичної активності міокарда з подальшим розвитком аритмій [12, 20, 17].</w:t>
      </w:r>
    </w:p>
    <w:p w14:paraId="58C4D139" w14:textId="77777777" w:rsidR="00000000" w:rsidRDefault="00B4274B">
      <w:pPr>
        <w:shd w:val="clear" w:color="auto" w:fill="FFFFFF"/>
        <w:spacing w:line="360" w:lineRule="auto"/>
        <w:ind w:firstLine="709"/>
        <w:jc w:val="both"/>
        <w:rPr>
          <w:sz w:val="28"/>
          <w:szCs w:val="28"/>
          <w:lang w:val="uk-UA"/>
        </w:rPr>
      </w:pPr>
      <w:r>
        <w:rPr>
          <w:sz w:val="28"/>
          <w:szCs w:val="28"/>
          <w:lang w:val="uk-UA"/>
        </w:rPr>
        <w:t>АТ1-рецептори, локалізовані в симпатичній нервовій системі, сприяють вивільненню катехоламінів із пресинаптичних нервових закінчень. В головному мозку стимуляція</w:t>
      </w:r>
      <w:r>
        <w:rPr>
          <w:sz w:val="28"/>
          <w:szCs w:val="28"/>
          <w:lang w:val="uk-UA"/>
        </w:rPr>
        <w:t xml:space="preserve"> АТ1 може регулювати судинорухові центри (контроль артеріального тиску) і центр спраги шляхом вивільнення вазопресину та катехоламінів [21, 16].</w:t>
      </w:r>
    </w:p>
    <w:p w14:paraId="119B597E" w14:textId="77777777" w:rsidR="00000000" w:rsidRDefault="00B4274B">
      <w:pPr>
        <w:shd w:val="clear" w:color="auto" w:fill="FFFFFF"/>
        <w:spacing w:line="360" w:lineRule="auto"/>
        <w:ind w:firstLine="709"/>
        <w:jc w:val="both"/>
        <w:rPr>
          <w:sz w:val="28"/>
          <w:szCs w:val="28"/>
          <w:lang w:val="uk-UA"/>
        </w:rPr>
      </w:pPr>
      <w:r>
        <w:rPr>
          <w:sz w:val="28"/>
          <w:szCs w:val="28"/>
          <w:lang w:val="uk-UA"/>
        </w:rPr>
        <w:t>АТ2-рецептори вельми поширені в організмі: в центральній нервовій системі, в ендотелії судин, наднирниках, орга</w:t>
      </w:r>
      <w:r>
        <w:rPr>
          <w:sz w:val="28"/>
          <w:szCs w:val="28"/>
          <w:lang w:val="uk-UA"/>
        </w:rPr>
        <w:t>нах репродукції (яєчниках, матці). Взаємодія АТІІ з АТ2-рецепторами сприяє апоптозу, а також диференціюванню клітин та регенерації тканин, має захисний вплив щодо нервової тканини, а також може чинити синергічну дію разом з АТ1 в стимуляції запалення. Чере</w:t>
      </w:r>
      <w:r>
        <w:rPr>
          <w:sz w:val="28"/>
          <w:szCs w:val="28"/>
          <w:lang w:val="uk-UA"/>
        </w:rPr>
        <w:t>з їх активацію опосередковуються протилежні реакції: вазодилятація, пригнічення проліферації, натрійурез, апоптоз [24, 23].</w:t>
      </w:r>
    </w:p>
    <w:p w14:paraId="0FC4EBD3" w14:textId="77777777" w:rsidR="00000000" w:rsidRDefault="00B4274B">
      <w:pPr>
        <w:shd w:val="clear" w:color="auto" w:fill="FFFFFF"/>
        <w:spacing w:line="360" w:lineRule="auto"/>
        <w:ind w:firstLine="709"/>
        <w:jc w:val="both"/>
        <w:rPr>
          <w:sz w:val="28"/>
          <w:szCs w:val="28"/>
          <w:lang w:val="uk-UA"/>
        </w:rPr>
      </w:pPr>
      <w:r>
        <w:rPr>
          <w:sz w:val="28"/>
          <w:szCs w:val="28"/>
          <w:lang w:val="uk-UA"/>
        </w:rPr>
        <w:t>Отже, для лікування АГ доцільно застосовувати патогенетично обґрунтовану терапію, зокрема фармакологічну інгібіцію РААС на різних ет</w:t>
      </w:r>
      <w:r>
        <w:rPr>
          <w:sz w:val="28"/>
          <w:szCs w:val="28"/>
          <w:lang w:val="uk-UA"/>
        </w:rPr>
        <w:t xml:space="preserve">апах, при цьому можуть бути блоковані: секреція та вплив реніну, перетворення АТІІ із АТІ та ангіотензинові рецептори [14]. Секреція реніну може бути пригнічена </w:t>
      </w:r>
      <w:r>
        <w:rPr>
          <w:rFonts w:ascii="Times New Roman" w:hAnsi="Times New Roman" w:cs="Times New Roman"/>
          <w:sz w:val="28"/>
          <w:szCs w:val="28"/>
          <w:lang w:val="uk-UA"/>
        </w:rPr>
        <w:t>β-</w:t>
      </w:r>
      <w:r>
        <w:rPr>
          <w:sz w:val="28"/>
          <w:szCs w:val="28"/>
          <w:lang w:val="uk-UA"/>
        </w:rPr>
        <w:t xml:space="preserve">блокаторами, які діють на </w:t>
      </w:r>
      <w:r>
        <w:rPr>
          <w:rFonts w:ascii="Times New Roman" w:hAnsi="Times New Roman" w:cs="Times New Roman"/>
          <w:sz w:val="28"/>
          <w:szCs w:val="28"/>
          <w:lang w:val="uk-UA"/>
        </w:rPr>
        <w:t>β-</w:t>
      </w:r>
      <w:r>
        <w:rPr>
          <w:sz w:val="28"/>
          <w:szCs w:val="28"/>
          <w:lang w:val="uk-UA"/>
        </w:rPr>
        <w:t>рецептори юкстагломерулярних клітин. Інгібітори реніну (аліскірен</w:t>
      </w:r>
      <w:r>
        <w:rPr>
          <w:sz w:val="28"/>
          <w:szCs w:val="28"/>
          <w:lang w:val="uk-UA"/>
        </w:rPr>
        <w:t>и) порушують синтез АТІ із ангіотензиногену, конкурентно зв’язуючись з активними центрами реніну. Але аліскірени в теперішній час лише проходять випробовування щодо біодоступності та ступеню впливу на зворотній зв’язок між АТІІ та секрецією реніну [14].</w:t>
      </w:r>
    </w:p>
    <w:p w14:paraId="1097C836" w14:textId="77777777" w:rsidR="00000000" w:rsidRDefault="00B4274B">
      <w:pPr>
        <w:shd w:val="clear" w:color="auto" w:fill="FFFFFF"/>
        <w:spacing w:line="360" w:lineRule="auto"/>
        <w:ind w:firstLine="709"/>
        <w:jc w:val="both"/>
        <w:rPr>
          <w:sz w:val="28"/>
          <w:szCs w:val="28"/>
          <w:lang w:val="uk-UA"/>
        </w:rPr>
      </w:pPr>
      <w:r>
        <w:rPr>
          <w:sz w:val="28"/>
          <w:szCs w:val="28"/>
          <w:lang w:val="uk-UA"/>
        </w:rPr>
        <w:t>Ін</w:t>
      </w:r>
      <w:r>
        <w:rPr>
          <w:sz w:val="28"/>
          <w:szCs w:val="28"/>
          <w:lang w:val="uk-UA"/>
        </w:rPr>
        <w:t xml:space="preserve">гібітори АПФ перешкоджають формуванню АТІІ із АТІ за участі АПФ. Крім того, вони блокують розкладання сильного вазодилятатору брадикініну та субстанції Р. Незважаючи на клінічні переваги інгібіторів АПФ, кумуляція брадикініну та субстанції Р призводить до </w:t>
      </w:r>
      <w:r>
        <w:rPr>
          <w:sz w:val="28"/>
          <w:szCs w:val="28"/>
          <w:lang w:val="uk-UA"/>
        </w:rPr>
        <w:t>виникнення таких побічних ефектів, як кашель та анафілактоїдні реакції [19, 14].</w:t>
      </w:r>
    </w:p>
    <w:p w14:paraId="29E868D4" w14:textId="77777777" w:rsidR="00000000" w:rsidRDefault="00B4274B">
      <w:pPr>
        <w:shd w:val="clear" w:color="auto" w:fill="FFFFFF"/>
        <w:spacing w:line="360" w:lineRule="auto"/>
        <w:ind w:firstLine="709"/>
        <w:jc w:val="both"/>
        <w:rPr>
          <w:sz w:val="28"/>
          <w:szCs w:val="28"/>
          <w:lang w:val="uk-UA"/>
        </w:rPr>
      </w:pPr>
      <w:r>
        <w:rPr>
          <w:sz w:val="28"/>
          <w:szCs w:val="28"/>
          <w:lang w:val="uk-UA"/>
        </w:rPr>
        <w:t>Враховуючи те, що генерація АТІІ відбувається й альтернативним шляхом, доцільним є використання блокаторів АТ1-рецепторів (БРА) - сартанів. Перевагою такого впливу є те, що пі</w:t>
      </w:r>
      <w:r>
        <w:rPr>
          <w:sz w:val="28"/>
          <w:szCs w:val="28"/>
          <w:lang w:val="uk-UA"/>
        </w:rPr>
        <w:t>двищена продукція АТІІ в умовах блокади АТ1-рецепторів буде сприяти стимуляції АТ2-рецепторів, тобто викликати такі сприятливі ефекти, як вазодилятація, пригнічення проліферації шляхом підвищеного синтезу нітроген оксиду. Позитивною рисою застосування сарт</w:t>
      </w:r>
      <w:r>
        <w:rPr>
          <w:sz w:val="28"/>
          <w:szCs w:val="28"/>
          <w:lang w:val="uk-UA"/>
        </w:rPr>
        <w:t>анів є відсутність впливу на метаболізм брадикініну [14, 19].</w:t>
      </w:r>
    </w:p>
    <w:p w14:paraId="540A631B" w14:textId="77777777" w:rsidR="00000000" w:rsidRDefault="00B4274B">
      <w:pPr>
        <w:shd w:val="clear" w:color="auto" w:fill="FFFFFF"/>
        <w:spacing w:line="360" w:lineRule="auto"/>
        <w:ind w:firstLine="709"/>
        <w:jc w:val="both"/>
        <w:rPr>
          <w:sz w:val="28"/>
          <w:szCs w:val="28"/>
          <w:lang w:val="uk-UA"/>
        </w:rPr>
      </w:pPr>
      <w:r>
        <w:rPr>
          <w:sz w:val="28"/>
          <w:szCs w:val="28"/>
          <w:lang w:val="uk-UA"/>
        </w:rPr>
        <w:t>На сьогодні БРА представлені чотирма підгрупами, які відрізняються за хімічною будовою:</w:t>
      </w:r>
    </w:p>
    <w:p w14:paraId="2D88F7B3" w14:textId="77777777" w:rsidR="00000000" w:rsidRDefault="00B4274B">
      <w:pPr>
        <w:shd w:val="clear" w:color="auto" w:fill="FFFFFF"/>
        <w:spacing w:line="360" w:lineRule="auto"/>
        <w:ind w:firstLine="709"/>
        <w:jc w:val="both"/>
        <w:rPr>
          <w:sz w:val="28"/>
          <w:szCs w:val="28"/>
          <w:lang w:val="uk-UA"/>
        </w:rPr>
      </w:pPr>
      <w:r>
        <w:rPr>
          <w:sz w:val="28"/>
          <w:szCs w:val="28"/>
          <w:lang w:val="uk-UA"/>
        </w:rPr>
        <w:t>. Біфенілові похідні тетразолу: лозартан, ірбесартан, кандесартан, олмесартан.</w:t>
      </w:r>
    </w:p>
    <w:p w14:paraId="7A934F49" w14:textId="77777777" w:rsidR="00000000" w:rsidRDefault="00B4274B">
      <w:pPr>
        <w:shd w:val="clear" w:color="auto" w:fill="FFFFFF"/>
        <w:spacing w:line="360" w:lineRule="auto"/>
        <w:ind w:firstLine="709"/>
        <w:jc w:val="both"/>
        <w:rPr>
          <w:sz w:val="28"/>
          <w:szCs w:val="28"/>
          <w:lang w:val="uk-UA"/>
        </w:rPr>
      </w:pPr>
      <w:r>
        <w:rPr>
          <w:sz w:val="28"/>
          <w:szCs w:val="28"/>
          <w:lang w:val="uk-UA"/>
        </w:rPr>
        <w:t>. Небіфенілові похідні тетр</w:t>
      </w:r>
      <w:r>
        <w:rPr>
          <w:sz w:val="28"/>
          <w:szCs w:val="28"/>
          <w:lang w:val="uk-UA"/>
        </w:rPr>
        <w:t>азолу: телмісартан.</w:t>
      </w:r>
    </w:p>
    <w:p w14:paraId="0055ABBE" w14:textId="77777777" w:rsidR="00000000" w:rsidRDefault="00B4274B">
      <w:pPr>
        <w:shd w:val="clear" w:color="auto" w:fill="FFFFFF"/>
        <w:spacing w:line="360" w:lineRule="auto"/>
        <w:ind w:firstLine="709"/>
        <w:jc w:val="both"/>
        <w:rPr>
          <w:sz w:val="28"/>
          <w:szCs w:val="28"/>
          <w:lang w:val="uk-UA"/>
        </w:rPr>
      </w:pPr>
      <w:r>
        <w:rPr>
          <w:sz w:val="28"/>
          <w:szCs w:val="28"/>
          <w:lang w:val="uk-UA"/>
        </w:rPr>
        <w:t>. Небіфенілові і нететразолові похідні: епросартан.</w:t>
      </w:r>
    </w:p>
    <w:p w14:paraId="71AA5430" w14:textId="77777777" w:rsidR="00000000" w:rsidRDefault="00B4274B">
      <w:pPr>
        <w:shd w:val="clear" w:color="auto" w:fill="FFFFFF"/>
        <w:spacing w:line="360" w:lineRule="auto"/>
        <w:ind w:firstLine="709"/>
        <w:jc w:val="both"/>
        <w:rPr>
          <w:sz w:val="28"/>
          <w:szCs w:val="28"/>
          <w:lang w:val="uk-UA"/>
        </w:rPr>
      </w:pPr>
      <w:r>
        <w:rPr>
          <w:sz w:val="28"/>
          <w:szCs w:val="28"/>
          <w:lang w:val="uk-UA"/>
        </w:rPr>
        <w:t>. Негетероциклічні сполуки: валсартан.</w:t>
      </w:r>
    </w:p>
    <w:p w14:paraId="2E6CB02C" w14:textId="77777777" w:rsidR="00000000" w:rsidRDefault="00B4274B">
      <w:pPr>
        <w:shd w:val="clear" w:color="auto" w:fill="FFFFFF"/>
        <w:spacing w:line="360" w:lineRule="auto"/>
        <w:ind w:firstLine="709"/>
        <w:jc w:val="both"/>
        <w:rPr>
          <w:sz w:val="28"/>
          <w:szCs w:val="28"/>
          <w:lang w:val="uk-UA"/>
        </w:rPr>
      </w:pPr>
      <w:r>
        <w:rPr>
          <w:sz w:val="28"/>
          <w:szCs w:val="28"/>
          <w:lang w:val="uk-UA"/>
        </w:rPr>
        <w:t>Для усіх сартанів характерна висока спорідненість (афінітет) до АТ1-рецепторів, яка перевищує таку у АТII в тисячі разів. Ступінь спорідненості Б</w:t>
      </w:r>
      <w:r>
        <w:rPr>
          <w:sz w:val="28"/>
          <w:szCs w:val="28"/>
          <w:lang w:val="uk-UA"/>
        </w:rPr>
        <w:t>РА до АТ1-рецепторів в порівнянні із АТ2 виглядає таким чином: валсартан &gt; олмесартан &gt; кандесартан &gt; ірбесартан &gt; телмісартан &gt; лозартан &gt; епросартан [23].</w:t>
      </w:r>
    </w:p>
    <w:p w14:paraId="1AAF5E14" w14:textId="77777777" w:rsidR="00000000" w:rsidRDefault="00B4274B">
      <w:pPr>
        <w:shd w:val="clear" w:color="auto" w:fill="FFFFFF"/>
        <w:spacing w:line="360" w:lineRule="auto"/>
        <w:ind w:firstLine="709"/>
        <w:jc w:val="both"/>
        <w:rPr>
          <w:sz w:val="28"/>
          <w:szCs w:val="28"/>
          <w:lang w:val="uk-UA"/>
        </w:rPr>
      </w:pPr>
      <w:r>
        <w:rPr>
          <w:sz w:val="28"/>
          <w:szCs w:val="28"/>
          <w:lang w:val="uk-UA"/>
        </w:rPr>
        <w:t>За ступенем антагонізму до АТ1-рецепторів виділяють конкурентні та неконкурентні БРА. Конкурентні с</w:t>
      </w:r>
      <w:r>
        <w:rPr>
          <w:sz w:val="28"/>
          <w:szCs w:val="28"/>
          <w:lang w:val="uk-UA"/>
        </w:rPr>
        <w:t>артани оборотно зв’язуються з АТ1-рецепторами та можуть бути витіснені надлишком АТІІ. До цієї групи належать лозартан і епрозартан. Перевага конкурентної взаємодії з рецепторами полягає в тому, що при надмірному зниженні артеріального тиску АТІІ здатен ви</w:t>
      </w:r>
      <w:r>
        <w:rPr>
          <w:sz w:val="28"/>
          <w:szCs w:val="28"/>
          <w:lang w:val="uk-UA"/>
        </w:rPr>
        <w:t>тіснити препарат зі зв’язку та підвищити артеріальний тиск [8]. Неконкурентні БРА необоротно зв’язуються з рецепторами і, відповідно, не залежать від кількості АТІІ. Проте із появою нових даних усі БРА розглядаються як конкурентні, і різниця полягає в швид</w:t>
      </w:r>
      <w:r>
        <w:rPr>
          <w:sz w:val="28"/>
          <w:szCs w:val="28"/>
          <w:lang w:val="uk-UA"/>
        </w:rPr>
        <w:t>кості дисоціації, тому виділяють препарати з швидко оборотною блокадою (лозартан, епрозартан) та повільно оборотною (усі інші) [15].</w:t>
      </w:r>
    </w:p>
    <w:p w14:paraId="54B8F3CA" w14:textId="77777777" w:rsidR="00000000" w:rsidRDefault="00B4274B">
      <w:pPr>
        <w:shd w:val="clear" w:color="auto" w:fill="FFFFFF"/>
        <w:spacing w:line="360" w:lineRule="auto"/>
        <w:ind w:firstLine="709"/>
        <w:jc w:val="both"/>
        <w:rPr>
          <w:sz w:val="28"/>
          <w:szCs w:val="28"/>
          <w:lang w:val="uk-UA"/>
        </w:rPr>
      </w:pPr>
      <w:r>
        <w:rPr>
          <w:sz w:val="28"/>
          <w:szCs w:val="28"/>
          <w:lang w:val="uk-UA"/>
        </w:rPr>
        <w:t>Усі препарати цієї групи, крім лозартану, кандесартану та олмесартану, мають власну фармакологічну активність. Із лозартану</w:t>
      </w:r>
      <w:r>
        <w:rPr>
          <w:sz w:val="28"/>
          <w:szCs w:val="28"/>
          <w:lang w:val="uk-UA"/>
        </w:rPr>
        <w:t xml:space="preserve"> в печінці за участі цитохрому Р450 (під впливом CYP2C9 та CYP3A4 ізоферментів) формується активний метаболіт EXP-3174, антагоністична активність якого в 10-40 разів вища за активність лозартану. Кандесартану цилексетил та олмесартану медоксоміл є пролікам</w:t>
      </w:r>
      <w:r>
        <w:rPr>
          <w:sz w:val="28"/>
          <w:szCs w:val="28"/>
          <w:lang w:val="uk-UA"/>
        </w:rPr>
        <w:t>и, вони активуються в тонкому кишківнику відповідно до кандесартану та олмесартану і не залежать від печінкового метаболізму [14, 26].</w:t>
      </w:r>
    </w:p>
    <w:p w14:paraId="566D7402" w14:textId="77777777" w:rsidR="00000000" w:rsidRDefault="00B4274B">
      <w:pPr>
        <w:shd w:val="clear" w:color="auto" w:fill="FFFFFF"/>
        <w:spacing w:line="360" w:lineRule="auto"/>
        <w:ind w:firstLine="709"/>
        <w:jc w:val="both"/>
        <w:rPr>
          <w:sz w:val="28"/>
          <w:szCs w:val="28"/>
          <w:lang w:val="uk-UA"/>
        </w:rPr>
      </w:pPr>
      <w:r>
        <w:rPr>
          <w:sz w:val="28"/>
          <w:szCs w:val="28"/>
          <w:lang w:val="uk-UA"/>
        </w:rPr>
        <w:t>За розчинністю серед БРА виділяють гідро- та ліпофільні препарати. Гідрофільними є лозартан, валсартан та ірбесартан, які</w:t>
      </w:r>
      <w:r>
        <w:rPr>
          <w:sz w:val="28"/>
          <w:szCs w:val="28"/>
          <w:lang w:val="uk-UA"/>
        </w:rPr>
        <w:t xml:space="preserve"> погано проникають через гематоецефалічний бар’єр. До ліпофільних препаратів належать: епросартан, кандесартан та телмісартан. Висока ліпофільність полегшує трансмембранну дифузію діючої речовини до тканин, що сприяє послабленню ефектів не тільки циркулююч</w:t>
      </w:r>
      <w:r>
        <w:rPr>
          <w:sz w:val="28"/>
          <w:szCs w:val="28"/>
          <w:lang w:val="uk-UA"/>
        </w:rPr>
        <w:t xml:space="preserve">ої, але й локальної РААС [27]. Ліпофільність БРА дає змогу їм проникати через гематоенцефалічний бар’єр та гальмувати активність пресинаптичних АТ1-рецепторів симпатичних нейронів, які регулюють вивільнення норадреналіну, і тим самим послаблювати пресорну </w:t>
      </w:r>
      <w:r>
        <w:rPr>
          <w:sz w:val="28"/>
          <w:szCs w:val="28"/>
          <w:lang w:val="uk-UA"/>
        </w:rPr>
        <w:t>дію АТІІ. Стимуляція АТ2-рецепторів ангіотензином ІІ, вміст якого в умовах блокади АТ1 підвищується, лежить в основі церебропротекторних ефектів БРА [28].</w:t>
      </w:r>
    </w:p>
    <w:p w14:paraId="40085295" w14:textId="77777777" w:rsidR="00000000" w:rsidRDefault="00B4274B">
      <w:pPr>
        <w:shd w:val="clear" w:color="auto" w:fill="FFFFFF"/>
        <w:spacing w:line="360" w:lineRule="auto"/>
        <w:ind w:firstLine="709"/>
        <w:jc w:val="both"/>
        <w:rPr>
          <w:sz w:val="28"/>
          <w:szCs w:val="28"/>
          <w:lang w:val="uk-UA"/>
        </w:rPr>
      </w:pPr>
      <w:r>
        <w:rPr>
          <w:sz w:val="28"/>
          <w:szCs w:val="28"/>
          <w:lang w:val="uk-UA"/>
        </w:rPr>
        <w:t>Фармакокінетичні та фармакодинамічні характеристики препаратів з класу БРА - різні (таблиця). Найвищ</w:t>
      </w:r>
      <w:r>
        <w:rPr>
          <w:sz w:val="28"/>
          <w:szCs w:val="28"/>
          <w:lang w:val="uk-UA"/>
        </w:rPr>
        <w:t>ий показник біодоступності (60-80%) має ірбесартан, найнижчий - епросартан (13%). Прийом їжі може знижувати біодоступність лозартану на 10% та телмісартану на 6-20%, а також уповільнювати всмоктування епросартану і зменшувати на 50% AUC валсартану. Отже, п</w:t>
      </w:r>
      <w:r>
        <w:rPr>
          <w:sz w:val="28"/>
          <w:szCs w:val="28"/>
          <w:lang w:val="uk-UA"/>
        </w:rPr>
        <w:t>ерераховані препарати краще не вживати під час їжі, а на біодоступність кандесартану, ірбесартану та олмесартану прийом їжі не впливає [23].</w:t>
      </w:r>
    </w:p>
    <w:p w14:paraId="1A550083" w14:textId="77777777" w:rsidR="00000000" w:rsidRDefault="00B4274B">
      <w:pPr>
        <w:shd w:val="clear" w:color="auto" w:fill="FFFFFF"/>
        <w:spacing w:line="360" w:lineRule="auto"/>
        <w:ind w:firstLine="709"/>
        <w:jc w:val="both"/>
        <w:rPr>
          <w:sz w:val="28"/>
          <w:szCs w:val="28"/>
          <w:lang w:val="uk-UA"/>
        </w:rPr>
      </w:pPr>
      <w:r>
        <w:rPr>
          <w:sz w:val="28"/>
          <w:szCs w:val="28"/>
          <w:lang w:val="uk-UA"/>
        </w:rPr>
        <w:t>Від тривалості періоду напіввиведення препарату залежить його режим дозування. Препарати з тривалим періодом напівв</w:t>
      </w:r>
      <w:r>
        <w:rPr>
          <w:sz w:val="28"/>
          <w:szCs w:val="28"/>
          <w:lang w:val="uk-UA"/>
        </w:rPr>
        <w:t>иведення, зокрема олмесартан, ірбесартан, телмісартан та кандесартан, хворі повинні приймати один раз на добу, а препарати з коротким періодом (лозартан, епросартан, валсартан) потребують двократного прийому [23].</w:t>
      </w:r>
    </w:p>
    <w:p w14:paraId="4A016806" w14:textId="77777777" w:rsidR="00000000" w:rsidRDefault="00B4274B">
      <w:pPr>
        <w:pStyle w:val="1"/>
        <w:spacing w:line="360" w:lineRule="auto"/>
        <w:ind w:firstLine="709"/>
        <w:jc w:val="both"/>
        <w:rPr>
          <w:sz w:val="28"/>
          <w:szCs w:val="28"/>
          <w:lang w:val="uk-UA"/>
        </w:rPr>
      </w:pPr>
    </w:p>
    <w:p w14:paraId="33007E21" w14:textId="77777777" w:rsidR="00000000" w:rsidRDefault="00B4274B">
      <w:pPr>
        <w:pStyle w:val="1"/>
        <w:spacing w:line="360" w:lineRule="auto"/>
        <w:ind w:firstLine="709"/>
        <w:jc w:val="both"/>
        <w:rPr>
          <w:sz w:val="28"/>
          <w:szCs w:val="28"/>
          <w:lang w:val="uk-UA"/>
        </w:rPr>
      </w:pPr>
      <w:r>
        <w:rPr>
          <w:sz w:val="28"/>
          <w:szCs w:val="28"/>
          <w:lang w:val="uk-UA"/>
        </w:rPr>
        <w:t>ДАНІ ПРО ПОБІЧНІ ЕФЕКТИ ЛІКАРСЬКОГО ПРЕПА</w:t>
      </w:r>
      <w:r>
        <w:rPr>
          <w:sz w:val="28"/>
          <w:szCs w:val="28"/>
          <w:lang w:val="uk-UA"/>
        </w:rPr>
        <w:t>РАТУ «КОЗААР» ТА ЧАСТОТУ ЇХ ВИНИКНЕННЯ</w:t>
      </w:r>
    </w:p>
    <w:p w14:paraId="34F38A8F" w14:textId="77777777" w:rsidR="00000000" w:rsidRDefault="00B4274B">
      <w:pPr>
        <w:spacing w:line="360" w:lineRule="auto"/>
        <w:ind w:firstLine="709"/>
        <w:jc w:val="both"/>
        <w:rPr>
          <w:sz w:val="28"/>
          <w:szCs w:val="28"/>
          <w:lang w:val="uk-UA"/>
        </w:rPr>
      </w:pPr>
    </w:p>
    <w:p w14:paraId="7E17703B" w14:textId="77777777" w:rsidR="00000000" w:rsidRDefault="00B4274B">
      <w:pPr>
        <w:spacing w:line="360" w:lineRule="auto"/>
        <w:ind w:firstLine="709"/>
        <w:jc w:val="both"/>
        <w:rPr>
          <w:sz w:val="28"/>
          <w:szCs w:val="28"/>
          <w:lang w:val="uk-UA"/>
        </w:rPr>
      </w:pPr>
      <w:r>
        <w:rPr>
          <w:sz w:val="28"/>
          <w:szCs w:val="28"/>
          <w:lang w:val="uk-UA"/>
        </w:rPr>
        <w:t>В цілому препарат Козаар добре переноситься пацієнтами з артеріальною гіпертензією, небажані явища носять легкий і тимчасовий характер і не вимагають відміни препарату. Сумарна частота побічних ефектів препарату Коза</w:t>
      </w:r>
      <w:r>
        <w:rPr>
          <w:sz w:val="28"/>
          <w:szCs w:val="28"/>
          <w:lang w:val="uk-UA"/>
        </w:rPr>
        <w:t>ар порівнянна з даними показником при прийомі плацебо. У контрольованих клінічних дослідженнях препарату у пацієнтів з артеріальною гіпертензією єдиною небажаною реакцією, пов'язаної з лікуванням і спостережуваної частіше, ніж при прийомі плацебо, було зап</w:t>
      </w:r>
      <w:r>
        <w:rPr>
          <w:sz w:val="28"/>
          <w:szCs w:val="28"/>
          <w:lang w:val="uk-UA"/>
        </w:rPr>
        <w:t xml:space="preserve">аморочення, реєстроване в групах лікування препаратом Козаар з частотою </w:t>
      </w:r>
      <w:r>
        <w:rPr>
          <w:rFonts w:ascii="Times New Roman" w:hAnsi="Times New Roman" w:cs="Times New Roman"/>
          <w:sz w:val="28"/>
          <w:szCs w:val="28"/>
          <w:lang w:val="uk-UA"/>
        </w:rPr>
        <w:t>≥</w:t>
      </w:r>
      <w:r>
        <w:rPr>
          <w:sz w:val="28"/>
          <w:szCs w:val="28"/>
          <w:lang w:val="uk-UA"/>
        </w:rPr>
        <w:t xml:space="preserve">1%. Крім цього, у </w:t>
      </w:r>
      <w:r>
        <w:rPr>
          <w:rFonts w:ascii="Times New Roman" w:hAnsi="Times New Roman" w:cs="Times New Roman"/>
          <w:sz w:val="28"/>
          <w:szCs w:val="28"/>
          <w:lang w:val="uk-UA"/>
        </w:rPr>
        <w:t>≤</w:t>
      </w:r>
      <w:r>
        <w:rPr>
          <w:sz w:val="28"/>
          <w:szCs w:val="28"/>
          <w:lang w:val="uk-UA"/>
        </w:rPr>
        <w:t>1% пацієнтів відзначалися ортостатические реакції, що залежать від дози препарату. Рідко (</w:t>
      </w:r>
      <w:r>
        <w:rPr>
          <w:rFonts w:ascii="Times New Roman" w:hAnsi="Times New Roman" w:cs="Times New Roman"/>
          <w:sz w:val="28"/>
          <w:szCs w:val="28"/>
          <w:lang w:val="uk-UA"/>
        </w:rPr>
        <w:t>≥</w:t>
      </w:r>
      <w:r>
        <w:rPr>
          <w:sz w:val="28"/>
          <w:szCs w:val="28"/>
          <w:lang w:val="uk-UA"/>
        </w:rPr>
        <w:t>0,01% і &lt;0,1% випадків) повідомлялося про виникнення шкірного висипу, але</w:t>
      </w:r>
      <w:r>
        <w:rPr>
          <w:sz w:val="28"/>
          <w:szCs w:val="28"/>
          <w:lang w:val="uk-UA"/>
        </w:rPr>
        <w:t xml:space="preserve"> частота її виникнення була меншою, ніж при прийомі плацебо.</w:t>
      </w:r>
    </w:p>
    <w:p w14:paraId="643970EE" w14:textId="77777777" w:rsidR="00000000" w:rsidRDefault="00B4274B">
      <w:pPr>
        <w:spacing w:line="360" w:lineRule="auto"/>
        <w:ind w:firstLine="709"/>
        <w:jc w:val="both"/>
        <w:rPr>
          <w:sz w:val="28"/>
          <w:szCs w:val="28"/>
          <w:lang w:val="uk-UA"/>
        </w:rPr>
      </w:pPr>
      <w:r>
        <w:rPr>
          <w:sz w:val="28"/>
          <w:szCs w:val="28"/>
          <w:lang w:val="uk-UA"/>
        </w:rPr>
        <w:t xml:space="preserve">У ході цих досліджень у </w:t>
      </w:r>
      <w:r>
        <w:rPr>
          <w:rFonts w:ascii="Times New Roman" w:hAnsi="Times New Roman" w:cs="Times New Roman"/>
          <w:sz w:val="28"/>
          <w:szCs w:val="28"/>
          <w:lang w:val="uk-UA"/>
        </w:rPr>
        <w:t>≥</w:t>
      </w:r>
      <w:r>
        <w:rPr>
          <w:sz w:val="28"/>
          <w:szCs w:val="28"/>
          <w:lang w:val="uk-UA"/>
        </w:rPr>
        <w:t xml:space="preserve">1% пацієнтів з артеріальною гіпертензією спостерігалися такі небажані явища на фоні прийому препарату Козаар (n = 2085) або плацебо (n = 535), незалежно від їх зв'язку з </w:t>
      </w:r>
      <w:r>
        <w:rPr>
          <w:sz w:val="28"/>
          <w:szCs w:val="28"/>
          <w:lang w:val="uk-UA"/>
        </w:rPr>
        <w:t>лікуванням.</w:t>
      </w:r>
    </w:p>
    <w:p w14:paraId="0AAE5113" w14:textId="77777777" w:rsidR="00000000" w:rsidRDefault="00B4274B">
      <w:pPr>
        <w:spacing w:line="360" w:lineRule="auto"/>
        <w:ind w:firstLine="709"/>
        <w:jc w:val="both"/>
        <w:rPr>
          <w:sz w:val="28"/>
          <w:szCs w:val="28"/>
          <w:lang w:val="uk-UA"/>
        </w:rPr>
      </w:pPr>
      <w:r>
        <w:rPr>
          <w:sz w:val="28"/>
          <w:szCs w:val="28"/>
          <w:lang w:val="uk-UA"/>
        </w:rPr>
        <w:t>Загальні: біль в області шлунка - 1,7% (плацебо - 1,7%); слабкість і підвищена стомлюваність - 3,8% (плацебо - 3,9%); біль у грудях - 1,1% (плацебо - 2,6%); периферичні набряки - 1,7% (плацебо - 1,9%).</w:t>
      </w:r>
    </w:p>
    <w:p w14:paraId="5C690DFB" w14:textId="77777777" w:rsidR="00000000" w:rsidRDefault="00B4274B">
      <w:pPr>
        <w:spacing w:line="360" w:lineRule="auto"/>
        <w:ind w:firstLine="709"/>
        <w:jc w:val="both"/>
        <w:rPr>
          <w:sz w:val="28"/>
          <w:szCs w:val="28"/>
          <w:lang w:val="uk-UA"/>
        </w:rPr>
      </w:pPr>
      <w:r>
        <w:rPr>
          <w:sz w:val="28"/>
          <w:szCs w:val="28"/>
          <w:lang w:val="uk-UA"/>
        </w:rPr>
        <w:t>З боку ССС: відчуття серцебиття - 1% (плац</w:t>
      </w:r>
      <w:r>
        <w:rPr>
          <w:sz w:val="28"/>
          <w:szCs w:val="28"/>
          <w:lang w:val="uk-UA"/>
        </w:rPr>
        <w:t>ебо - 0,4%); тахікардія - 1% (плацебо - 1,7%).</w:t>
      </w:r>
    </w:p>
    <w:p w14:paraId="454A4C58" w14:textId="77777777" w:rsidR="00000000" w:rsidRDefault="00B4274B">
      <w:pPr>
        <w:spacing w:line="360" w:lineRule="auto"/>
        <w:ind w:firstLine="709"/>
        <w:jc w:val="both"/>
        <w:rPr>
          <w:sz w:val="28"/>
          <w:szCs w:val="28"/>
          <w:lang w:val="uk-UA"/>
        </w:rPr>
      </w:pPr>
      <w:r>
        <w:rPr>
          <w:sz w:val="28"/>
          <w:szCs w:val="28"/>
          <w:lang w:val="uk-UA"/>
        </w:rPr>
        <w:t>З боку травного тракту: діарея - 1,9% (плацебо - 1,9%); диспепсія - 1,1% (плацебо - 1,5%); нудота - 1,8% (плацебо - 2,8%).</w:t>
      </w:r>
    </w:p>
    <w:p w14:paraId="4E5FB6F7" w14:textId="77777777" w:rsidR="00000000" w:rsidRDefault="00B4274B">
      <w:pPr>
        <w:spacing w:line="360" w:lineRule="auto"/>
        <w:ind w:firstLine="709"/>
        <w:jc w:val="both"/>
        <w:rPr>
          <w:sz w:val="28"/>
          <w:szCs w:val="28"/>
          <w:lang w:val="uk-UA"/>
        </w:rPr>
      </w:pPr>
      <w:r>
        <w:rPr>
          <w:sz w:val="28"/>
          <w:szCs w:val="28"/>
          <w:lang w:val="uk-UA"/>
        </w:rPr>
        <w:t>З боку опорно-рухового апарату: біль у спині - 1,6% (плацебо - 1,1%); м'язові спазми -</w:t>
      </w:r>
      <w:r>
        <w:rPr>
          <w:sz w:val="28"/>
          <w:szCs w:val="28"/>
          <w:lang w:val="uk-UA"/>
        </w:rPr>
        <w:t xml:space="preserve"> 1% (плацебо - 1,1%).</w:t>
      </w:r>
    </w:p>
    <w:p w14:paraId="48FB0A41" w14:textId="77777777" w:rsidR="00000000" w:rsidRDefault="00B4274B">
      <w:pPr>
        <w:spacing w:line="360" w:lineRule="auto"/>
        <w:ind w:firstLine="709"/>
        <w:jc w:val="both"/>
        <w:rPr>
          <w:sz w:val="28"/>
          <w:szCs w:val="28"/>
          <w:lang w:val="uk-UA"/>
        </w:rPr>
      </w:pPr>
      <w:r>
        <w:rPr>
          <w:sz w:val="28"/>
          <w:szCs w:val="28"/>
          <w:lang w:val="uk-UA"/>
        </w:rPr>
        <w:t>З боку ЦНС: запаморочення - 4,1% (плацебо - 2,4%); головний біль - 14,1% (плацебо - 17,2%); безсоння - 1,1% (плацебо - 0,7%).</w:t>
      </w:r>
    </w:p>
    <w:p w14:paraId="61C5485C" w14:textId="77777777" w:rsidR="00000000" w:rsidRDefault="00B4274B">
      <w:pPr>
        <w:spacing w:line="360" w:lineRule="auto"/>
        <w:ind w:firstLine="709"/>
        <w:jc w:val="both"/>
        <w:rPr>
          <w:sz w:val="28"/>
          <w:szCs w:val="28"/>
          <w:lang w:val="uk-UA"/>
        </w:rPr>
      </w:pPr>
      <w:r>
        <w:rPr>
          <w:sz w:val="28"/>
          <w:szCs w:val="28"/>
          <w:lang w:val="uk-UA"/>
        </w:rPr>
        <w:t>З боку органів дихання: кашель - 3,1% (плацебо - 2,6%); набряк слизової носа - 1,3% (плацебо - 1,1%); фаринг</w:t>
      </w:r>
      <w:r>
        <w:rPr>
          <w:sz w:val="28"/>
          <w:szCs w:val="28"/>
          <w:lang w:val="uk-UA"/>
        </w:rPr>
        <w:t>іт - 1,5% (плацебо - 2,6%); синусит - 1% (плацебо - 1,3%); інфекції верхніх дихальних шляхів - 6,5% (плацебо - 5,6%).</w:t>
      </w:r>
    </w:p>
    <w:p w14:paraId="6875EF13" w14:textId="77777777" w:rsidR="00000000" w:rsidRDefault="00B4274B">
      <w:pPr>
        <w:spacing w:line="360" w:lineRule="auto"/>
        <w:ind w:firstLine="709"/>
        <w:jc w:val="both"/>
        <w:rPr>
          <w:sz w:val="28"/>
          <w:szCs w:val="28"/>
          <w:lang w:val="uk-UA"/>
        </w:rPr>
      </w:pPr>
      <w:r>
        <w:rPr>
          <w:sz w:val="28"/>
          <w:szCs w:val="28"/>
          <w:lang w:val="uk-UA"/>
        </w:rPr>
        <w:t>Контрольовані клінічні дослідження показали, що препарат Козаар в основному добре переноситься пацієнтами з артеріальною гіпертензією та г</w:t>
      </w:r>
      <w:r>
        <w:rPr>
          <w:sz w:val="28"/>
          <w:szCs w:val="28"/>
          <w:lang w:val="uk-UA"/>
        </w:rPr>
        <w:t>іпертрофією лівого шлуночка. Найбільш частими небажаними реакціями, пов'язаними з прийомом препарату, були системне і запаморочення, астенія / слабкість.</w:t>
      </w:r>
    </w:p>
    <w:p w14:paraId="0F619D32" w14:textId="77777777" w:rsidR="00000000" w:rsidRDefault="00B4274B">
      <w:pPr>
        <w:spacing w:line="360" w:lineRule="auto"/>
        <w:ind w:firstLine="709"/>
        <w:jc w:val="both"/>
        <w:rPr>
          <w:sz w:val="28"/>
          <w:szCs w:val="28"/>
          <w:lang w:val="uk-UA"/>
        </w:rPr>
      </w:pPr>
      <w:r>
        <w:rPr>
          <w:sz w:val="28"/>
          <w:szCs w:val="28"/>
          <w:lang w:val="uk-UA"/>
        </w:rPr>
        <w:t>Контрольовані клінічні дослідження показали, що препарат Козаар в основному добре переноситься пацієнт</w:t>
      </w:r>
      <w:r>
        <w:rPr>
          <w:sz w:val="28"/>
          <w:szCs w:val="28"/>
          <w:lang w:val="uk-UA"/>
        </w:rPr>
        <w:t>ами з цукровим діабетом типу 2 і протеїнурією. Найбільш частими небажаними реакціями, пов'язаними з прийомом препарату, були запаморочення, астенія / слабкість, виражене зниження артеріального тиску і гіперкаліємія.</w:t>
      </w:r>
    </w:p>
    <w:p w14:paraId="2ED85338" w14:textId="77777777" w:rsidR="00000000" w:rsidRDefault="00B4274B">
      <w:pPr>
        <w:spacing w:line="360" w:lineRule="auto"/>
        <w:ind w:firstLine="709"/>
        <w:jc w:val="both"/>
        <w:rPr>
          <w:sz w:val="28"/>
          <w:szCs w:val="28"/>
          <w:lang w:val="uk-UA"/>
        </w:rPr>
      </w:pPr>
      <w:r>
        <w:rPr>
          <w:sz w:val="28"/>
          <w:szCs w:val="28"/>
          <w:lang w:val="uk-UA"/>
        </w:rPr>
        <w:t>Контрольовані клінічні дослідження показ</w:t>
      </w:r>
      <w:r>
        <w:rPr>
          <w:sz w:val="28"/>
          <w:szCs w:val="28"/>
          <w:lang w:val="uk-UA"/>
        </w:rPr>
        <w:t>али, що препарат, Козаар в основному добре переноситься пацієнтами з ХСН. Небажані явища, що спостерігалися в ході клінічних досліджень, були характерними для даної групи пацієнтів. Найбільш частими небажаними реакціями, пов'язаними з прийомом препарату, б</w:t>
      </w:r>
      <w:r>
        <w:rPr>
          <w:sz w:val="28"/>
          <w:szCs w:val="28"/>
          <w:lang w:val="uk-UA"/>
        </w:rPr>
        <w:t>ули запаморочення і виражене зниження артеріального тиску.</w:t>
      </w:r>
    </w:p>
    <w:p w14:paraId="3BFD4CD5" w14:textId="77777777" w:rsidR="00000000" w:rsidRDefault="00B4274B">
      <w:pPr>
        <w:spacing w:line="360" w:lineRule="auto"/>
        <w:ind w:firstLine="709"/>
        <w:jc w:val="both"/>
        <w:rPr>
          <w:sz w:val="28"/>
          <w:szCs w:val="28"/>
          <w:lang w:val="uk-UA"/>
        </w:rPr>
      </w:pPr>
      <w:r>
        <w:rPr>
          <w:sz w:val="28"/>
          <w:szCs w:val="28"/>
          <w:lang w:val="uk-UA"/>
        </w:rPr>
        <w:t>У клінічному дослідженні HEAAL (див. «Фармакодинамика») такі клінічно значущі небажані реакції, пов'язані з прийомом препарату, спостерігалися більш часто в групі пацієнтів, що приймали препарат Ко</w:t>
      </w:r>
      <w:r>
        <w:rPr>
          <w:sz w:val="28"/>
          <w:szCs w:val="28"/>
          <w:lang w:val="uk-UA"/>
        </w:rPr>
        <w:t>заар в дозі 150 мг, порівняно з групою пацієнтів, що приймали препарат Козаар в дозі 50 мг : гіперкаліємія, гостре порушення функції нирок, гостра ниркова недостатність, виражене зниження артеріального тиску і збільшення концентрації креатиніну, сечовини і</w:t>
      </w:r>
      <w:r>
        <w:rPr>
          <w:sz w:val="28"/>
          <w:szCs w:val="28"/>
          <w:lang w:val="uk-UA"/>
        </w:rPr>
        <w:t xml:space="preserve"> вмісту калію в крові. Дані небажані реакції не приводили до значно більш частим скасувань терапії у пацієнтів, що приймали препарат Козаар в дозі 150 мг.</w:t>
      </w:r>
    </w:p>
    <w:p w14:paraId="7F7957C6" w14:textId="77777777" w:rsidR="00000000" w:rsidRDefault="00B4274B">
      <w:pPr>
        <w:spacing w:line="360" w:lineRule="auto"/>
        <w:ind w:firstLine="709"/>
        <w:jc w:val="both"/>
        <w:rPr>
          <w:sz w:val="28"/>
          <w:szCs w:val="28"/>
          <w:lang w:val="uk-UA"/>
        </w:rPr>
      </w:pPr>
      <w:r>
        <w:rPr>
          <w:sz w:val="28"/>
          <w:szCs w:val="28"/>
          <w:lang w:val="uk-UA"/>
        </w:rPr>
        <w:t>Наступні небажані реакції були відзначені в клінічній практиці в післяреєстраційний періоді.</w:t>
      </w:r>
    </w:p>
    <w:p w14:paraId="6D29434F" w14:textId="77777777" w:rsidR="00000000" w:rsidRDefault="00B4274B">
      <w:pPr>
        <w:spacing w:line="360" w:lineRule="auto"/>
        <w:ind w:firstLine="709"/>
        <w:jc w:val="both"/>
        <w:rPr>
          <w:sz w:val="28"/>
          <w:szCs w:val="28"/>
          <w:lang w:val="uk-UA"/>
        </w:rPr>
      </w:pPr>
      <w:r>
        <w:rPr>
          <w:sz w:val="28"/>
          <w:szCs w:val="28"/>
          <w:lang w:val="uk-UA"/>
        </w:rPr>
        <w:t xml:space="preserve">Реакції </w:t>
      </w:r>
      <w:r>
        <w:rPr>
          <w:sz w:val="28"/>
          <w:szCs w:val="28"/>
          <w:lang w:val="uk-UA"/>
        </w:rPr>
        <w:t>підвищеної чутливості: у пацієнтів, що приймали лозартан, рідко спостерігали анафілактичні реакції, ангіоневротичний набряк із залученням гортані і глотки, що викликають обструкцію дихальних шляхів та / або набряк обличчя, губ, глотки та / або язика. У дея</w:t>
      </w:r>
      <w:r>
        <w:rPr>
          <w:sz w:val="28"/>
          <w:szCs w:val="28"/>
          <w:lang w:val="uk-UA"/>
        </w:rPr>
        <w:t>ких з цих пацієнтів в анамнезі були вказівки на перенесений ангіоневротичний набряк при застосуванні інших лікарських препаратів, включаючи інгібітори АПФ. Рідко повідомлялося про виникнення васкуліту, включаючи пурпуру Шенлейна-Геноха.</w:t>
      </w:r>
    </w:p>
    <w:p w14:paraId="63081B9E" w14:textId="77777777" w:rsidR="00000000" w:rsidRDefault="00B4274B">
      <w:pPr>
        <w:spacing w:line="360" w:lineRule="auto"/>
        <w:ind w:firstLine="709"/>
        <w:jc w:val="both"/>
        <w:rPr>
          <w:sz w:val="28"/>
          <w:szCs w:val="28"/>
          <w:lang w:val="uk-UA"/>
        </w:rPr>
      </w:pPr>
      <w:r>
        <w:rPr>
          <w:sz w:val="28"/>
          <w:szCs w:val="28"/>
          <w:lang w:val="uk-UA"/>
        </w:rPr>
        <w:t>З боку травного тра</w:t>
      </w:r>
      <w:r>
        <w:rPr>
          <w:sz w:val="28"/>
          <w:szCs w:val="28"/>
          <w:lang w:val="uk-UA"/>
        </w:rPr>
        <w:t>кту: гепатит (рідко), порушення функції печінки, блювота.</w:t>
      </w:r>
    </w:p>
    <w:p w14:paraId="49186838" w14:textId="77777777" w:rsidR="00000000" w:rsidRDefault="00B4274B">
      <w:pPr>
        <w:spacing w:line="360" w:lineRule="auto"/>
        <w:ind w:firstLine="709"/>
        <w:jc w:val="both"/>
        <w:rPr>
          <w:sz w:val="28"/>
          <w:szCs w:val="28"/>
          <w:lang w:val="uk-UA"/>
        </w:rPr>
      </w:pPr>
      <w:r>
        <w:rPr>
          <w:sz w:val="28"/>
          <w:szCs w:val="28"/>
          <w:lang w:val="uk-UA"/>
        </w:rPr>
        <w:t>Загальні розлади і порушення у місці введення: відчуття загального дискомфорту.</w:t>
      </w:r>
    </w:p>
    <w:p w14:paraId="486314CB" w14:textId="77777777" w:rsidR="00000000" w:rsidRDefault="00B4274B">
      <w:pPr>
        <w:spacing w:line="360" w:lineRule="auto"/>
        <w:ind w:firstLine="709"/>
        <w:jc w:val="both"/>
        <w:rPr>
          <w:sz w:val="28"/>
          <w:szCs w:val="28"/>
          <w:lang w:val="uk-UA"/>
        </w:rPr>
      </w:pPr>
      <w:r>
        <w:rPr>
          <w:sz w:val="28"/>
          <w:szCs w:val="28"/>
          <w:lang w:val="uk-UA"/>
        </w:rPr>
        <w:t>З боку системи крові: анемія, тромбоцитопенія (рідко).</w:t>
      </w:r>
    </w:p>
    <w:p w14:paraId="1C219188" w14:textId="77777777" w:rsidR="00000000" w:rsidRDefault="00B4274B">
      <w:pPr>
        <w:spacing w:line="360" w:lineRule="auto"/>
        <w:ind w:firstLine="709"/>
        <w:jc w:val="both"/>
        <w:rPr>
          <w:sz w:val="28"/>
          <w:szCs w:val="28"/>
          <w:lang w:val="uk-UA"/>
        </w:rPr>
      </w:pPr>
      <w:r>
        <w:rPr>
          <w:sz w:val="28"/>
          <w:szCs w:val="28"/>
          <w:lang w:val="uk-UA"/>
        </w:rPr>
        <w:t>З боку опорно-рухового апарату: міалгія, артралгія.</w:t>
      </w:r>
    </w:p>
    <w:p w14:paraId="4ED8C374" w14:textId="77777777" w:rsidR="00000000" w:rsidRDefault="00B4274B">
      <w:pPr>
        <w:spacing w:line="360" w:lineRule="auto"/>
        <w:ind w:firstLine="709"/>
        <w:jc w:val="both"/>
        <w:rPr>
          <w:sz w:val="28"/>
          <w:szCs w:val="28"/>
          <w:lang w:val="uk-UA"/>
        </w:rPr>
      </w:pPr>
      <w:r>
        <w:rPr>
          <w:sz w:val="28"/>
          <w:szCs w:val="28"/>
          <w:lang w:val="uk-UA"/>
        </w:rPr>
        <w:t>З боку ЦНС:</w:t>
      </w:r>
      <w:r>
        <w:rPr>
          <w:sz w:val="28"/>
          <w:szCs w:val="28"/>
          <w:lang w:val="uk-UA"/>
        </w:rPr>
        <w:t xml:space="preserve"> мігрень, дисгевзія.</w:t>
      </w:r>
    </w:p>
    <w:p w14:paraId="6CCF2A0E" w14:textId="77777777" w:rsidR="00000000" w:rsidRDefault="00B4274B">
      <w:pPr>
        <w:spacing w:line="360" w:lineRule="auto"/>
        <w:ind w:firstLine="709"/>
        <w:jc w:val="both"/>
        <w:rPr>
          <w:sz w:val="28"/>
          <w:szCs w:val="28"/>
          <w:lang w:val="uk-UA"/>
        </w:rPr>
      </w:pPr>
      <w:r>
        <w:rPr>
          <w:sz w:val="28"/>
          <w:szCs w:val="28"/>
          <w:lang w:val="uk-UA"/>
        </w:rPr>
        <w:t>З боку статевих органів та молочної залози: еректильна дисфункція / імпотенція.</w:t>
      </w:r>
    </w:p>
    <w:p w14:paraId="628D5105" w14:textId="77777777" w:rsidR="00000000" w:rsidRDefault="00B4274B">
      <w:pPr>
        <w:spacing w:line="360" w:lineRule="auto"/>
        <w:ind w:firstLine="709"/>
        <w:jc w:val="both"/>
        <w:rPr>
          <w:sz w:val="28"/>
          <w:szCs w:val="28"/>
          <w:lang w:val="uk-UA"/>
        </w:rPr>
      </w:pPr>
      <w:r>
        <w:rPr>
          <w:sz w:val="28"/>
          <w:szCs w:val="28"/>
          <w:lang w:val="uk-UA"/>
        </w:rPr>
        <w:t>З боку дихальної системи: кашель.</w:t>
      </w:r>
    </w:p>
    <w:p w14:paraId="626A296C" w14:textId="77777777" w:rsidR="00000000" w:rsidRDefault="00B4274B">
      <w:pPr>
        <w:spacing w:line="360" w:lineRule="auto"/>
        <w:ind w:firstLine="709"/>
        <w:jc w:val="both"/>
        <w:rPr>
          <w:sz w:val="28"/>
          <w:szCs w:val="28"/>
          <w:lang w:val="uk-UA"/>
        </w:rPr>
      </w:pPr>
      <w:r>
        <w:rPr>
          <w:sz w:val="28"/>
          <w:szCs w:val="28"/>
          <w:lang w:val="uk-UA"/>
        </w:rPr>
        <w:t>З боку шкірних покривів: кропив'янка, свербіж шкіри, почервоніння шкіри, фотосенсибілізація.</w:t>
      </w:r>
    </w:p>
    <w:p w14:paraId="1DC3F0B3" w14:textId="77777777" w:rsidR="00000000" w:rsidRDefault="00B4274B">
      <w:pPr>
        <w:spacing w:line="360" w:lineRule="auto"/>
        <w:ind w:firstLine="709"/>
        <w:jc w:val="both"/>
        <w:rPr>
          <w:sz w:val="28"/>
          <w:szCs w:val="28"/>
          <w:lang w:val="uk-UA"/>
        </w:rPr>
      </w:pPr>
      <w:r>
        <w:rPr>
          <w:sz w:val="28"/>
          <w:szCs w:val="28"/>
          <w:lang w:val="uk-UA"/>
        </w:rPr>
        <w:t>При проведенні контрольован</w:t>
      </w:r>
      <w:r>
        <w:rPr>
          <w:sz w:val="28"/>
          <w:szCs w:val="28"/>
          <w:lang w:val="uk-UA"/>
        </w:rPr>
        <w:t>их клінічних досліджень у пацієнтів з артеріальною гіпертензією клінічно значущі зміни стандартних лабораторних показників рідко були пов'язані з прийомом козаар. У 1,5% хворих відзначалася гіперкаліємія (калій сироватки крові&gt; 5,5 мекв / л).</w:t>
      </w:r>
    </w:p>
    <w:p w14:paraId="00F5BC0D" w14:textId="77777777" w:rsidR="00000000" w:rsidRDefault="00B4274B">
      <w:pPr>
        <w:spacing w:line="360" w:lineRule="auto"/>
        <w:ind w:firstLine="709"/>
        <w:jc w:val="both"/>
        <w:rPr>
          <w:sz w:val="28"/>
          <w:szCs w:val="28"/>
          <w:lang w:val="uk-UA"/>
        </w:rPr>
      </w:pPr>
      <w:r>
        <w:rPr>
          <w:sz w:val="28"/>
          <w:szCs w:val="28"/>
          <w:lang w:val="uk-UA"/>
        </w:rPr>
        <w:t>У дослідженні</w:t>
      </w:r>
      <w:r>
        <w:rPr>
          <w:sz w:val="28"/>
          <w:szCs w:val="28"/>
          <w:lang w:val="uk-UA"/>
        </w:rPr>
        <w:t xml:space="preserve"> у хворих на цукровий діабет типу 2 з протеїнурією гіперкаліємія розвинулася у 9,9% пацієнтів, які отримували Козаар, і у 3,4% пацієнтів, які отримували плацебо (див. «Особливі вказівки», Порушення електролітного балансу). Підвищений рівень АЛТ відзначався</w:t>
      </w:r>
      <w:r>
        <w:rPr>
          <w:sz w:val="28"/>
          <w:szCs w:val="28"/>
          <w:lang w:val="uk-UA"/>
        </w:rPr>
        <w:t xml:space="preserve"> в рідкісних випадках і зазвичай повертався до норми після відміни терапії.</w:t>
      </w:r>
    </w:p>
    <w:p w14:paraId="6E3BFAF6" w14:textId="77777777" w:rsidR="00000000" w:rsidRDefault="00B4274B">
      <w:pPr>
        <w:pStyle w:val="1"/>
        <w:spacing w:line="360" w:lineRule="auto"/>
        <w:ind w:firstLine="709"/>
        <w:jc w:val="both"/>
        <w:rPr>
          <w:sz w:val="28"/>
          <w:szCs w:val="28"/>
          <w:lang w:val="uk-UA"/>
        </w:rPr>
      </w:pPr>
    </w:p>
    <w:p w14:paraId="0E17B113" w14:textId="77777777" w:rsidR="00000000" w:rsidRDefault="00B4274B">
      <w:pPr>
        <w:pStyle w:val="1"/>
        <w:spacing w:line="360" w:lineRule="auto"/>
        <w:ind w:firstLine="709"/>
        <w:jc w:val="both"/>
        <w:rPr>
          <w:sz w:val="28"/>
          <w:szCs w:val="28"/>
          <w:lang w:val="uk-UA"/>
        </w:rPr>
      </w:pPr>
      <w:r>
        <w:rPr>
          <w:sz w:val="28"/>
          <w:szCs w:val="28"/>
          <w:lang w:val="uk-UA"/>
        </w:rPr>
        <w:t>ОСОБЛИВОСТІ ВИКОРИСТАННЯ ПРЕПАРАТУ В ОКРЕМИХ КАТЕГОРІЯХ ПАЦІЄНТІВ</w:t>
      </w:r>
    </w:p>
    <w:p w14:paraId="3DF0CEBD" w14:textId="77777777" w:rsidR="00000000" w:rsidRDefault="00B4274B">
      <w:pPr>
        <w:spacing w:line="360" w:lineRule="auto"/>
        <w:ind w:firstLine="709"/>
        <w:jc w:val="both"/>
        <w:rPr>
          <w:sz w:val="28"/>
          <w:szCs w:val="28"/>
          <w:lang w:val="uk-UA"/>
        </w:rPr>
      </w:pPr>
    </w:p>
    <w:p w14:paraId="5A380246" w14:textId="77777777" w:rsidR="00000000" w:rsidRDefault="00B4274B">
      <w:pPr>
        <w:spacing w:line="360" w:lineRule="auto"/>
        <w:ind w:firstLine="709"/>
        <w:jc w:val="both"/>
        <w:rPr>
          <w:sz w:val="28"/>
          <w:szCs w:val="28"/>
          <w:lang w:val="uk-UA"/>
        </w:rPr>
      </w:pPr>
      <w:r>
        <w:rPr>
          <w:sz w:val="28"/>
          <w:szCs w:val="28"/>
          <w:lang w:val="uk-UA"/>
        </w:rPr>
        <w:t>Застосування козаар при вагітності протипоказано.</w:t>
      </w:r>
    </w:p>
    <w:p w14:paraId="31BC1A90" w14:textId="77777777" w:rsidR="00000000" w:rsidRDefault="00B4274B">
      <w:pPr>
        <w:spacing w:line="360" w:lineRule="auto"/>
        <w:ind w:firstLine="709"/>
        <w:jc w:val="both"/>
        <w:rPr>
          <w:sz w:val="28"/>
          <w:szCs w:val="28"/>
          <w:lang w:val="uk-UA"/>
        </w:rPr>
      </w:pPr>
      <w:r>
        <w:rPr>
          <w:sz w:val="28"/>
          <w:szCs w:val="28"/>
          <w:lang w:val="uk-UA"/>
        </w:rPr>
        <w:t>Застосування в II і III триместрах вагітності препаратів, що д</w:t>
      </w:r>
      <w:r>
        <w:rPr>
          <w:sz w:val="28"/>
          <w:szCs w:val="28"/>
          <w:lang w:val="uk-UA"/>
        </w:rPr>
        <w:t>іють на ренін-ангіотензинову систему, можуть викликати серйозні пошкодження або навіть загибель плода, що розвивається, тому при встановленні вагітності прийом козаар повинен бути відразу припинено. У плоду ниркова перфузія, яка залежить від розвитку систе</w:t>
      </w:r>
      <w:r>
        <w:rPr>
          <w:sz w:val="28"/>
          <w:szCs w:val="28"/>
          <w:lang w:val="uk-UA"/>
        </w:rPr>
        <w:t>ми ренін-ангіотензин, з'являється в II триместрі; ризик для плоду зростає, якщо Козаар призначають в II або III триместрі вагітності.</w:t>
      </w:r>
    </w:p>
    <w:p w14:paraId="1853C5B4" w14:textId="77777777" w:rsidR="00000000" w:rsidRDefault="00B4274B">
      <w:pPr>
        <w:spacing w:line="360" w:lineRule="auto"/>
        <w:ind w:firstLine="709"/>
        <w:jc w:val="both"/>
        <w:rPr>
          <w:sz w:val="28"/>
          <w:szCs w:val="28"/>
          <w:lang w:val="uk-UA"/>
        </w:rPr>
      </w:pPr>
    </w:p>
    <w:p w14:paraId="60D4577D" w14:textId="77777777" w:rsidR="00000000" w:rsidRDefault="00B4274B">
      <w:pPr>
        <w:spacing w:line="360" w:lineRule="auto"/>
        <w:ind w:firstLine="709"/>
        <w:jc w:val="both"/>
        <w:rPr>
          <w:sz w:val="28"/>
          <w:szCs w:val="28"/>
          <w:lang w:val="uk-UA"/>
        </w:rPr>
      </w:pPr>
      <w:r>
        <w:rPr>
          <w:sz w:val="28"/>
          <w:szCs w:val="28"/>
          <w:lang w:val="uk-UA"/>
        </w:rPr>
        <w:br w:type="page"/>
      </w:r>
    </w:p>
    <w:p w14:paraId="4D2D5317" w14:textId="71DFFBC4" w:rsidR="00000000" w:rsidRDefault="00BD4201">
      <w:pPr>
        <w:ind w:firstLine="709"/>
        <w:rPr>
          <w:sz w:val="28"/>
          <w:szCs w:val="28"/>
          <w:lang w:val="uk-UA"/>
        </w:rPr>
      </w:pPr>
      <w:r>
        <w:rPr>
          <w:rFonts w:ascii="Microsoft Sans Serif" w:hAnsi="Microsoft Sans Serif" w:cs="Microsoft Sans Serif"/>
          <w:noProof/>
          <w:sz w:val="17"/>
          <w:szCs w:val="17"/>
        </w:rPr>
        <w:drawing>
          <wp:inline distT="0" distB="0" distL="0" distR="0" wp14:anchorId="2138B994" wp14:editId="5CB048A6">
            <wp:extent cx="4019550" cy="571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5715000"/>
                    </a:xfrm>
                    <a:prstGeom prst="rect">
                      <a:avLst/>
                    </a:prstGeom>
                    <a:noFill/>
                    <a:ln>
                      <a:noFill/>
                    </a:ln>
                  </pic:spPr>
                </pic:pic>
              </a:graphicData>
            </a:graphic>
          </wp:inline>
        </w:drawing>
      </w:r>
      <w:r w:rsidR="00B4274B">
        <w:rPr>
          <w:rFonts w:ascii="Calibri" w:hAnsi="Calibri" w:cs="Calibri"/>
          <w:sz w:val="22"/>
          <w:szCs w:val="22"/>
        </w:rPr>
        <w:t xml:space="preserve"> &lt;http://hypertension.mif-ua.com/frmtext/AG/2012/4(24)2012/071/071.jpg&gt;</w:t>
      </w:r>
    </w:p>
    <w:p w14:paraId="5ED97CC9" w14:textId="77777777" w:rsidR="00000000" w:rsidRDefault="00B4274B">
      <w:pPr>
        <w:ind w:firstLine="709"/>
        <w:rPr>
          <w:color w:val="FFFFFF"/>
          <w:sz w:val="28"/>
          <w:szCs w:val="28"/>
          <w:lang w:val="uk-UA"/>
        </w:rPr>
      </w:pPr>
      <w:r>
        <w:rPr>
          <w:color w:val="FFFFFF"/>
          <w:sz w:val="28"/>
          <w:szCs w:val="28"/>
          <w:lang w:val="uk-UA"/>
        </w:rPr>
        <w:t>козаар ліка</w:t>
      </w:r>
      <w:r>
        <w:rPr>
          <w:color w:val="FFFFFF"/>
          <w:sz w:val="28"/>
          <w:szCs w:val="28"/>
          <w:lang w:val="uk-UA"/>
        </w:rPr>
        <w:t>рський блокатор побічний</w:t>
      </w:r>
    </w:p>
    <w:p w14:paraId="58950648" w14:textId="77777777" w:rsidR="00000000" w:rsidRDefault="00B4274B">
      <w:pPr>
        <w:ind w:firstLine="709"/>
        <w:rPr>
          <w:sz w:val="28"/>
          <w:szCs w:val="28"/>
          <w:lang w:val="uk-UA"/>
        </w:rPr>
      </w:pPr>
      <w:r>
        <w:rPr>
          <w:sz w:val="28"/>
          <w:szCs w:val="28"/>
          <w:lang w:val="uk-UA"/>
        </w:rPr>
        <w:t>Не рекомендується приймати Козаар в період лактації. Досвіду застосування лозартану в період грудного вигодовування немає, і невідомо, чи виділяється лозартан з грудним молоком. Тому багато лікарські засоби виділяються з грудним мо</w:t>
      </w:r>
      <w:r>
        <w:rPr>
          <w:sz w:val="28"/>
          <w:szCs w:val="28"/>
          <w:lang w:val="uk-UA"/>
        </w:rPr>
        <w:t>локом і можуть шкідливо діяти на грудних дітей, з урахуванням необхідності прийому препарату для матері слід прийняти рішення про припинення грудного вигодовування або про відміну препарату.</w:t>
      </w:r>
    </w:p>
    <w:p w14:paraId="681EDB22" w14:textId="77777777" w:rsidR="00000000" w:rsidRDefault="00B4274B">
      <w:pPr>
        <w:spacing w:line="360" w:lineRule="auto"/>
        <w:ind w:firstLine="709"/>
        <w:jc w:val="both"/>
        <w:rPr>
          <w:sz w:val="28"/>
          <w:szCs w:val="28"/>
          <w:lang w:val="uk-UA"/>
        </w:rPr>
      </w:pPr>
      <w:r>
        <w:rPr>
          <w:sz w:val="28"/>
          <w:szCs w:val="28"/>
          <w:lang w:val="uk-UA"/>
        </w:rPr>
        <w:t>На нашу думку, достатньо навести дані цього вичерпного метааналіз</w:t>
      </w:r>
      <w:r>
        <w:rPr>
          <w:sz w:val="28"/>
          <w:szCs w:val="28"/>
          <w:lang w:val="uk-UA"/>
        </w:rPr>
        <w:t>у, із яких видно, що БРА так само ефективні, як і препарати інших класів першого ряду у хворих віком як до 65 років, так і понад 65 років (рис. 10) [11]. Тобто це абсолютно неправдиве твердження. На нашу думку, міф виник під впливом положень Британських ре</w:t>
      </w:r>
      <w:r>
        <w:rPr>
          <w:sz w:val="28"/>
          <w:szCs w:val="28"/>
          <w:lang w:val="uk-UA"/>
        </w:rPr>
        <w:t>комендацій, де зазначено, що БРА як стартова терапія повинні призначатися у хворих віком до 55 років. Можливо, через це всі думають, якщо хворому більше ніж 55 років, то не слід призначати БРА. Як свідчать наведені дані, ніякої різниці в ефективності БРА д</w:t>
      </w:r>
      <w:r>
        <w:rPr>
          <w:sz w:val="28"/>
          <w:szCs w:val="28"/>
          <w:lang w:val="uk-UA"/>
        </w:rPr>
        <w:t>о та після 65 років немає.</w:t>
      </w:r>
    </w:p>
    <w:p w14:paraId="02C9A589" w14:textId="77777777" w:rsidR="00000000" w:rsidRDefault="00B4274B">
      <w:pPr>
        <w:spacing w:line="360" w:lineRule="auto"/>
        <w:ind w:firstLine="709"/>
        <w:jc w:val="both"/>
        <w:rPr>
          <w:sz w:val="28"/>
          <w:szCs w:val="28"/>
          <w:lang w:val="uk-UA"/>
        </w:rPr>
      </w:pPr>
      <w:r>
        <w:rPr>
          <w:sz w:val="28"/>
          <w:szCs w:val="28"/>
          <w:lang w:val="uk-UA"/>
        </w:rPr>
        <w:t>Безпека та ефективність препарату у дітей до 18 років не встановлені.</w:t>
      </w:r>
    </w:p>
    <w:p w14:paraId="0CE027C1" w14:textId="77777777" w:rsidR="00000000" w:rsidRDefault="00B4274B">
      <w:pPr>
        <w:spacing w:line="360" w:lineRule="auto"/>
        <w:ind w:firstLine="709"/>
        <w:jc w:val="both"/>
        <w:rPr>
          <w:sz w:val="28"/>
          <w:szCs w:val="28"/>
          <w:lang w:val="uk-UA"/>
        </w:rPr>
      </w:pPr>
    </w:p>
    <w:p w14:paraId="0E61C653" w14:textId="77777777" w:rsidR="00000000" w:rsidRDefault="00B4274B">
      <w:pPr>
        <w:pStyle w:val="1"/>
        <w:spacing w:line="360" w:lineRule="auto"/>
        <w:ind w:firstLine="709"/>
        <w:jc w:val="both"/>
        <w:rPr>
          <w:sz w:val="28"/>
          <w:szCs w:val="28"/>
          <w:lang w:val="uk-UA"/>
        </w:rPr>
      </w:pPr>
      <w:r>
        <w:rPr>
          <w:sz w:val="28"/>
          <w:szCs w:val="28"/>
          <w:lang w:val="uk-UA"/>
        </w:rPr>
        <w:t>ВЗАЄМОДІЯ ПРЕПАРАТА «КОЗААР» З ПРЕПАРАТАМИ ІНШИХ ФАРМАКОЛОГІЧНИХ ГРУП</w:t>
      </w:r>
    </w:p>
    <w:p w14:paraId="580212E4" w14:textId="77777777" w:rsidR="00000000" w:rsidRDefault="00B4274B">
      <w:pPr>
        <w:spacing w:line="360" w:lineRule="auto"/>
        <w:ind w:firstLine="709"/>
        <w:jc w:val="both"/>
        <w:rPr>
          <w:sz w:val="28"/>
          <w:szCs w:val="28"/>
          <w:lang w:val="uk-UA"/>
        </w:rPr>
      </w:pPr>
    </w:p>
    <w:p w14:paraId="629BA0FC" w14:textId="77777777" w:rsidR="00000000" w:rsidRDefault="00B4274B">
      <w:pPr>
        <w:shd w:val="clear" w:color="auto" w:fill="FFFFFF"/>
        <w:spacing w:line="360" w:lineRule="auto"/>
        <w:ind w:firstLine="709"/>
        <w:jc w:val="both"/>
        <w:rPr>
          <w:sz w:val="28"/>
          <w:szCs w:val="28"/>
          <w:lang w:val="uk-UA"/>
        </w:rPr>
      </w:pPr>
      <w:r>
        <w:rPr>
          <w:sz w:val="28"/>
          <w:szCs w:val="28"/>
          <w:lang w:val="uk-UA"/>
        </w:rPr>
        <w:t>Фармакокінетична взаємодія може проявитись при застосуванні будь-якого БРА. Так, при пр</w:t>
      </w:r>
      <w:r>
        <w:rPr>
          <w:sz w:val="28"/>
          <w:szCs w:val="28"/>
          <w:lang w:val="uk-UA"/>
        </w:rPr>
        <w:t>изначенні БРА разом з діуретиками може спостерігатися посилення гіпотензії, а з препаратами калію або калійзберігаючими діуретиками - підвищується ризик гіперкаліємії; також на тлі прийому БРА підвищується токсичність літію [14].</w:t>
      </w:r>
    </w:p>
    <w:p w14:paraId="077BD824" w14:textId="77777777" w:rsidR="00000000" w:rsidRDefault="00B4274B">
      <w:pPr>
        <w:shd w:val="clear" w:color="auto" w:fill="FFFFFF"/>
        <w:spacing w:line="360" w:lineRule="auto"/>
        <w:ind w:firstLine="709"/>
        <w:jc w:val="both"/>
        <w:rPr>
          <w:sz w:val="28"/>
          <w:szCs w:val="28"/>
          <w:lang w:val="uk-UA"/>
        </w:rPr>
      </w:pPr>
      <w:r>
        <w:rPr>
          <w:sz w:val="28"/>
          <w:szCs w:val="28"/>
          <w:lang w:val="uk-UA"/>
        </w:rPr>
        <w:t>Зокрема, слід звернути ува</w:t>
      </w:r>
      <w:r>
        <w:rPr>
          <w:sz w:val="28"/>
          <w:szCs w:val="28"/>
          <w:lang w:val="uk-UA"/>
        </w:rPr>
        <w:t xml:space="preserve">гу на можливу взаємодію між лікарськими засобами, які метаболізуються печінковими цитохромами (ізоферментами CYP2C9 та CYP3A4). Наприклад, закордонні клінічні випробування виявили, що одночасне призначення лозартану із флуконазолом, інгібітором цитохрому, </w:t>
      </w:r>
      <w:r>
        <w:rPr>
          <w:sz w:val="28"/>
          <w:szCs w:val="28"/>
          <w:lang w:val="uk-UA"/>
        </w:rPr>
        <w:t>подовжує вдвічі період напіввиведення активного метаболіту лозартану EXP-3174, збільшує його площу під кривою (AUC) на 30% та пік концентрації в плазмі (Cmax) на 47% у нормотензивних пацієнтів. Отже, пригнічення цитохрому CYP2C9 флуконазолом зменшує з одно</w:t>
      </w:r>
      <w:r>
        <w:rPr>
          <w:sz w:val="28"/>
          <w:szCs w:val="28"/>
          <w:lang w:val="uk-UA"/>
        </w:rPr>
        <w:t>го боку утворення із лозартану активного метаболіту, а з іншого - його екскрецію. Проте такі зміни фармакокінетичних показників вважають недостатніми для виникнення значимого клінічного ефекту [14]. У нормотензивних пацієнтів оцінювали вплив еритроміцину т</w:t>
      </w:r>
      <w:r>
        <w:rPr>
          <w:sz w:val="28"/>
          <w:szCs w:val="28"/>
          <w:lang w:val="uk-UA"/>
        </w:rPr>
        <w:t>а рифампіцину на фармакокінетику лозартану. Еритроміцин помірно інгібує CYP3A4 цитохром, а рифампіцин є активатором CYP1A2, CYP2C, CYP3A4 та глюкуронілтрансферази. Рифампіцин знижує AUC лозартану на 35%, а EXP-3174 - на 40%, рифампіцин вкорочує період напі</w:t>
      </w:r>
      <w:r>
        <w:rPr>
          <w:sz w:val="28"/>
          <w:szCs w:val="28"/>
          <w:lang w:val="uk-UA"/>
        </w:rPr>
        <w:t>віснування активного метаболіту і практично не впливає на Cmax [14].</w:t>
      </w:r>
    </w:p>
    <w:p w14:paraId="351F8278" w14:textId="77777777" w:rsidR="00000000" w:rsidRDefault="00B4274B">
      <w:pPr>
        <w:shd w:val="clear" w:color="auto" w:fill="FFFFFF"/>
        <w:spacing w:line="360" w:lineRule="auto"/>
        <w:ind w:firstLine="709"/>
        <w:jc w:val="both"/>
        <w:rPr>
          <w:sz w:val="28"/>
          <w:szCs w:val="28"/>
          <w:lang w:val="uk-UA"/>
        </w:rPr>
      </w:pPr>
      <w:r>
        <w:rPr>
          <w:sz w:val="28"/>
          <w:szCs w:val="28"/>
          <w:lang w:val="uk-UA"/>
        </w:rPr>
        <w:t>В цілому, індуктори та інгібітори активності цитохромів не призводять до змін антигіпертензивної ефективності препарату. Для лозартану не характерна клінічно значима взаємодія з кардіотро</w:t>
      </w:r>
      <w:r>
        <w:rPr>
          <w:sz w:val="28"/>
          <w:szCs w:val="28"/>
          <w:lang w:val="uk-UA"/>
        </w:rPr>
        <w:t>пними препарами [14].</w:t>
      </w:r>
    </w:p>
    <w:p w14:paraId="14DD0193" w14:textId="77777777" w:rsidR="00000000" w:rsidRDefault="00B4274B">
      <w:pPr>
        <w:shd w:val="clear" w:color="auto" w:fill="FFFFFF"/>
        <w:spacing w:line="360" w:lineRule="auto"/>
        <w:ind w:firstLine="709"/>
        <w:jc w:val="both"/>
        <w:rPr>
          <w:sz w:val="28"/>
          <w:szCs w:val="28"/>
          <w:lang w:val="uk-UA"/>
        </w:rPr>
      </w:pPr>
      <w:r>
        <w:rPr>
          <w:sz w:val="28"/>
          <w:szCs w:val="28"/>
          <w:lang w:val="uk-UA"/>
        </w:rPr>
        <w:t>Стосовно оцінки можливої взаємодії між ірбесартаном та іншими лікарськими засобами в літературі наведені дані, що тільки один інгібітор цитохрому CYP2C9 впливає на його метаболізм: дослідження in vitro показало, що ніфедипін пригнічу</w:t>
      </w:r>
      <w:r>
        <w:rPr>
          <w:sz w:val="28"/>
          <w:szCs w:val="28"/>
          <w:lang w:val="uk-UA"/>
        </w:rPr>
        <w:t>є CYP2C9-індуковане окислення. Така взаємодія матиме значимий клінічний ефект і потребує поглибленого вивчення. Також до зниження каталітичної активності цитохромів і більш вираженого зниження артеріального тиску при використанні препарату призводить генет</w:t>
      </w:r>
      <w:r>
        <w:rPr>
          <w:sz w:val="28"/>
          <w:szCs w:val="28"/>
          <w:lang w:val="uk-UA"/>
        </w:rPr>
        <w:t>ичний поліморфізм CYP2C9 (CYP2C9*2 та CYP2C9*3), але він рідко зустрічається в популяції [14].</w:t>
      </w:r>
    </w:p>
    <w:p w14:paraId="7D921EEB" w14:textId="77777777" w:rsidR="00000000" w:rsidRDefault="00B4274B">
      <w:pPr>
        <w:shd w:val="clear" w:color="auto" w:fill="FFFFFF"/>
        <w:spacing w:line="360" w:lineRule="auto"/>
        <w:ind w:firstLine="709"/>
        <w:jc w:val="both"/>
        <w:rPr>
          <w:sz w:val="28"/>
          <w:szCs w:val="28"/>
          <w:lang w:val="uk-UA"/>
        </w:rPr>
      </w:pPr>
      <w:r>
        <w:rPr>
          <w:sz w:val="28"/>
          <w:szCs w:val="28"/>
          <w:lang w:val="uk-UA"/>
        </w:rPr>
        <w:t xml:space="preserve">Телмісартан підвищує максимальну та плазмову концентрації дігоксину до 49% та 20% відповідно, що перевищує терапевтичний діапазон і сприяє посиленню токсичності </w:t>
      </w:r>
      <w:r>
        <w:rPr>
          <w:sz w:val="28"/>
          <w:szCs w:val="28"/>
          <w:lang w:val="uk-UA"/>
        </w:rPr>
        <w:t>дігоксину. Отже, при одночасному призначенні зазначених препаратів необхідний моніторинг сироваткової концентрації дігоксину [14].</w:t>
      </w:r>
    </w:p>
    <w:p w14:paraId="69B91840" w14:textId="77777777" w:rsidR="00000000" w:rsidRDefault="00B4274B">
      <w:pPr>
        <w:shd w:val="clear" w:color="auto" w:fill="FFFFFF"/>
        <w:spacing w:line="360" w:lineRule="auto"/>
        <w:ind w:firstLine="709"/>
        <w:jc w:val="both"/>
        <w:rPr>
          <w:sz w:val="28"/>
          <w:szCs w:val="28"/>
          <w:lang w:val="uk-UA"/>
        </w:rPr>
      </w:pPr>
      <w:r>
        <w:rPr>
          <w:sz w:val="28"/>
          <w:szCs w:val="28"/>
          <w:lang w:val="uk-UA"/>
        </w:rPr>
        <w:t xml:space="preserve">Беручи до уваги комбінований шлях виведення сартанів, хворі з ураженням печінки потребують корекції дози лозартану. Зокрема, </w:t>
      </w:r>
      <w:r>
        <w:rPr>
          <w:sz w:val="28"/>
          <w:szCs w:val="28"/>
          <w:lang w:val="uk-UA"/>
        </w:rPr>
        <w:t>хворі на алкогольний цироз печінки мали на 50% більший кліренс та п’ятикратно підвищену плазмову концентрацію препарату у порівнянні із хворими зі збереженою функцією печінки. Отже, пацієнтам з порушеною функцією печінки рекомендовано знижувати початкову д</w:t>
      </w:r>
      <w:r>
        <w:rPr>
          <w:sz w:val="28"/>
          <w:szCs w:val="28"/>
          <w:lang w:val="uk-UA"/>
        </w:rPr>
        <w:t>озу лозартану на 50% [14].</w:t>
      </w:r>
    </w:p>
    <w:p w14:paraId="7CE44B41" w14:textId="77777777" w:rsidR="00000000" w:rsidRDefault="00B4274B">
      <w:pPr>
        <w:shd w:val="clear" w:color="auto" w:fill="FFFFFF"/>
        <w:spacing w:line="360" w:lineRule="auto"/>
        <w:ind w:firstLine="709"/>
        <w:jc w:val="both"/>
        <w:rPr>
          <w:sz w:val="28"/>
          <w:szCs w:val="28"/>
          <w:lang w:val="uk-UA"/>
        </w:rPr>
      </w:pPr>
      <w:r>
        <w:rPr>
          <w:sz w:val="28"/>
          <w:szCs w:val="28"/>
          <w:lang w:val="uk-UA"/>
        </w:rPr>
        <w:t>Гіпотензивна дія сартанів є наслідком їх фармакологічної інгібіції РААС, тому АГ - це основний напрямок для застосування даних препаратів. За даними закордонних досліджень, БРА мають таку саму ефективність, як і інші рекомендован</w:t>
      </w:r>
      <w:r>
        <w:rPr>
          <w:sz w:val="28"/>
          <w:szCs w:val="28"/>
          <w:lang w:val="uk-UA"/>
        </w:rPr>
        <w:t>і ВООЗ антигіпертензивні препарати, а головна їх перевага - це значно краща толерантність [16, 19, 29].</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237"/>
        <w:gridCol w:w="1210"/>
        <w:gridCol w:w="1113"/>
        <w:gridCol w:w="943"/>
        <w:gridCol w:w="1134"/>
        <w:gridCol w:w="1230"/>
        <w:gridCol w:w="1230"/>
        <w:gridCol w:w="1091"/>
      </w:tblGrid>
      <w:tr w:rsidR="00000000" w14:paraId="5FE46939" w14:textId="77777777">
        <w:tblPrEx>
          <w:tblCellMar>
            <w:top w:w="0" w:type="dxa"/>
            <w:bottom w:w="0" w:type="dxa"/>
          </w:tblCellMar>
        </w:tblPrEx>
        <w:tc>
          <w:tcPr>
            <w:tcW w:w="9188" w:type="dxa"/>
            <w:gridSpan w:val="8"/>
            <w:tcBorders>
              <w:top w:val="single" w:sz="6" w:space="0" w:color="auto"/>
              <w:left w:val="single" w:sz="6" w:space="0" w:color="auto"/>
              <w:bottom w:val="single" w:sz="6" w:space="0" w:color="auto"/>
              <w:right w:val="single" w:sz="6" w:space="0" w:color="auto"/>
            </w:tcBorders>
          </w:tcPr>
          <w:p w14:paraId="5D27EE0E" w14:textId="77777777" w:rsidR="00000000" w:rsidRDefault="00B4274B">
            <w:pPr>
              <w:spacing w:line="276" w:lineRule="auto"/>
              <w:rPr>
                <w:sz w:val="20"/>
                <w:szCs w:val="20"/>
                <w:lang w:val="uk-UA"/>
              </w:rPr>
            </w:pPr>
            <w:r>
              <w:rPr>
                <w:sz w:val="20"/>
                <w:szCs w:val="20"/>
                <w:lang w:val="uk-UA"/>
              </w:rPr>
              <w:t>Таблиця. Порівняльні параметри фармакокінетики блокаторів рецепторів ангіотензину ІІ (АТІІ)</w:t>
            </w:r>
          </w:p>
        </w:tc>
      </w:tr>
      <w:tr w:rsidR="00000000" w14:paraId="4C24B10A"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58A59D40" w14:textId="77777777" w:rsidR="00000000" w:rsidRDefault="00B4274B">
            <w:pPr>
              <w:spacing w:line="276" w:lineRule="auto"/>
              <w:rPr>
                <w:sz w:val="20"/>
                <w:szCs w:val="20"/>
                <w:lang w:val="uk-UA"/>
              </w:rPr>
            </w:pPr>
            <w:r>
              <w:rPr>
                <w:sz w:val="20"/>
                <w:szCs w:val="20"/>
                <w:lang w:val="uk-UA"/>
              </w:rPr>
              <w:t>Досліджувані показники</w:t>
            </w:r>
          </w:p>
        </w:tc>
        <w:tc>
          <w:tcPr>
            <w:tcW w:w="7951" w:type="dxa"/>
            <w:gridSpan w:val="7"/>
            <w:tcBorders>
              <w:top w:val="single" w:sz="6" w:space="0" w:color="auto"/>
              <w:left w:val="single" w:sz="6" w:space="0" w:color="auto"/>
              <w:bottom w:val="single" w:sz="6" w:space="0" w:color="auto"/>
              <w:right w:val="single" w:sz="6" w:space="0" w:color="auto"/>
            </w:tcBorders>
          </w:tcPr>
          <w:p w14:paraId="648E8F84" w14:textId="77777777" w:rsidR="00000000" w:rsidRDefault="00B4274B">
            <w:pPr>
              <w:spacing w:line="276" w:lineRule="auto"/>
              <w:rPr>
                <w:sz w:val="20"/>
                <w:szCs w:val="20"/>
                <w:lang w:val="uk-UA"/>
              </w:rPr>
            </w:pPr>
            <w:r>
              <w:rPr>
                <w:sz w:val="20"/>
                <w:szCs w:val="20"/>
                <w:lang w:val="uk-UA"/>
              </w:rPr>
              <w:t>Препарати БРА</w:t>
            </w:r>
          </w:p>
        </w:tc>
      </w:tr>
      <w:tr w:rsidR="00000000" w14:paraId="091D5A7D"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36A8B0AA" w14:textId="77777777" w:rsidR="00000000" w:rsidRDefault="00B4274B">
            <w:pPr>
              <w:spacing w:line="276" w:lineRule="auto"/>
              <w:rPr>
                <w:sz w:val="20"/>
                <w:szCs w:val="20"/>
                <w:lang w:val="uk-UA"/>
              </w:rPr>
            </w:pPr>
          </w:p>
        </w:tc>
        <w:tc>
          <w:tcPr>
            <w:tcW w:w="1210" w:type="dxa"/>
            <w:tcBorders>
              <w:top w:val="single" w:sz="6" w:space="0" w:color="auto"/>
              <w:left w:val="single" w:sz="6" w:space="0" w:color="auto"/>
              <w:bottom w:val="single" w:sz="6" w:space="0" w:color="auto"/>
              <w:right w:val="single" w:sz="6" w:space="0" w:color="auto"/>
            </w:tcBorders>
          </w:tcPr>
          <w:p w14:paraId="008E300B" w14:textId="77777777" w:rsidR="00000000" w:rsidRDefault="00B4274B">
            <w:pPr>
              <w:spacing w:line="276" w:lineRule="auto"/>
              <w:rPr>
                <w:sz w:val="20"/>
                <w:szCs w:val="20"/>
                <w:lang w:val="uk-UA"/>
              </w:rPr>
            </w:pPr>
            <w:r>
              <w:rPr>
                <w:sz w:val="20"/>
                <w:szCs w:val="20"/>
                <w:lang w:val="uk-UA"/>
              </w:rPr>
              <w:t>Олмесартан</w:t>
            </w:r>
          </w:p>
        </w:tc>
        <w:tc>
          <w:tcPr>
            <w:tcW w:w="1113" w:type="dxa"/>
            <w:tcBorders>
              <w:top w:val="single" w:sz="6" w:space="0" w:color="auto"/>
              <w:left w:val="single" w:sz="6" w:space="0" w:color="auto"/>
              <w:bottom w:val="single" w:sz="6" w:space="0" w:color="auto"/>
              <w:right w:val="single" w:sz="6" w:space="0" w:color="auto"/>
            </w:tcBorders>
          </w:tcPr>
          <w:p w14:paraId="69D5D801" w14:textId="77777777" w:rsidR="00000000" w:rsidRDefault="00B4274B">
            <w:pPr>
              <w:spacing w:line="276" w:lineRule="auto"/>
              <w:rPr>
                <w:sz w:val="20"/>
                <w:szCs w:val="20"/>
                <w:lang w:val="uk-UA"/>
              </w:rPr>
            </w:pPr>
            <w:r>
              <w:rPr>
                <w:sz w:val="20"/>
                <w:szCs w:val="20"/>
                <w:lang w:val="uk-UA"/>
              </w:rPr>
              <w:t>Лозартан</w:t>
            </w:r>
          </w:p>
        </w:tc>
        <w:tc>
          <w:tcPr>
            <w:tcW w:w="943" w:type="dxa"/>
            <w:tcBorders>
              <w:top w:val="single" w:sz="6" w:space="0" w:color="auto"/>
              <w:left w:val="single" w:sz="6" w:space="0" w:color="auto"/>
              <w:bottom w:val="single" w:sz="6" w:space="0" w:color="auto"/>
              <w:right w:val="single" w:sz="6" w:space="0" w:color="auto"/>
            </w:tcBorders>
          </w:tcPr>
          <w:p w14:paraId="4BCC9F8A" w14:textId="77777777" w:rsidR="00000000" w:rsidRDefault="00B4274B">
            <w:pPr>
              <w:spacing w:line="276" w:lineRule="auto"/>
              <w:rPr>
                <w:sz w:val="20"/>
                <w:szCs w:val="20"/>
                <w:lang w:val="uk-UA"/>
              </w:rPr>
            </w:pPr>
            <w:r>
              <w:rPr>
                <w:sz w:val="20"/>
                <w:szCs w:val="20"/>
                <w:lang w:val="uk-UA"/>
              </w:rPr>
              <w:t>Валсартан</w:t>
            </w:r>
          </w:p>
        </w:tc>
        <w:tc>
          <w:tcPr>
            <w:tcW w:w="1134" w:type="dxa"/>
            <w:tcBorders>
              <w:top w:val="single" w:sz="6" w:space="0" w:color="auto"/>
              <w:left w:val="single" w:sz="6" w:space="0" w:color="auto"/>
              <w:bottom w:val="single" w:sz="6" w:space="0" w:color="auto"/>
              <w:right w:val="single" w:sz="6" w:space="0" w:color="auto"/>
            </w:tcBorders>
          </w:tcPr>
          <w:p w14:paraId="04115C22" w14:textId="77777777" w:rsidR="00000000" w:rsidRDefault="00B4274B">
            <w:pPr>
              <w:spacing w:line="276" w:lineRule="auto"/>
              <w:rPr>
                <w:sz w:val="20"/>
                <w:szCs w:val="20"/>
                <w:lang w:val="uk-UA"/>
              </w:rPr>
            </w:pPr>
            <w:r>
              <w:rPr>
                <w:sz w:val="20"/>
                <w:szCs w:val="20"/>
                <w:lang w:val="uk-UA"/>
              </w:rPr>
              <w:t>Ірбесартан</w:t>
            </w:r>
          </w:p>
        </w:tc>
        <w:tc>
          <w:tcPr>
            <w:tcW w:w="1230" w:type="dxa"/>
            <w:tcBorders>
              <w:top w:val="single" w:sz="6" w:space="0" w:color="auto"/>
              <w:left w:val="single" w:sz="6" w:space="0" w:color="auto"/>
              <w:bottom w:val="single" w:sz="6" w:space="0" w:color="auto"/>
              <w:right w:val="single" w:sz="6" w:space="0" w:color="auto"/>
            </w:tcBorders>
          </w:tcPr>
          <w:p w14:paraId="29084684" w14:textId="77777777" w:rsidR="00000000" w:rsidRDefault="00B4274B">
            <w:pPr>
              <w:spacing w:line="276" w:lineRule="auto"/>
              <w:rPr>
                <w:sz w:val="20"/>
                <w:szCs w:val="20"/>
                <w:lang w:val="uk-UA"/>
              </w:rPr>
            </w:pPr>
            <w:r>
              <w:rPr>
                <w:sz w:val="20"/>
                <w:szCs w:val="20"/>
                <w:lang w:val="uk-UA"/>
              </w:rPr>
              <w:t>Кандесартан</w:t>
            </w:r>
          </w:p>
        </w:tc>
        <w:tc>
          <w:tcPr>
            <w:tcW w:w="1230" w:type="dxa"/>
            <w:tcBorders>
              <w:top w:val="single" w:sz="6" w:space="0" w:color="auto"/>
              <w:left w:val="single" w:sz="6" w:space="0" w:color="auto"/>
              <w:bottom w:val="single" w:sz="6" w:space="0" w:color="auto"/>
              <w:right w:val="single" w:sz="6" w:space="0" w:color="auto"/>
            </w:tcBorders>
          </w:tcPr>
          <w:p w14:paraId="3D85F857" w14:textId="77777777" w:rsidR="00000000" w:rsidRDefault="00B4274B">
            <w:pPr>
              <w:spacing w:line="276" w:lineRule="auto"/>
              <w:rPr>
                <w:sz w:val="20"/>
                <w:szCs w:val="20"/>
                <w:lang w:val="uk-UA"/>
              </w:rPr>
            </w:pPr>
            <w:r>
              <w:rPr>
                <w:sz w:val="20"/>
                <w:szCs w:val="20"/>
                <w:lang w:val="uk-UA"/>
              </w:rPr>
              <w:t>Телмісартан</w:t>
            </w:r>
          </w:p>
        </w:tc>
        <w:tc>
          <w:tcPr>
            <w:tcW w:w="1091" w:type="dxa"/>
            <w:tcBorders>
              <w:top w:val="single" w:sz="6" w:space="0" w:color="auto"/>
              <w:left w:val="single" w:sz="6" w:space="0" w:color="auto"/>
              <w:bottom w:val="single" w:sz="6" w:space="0" w:color="auto"/>
              <w:right w:val="single" w:sz="6" w:space="0" w:color="auto"/>
            </w:tcBorders>
          </w:tcPr>
          <w:p w14:paraId="5794F8E5" w14:textId="77777777" w:rsidR="00000000" w:rsidRDefault="00B4274B">
            <w:pPr>
              <w:spacing w:line="276" w:lineRule="auto"/>
              <w:rPr>
                <w:sz w:val="20"/>
                <w:szCs w:val="20"/>
                <w:lang w:val="uk-UA"/>
              </w:rPr>
            </w:pPr>
            <w:r>
              <w:rPr>
                <w:sz w:val="20"/>
                <w:szCs w:val="20"/>
                <w:lang w:val="uk-UA"/>
              </w:rPr>
              <w:t>Епросартан</w:t>
            </w:r>
          </w:p>
        </w:tc>
      </w:tr>
      <w:tr w:rsidR="00000000" w14:paraId="4849D063"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46251319" w14:textId="77777777" w:rsidR="00000000" w:rsidRDefault="00B4274B">
            <w:pPr>
              <w:spacing w:line="276" w:lineRule="auto"/>
              <w:rPr>
                <w:sz w:val="20"/>
                <w:szCs w:val="20"/>
                <w:lang w:val="uk-UA"/>
              </w:rPr>
            </w:pPr>
            <w:r>
              <w:rPr>
                <w:sz w:val="20"/>
                <w:szCs w:val="20"/>
                <w:lang w:val="uk-UA"/>
              </w:rPr>
              <w:t>Афінітет до АТ1-рецепторів</w:t>
            </w:r>
          </w:p>
        </w:tc>
        <w:tc>
          <w:tcPr>
            <w:tcW w:w="1210" w:type="dxa"/>
            <w:tcBorders>
              <w:top w:val="single" w:sz="6" w:space="0" w:color="auto"/>
              <w:left w:val="single" w:sz="6" w:space="0" w:color="auto"/>
              <w:bottom w:val="single" w:sz="6" w:space="0" w:color="auto"/>
              <w:right w:val="single" w:sz="6" w:space="0" w:color="auto"/>
            </w:tcBorders>
          </w:tcPr>
          <w:p w14:paraId="175A8DEF" w14:textId="77777777" w:rsidR="00000000" w:rsidRDefault="00B4274B">
            <w:pPr>
              <w:spacing w:line="276" w:lineRule="auto"/>
              <w:rPr>
                <w:sz w:val="20"/>
                <w:szCs w:val="20"/>
                <w:lang w:val="uk-UA"/>
              </w:rPr>
            </w:pPr>
            <w:r>
              <w:rPr>
                <w:sz w:val="20"/>
                <w:szCs w:val="20"/>
                <w:lang w:val="uk-UA"/>
              </w:rPr>
              <w:t>12</w:t>
            </w:r>
          </w:p>
        </w:tc>
        <w:tc>
          <w:tcPr>
            <w:tcW w:w="1113" w:type="dxa"/>
            <w:tcBorders>
              <w:top w:val="single" w:sz="6" w:space="0" w:color="auto"/>
              <w:left w:val="single" w:sz="6" w:space="0" w:color="auto"/>
              <w:bottom w:val="single" w:sz="6" w:space="0" w:color="auto"/>
              <w:right w:val="single" w:sz="6" w:space="0" w:color="auto"/>
            </w:tcBorders>
          </w:tcPr>
          <w:p w14:paraId="0803DA3A" w14:textId="77777777" w:rsidR="00000000" w:rsidRDefault="00B4274B">
            <w:pPr>
              <w:spacing w:line="276" w:lineRule="auto"/>
              <w:rPr>
                <w:sz w:val="20"/>
                <w:szCs w:val="20"/>
                <w:lang w:val="uk-UA"/>
              </w:rPr>
            </w:pPr>
            <w:r>
              <w:rPr>
                <w:sz w:val="20"/>
                <w:szCs w:val="20"/>
                <w:lang w:val="uk-UA"/>
              </w:rPr>
              <w:t>19/3,7</w:t>
            </w:r>
          </w:p>
        </w:tc>
        <w:tc>
          <w:tcPr>
            <w:tcW w:w="943" w:type="dxa"/>
            <w:tcBorders>
              <w:top w:val="single" w:sz="6" w:space="0" w:color="auto"/>
              <w:left w:val="single" w:sz="6" w:space="0" w:color="auto"/>
              <w:bottom w:val="single" w:sz="6" w:space="0" w:color="auto"/>
              <w:right w:val="single" w:sz="6" w:space="0" w:color="auto"/>
            </w:tcBorders>
          </w:tcPr>
          <w:p w14:paraId="16D792BA" w14:textId="77777777" w:rsidR="00000000" w:rsidRDefault="00B4274B">
            <w:pPr>
              <w:spacing w:line="276" w:lineRule="auto"/>
              <w:rPr>
                <w:sz w:val="20"/>
                <w:szCs w:val="20"/>
                <w:lang w:val="uk-UA"/>
              </w:rPr>
            </w:pPr>
            <w:r>
              <w:rPr>
                <w:sz w:val="20"/>
                <w:szCs w:val="20"/>
                <w:lang w:val="uk-UA"/>
              </w:rPr>
              <w:t>2,4</w:t>
            </w:r>
          </w:p>
        </w:tc>
        <w:tc>
          <w:tcPr>
            <w:tcW w:w="1134" w:type="dxa"/>
            <w:tcBorders>
              <w:top w:val="single" w:sz="6" w:space="0" w:color="auto"/>
              <w:left w:val="single" w:sz="6" w:space="0" w:color="auto"/>
              <w:bottom w:val="single" w:sz="6" w:space="0" w:color="auto"/>
              <w:right w:val="single" w:sz="6" w:space="0" w:color="auto"/>
            </w:tcBorders>
          </w:tcPr>
          <w:p w14:paraId="6724B120" w14:textId="77777777" w:rsidR="00000000" w:rsidRDefault="00B4274B">
            <w:pPr>
              <w:spacing w:line="276" w:lineRule="auto"/>
              <w:rPr>
                <w:sz w:val="20"/>
                <w:szCs w:val="20"/>
                <w:lang w:val="uk-UA"/>
              </w:rPr>
            </w:pPr>
            <w:r>
              <w:rPr>
                <w:sz w:val="20"/>
                <w:szCs w:val="20"/>
                <w:lang w:val="uk-UA"/>
              </w:rPr>
              <w:t>1,2-4,1</w:t>
            </w:r>
          </w:p>
        </w:tc>
        <w:tc>
          <w:tcPr>
            <w:tcW w:w="1230" w:type="dxa"/>
            <w:tcBorders>
              <w:top w:val="single" w:sz="6" w:space="0" w:color="auto"/>
              <w:left w:val="single" w:sz="6" w:space="0" w:color="auto"/>
              <w:bottom w:val="single" w:sz="6" w:space="0" w:color="auto"/>
              <w:right w:val="single" w:sz="6" w:space="0" w:color="auto"/>
            </w:tcBorders>
          </w:tcPr>
          <w:p w14:paraId="05AC0460" w14:textId="77777777" w:rsidR="00000000" w:rsidRDefault="00B4274B">
            <w:pPr>
              <w:spacing w:line="276" w:lineRule="auto"/>
              <w:rPr>
                <w:sz w:val="20"/>
                <w:szCs w:val="20"/>
                <w:lang w:val="uk-UA"/>
              </w:rPr>
            </w:pPr>
            <w:r>
              <w:rPr>
                <w:sz w:val="20"/>
                <w:szCs w:val="20"/>
                <w:lang w:val="uk-UA"/>
              </w:rPr>
              <w:t>0,7-2,7</w:t>
            </w:r>
          </w:p>
        </w:tc>
        <w:tc>
          <w:tcPr>
            <w:tcW w:w="1230" w:type="dxa"/>
            <w:tcBorders>
              <w:top w:val="single" w:sz="6" w:space="0" w:color="auto"/>
              <w:left w:val="single" w:sz="6" w:space="0" w:color="auto"/>
              <w:bottom w:val="single" w:sz="6" w:space="0" w:color="auto"/>
              <w:right w:val="single" w:sz="6" w:space="0" w:color="auto"/>
            </w:tcBorders>
          </w:tcPr>
          <w:p w14:paraId="333091FF" w14:textId="77777777" w:rsidR="00000000" w:rsidRDefault="00B4274B">
            <w:pPr>
              <w:spacing w:line="276" w:lineRule="auto"/>
              <w:rPr>
                <w:sz w:val="20"/>
                <w:szCs w:val="20"/>
                <w:lang w:val="uk-UA"/>
              </w:rPr>
            </w:pPr>
            <w:r>
              <w:rPr>
                <w:sz w:val="20"/>
                <w:szCs w:val="20"/>
                <w:lang w:val="uk-UA"/>
              </w:rPr>
              <w:t>1,2</w:t>
            </w:r>
          </w:p>
        </w:tc>
        <w:tc>
          <w:tcPr>
            <w:tcW w:w="1091" w:type="dxa"/>
            <w:tcBorders>
              <w:top w:val="single" w:sz="6" w:space="0" w:color="auto"/>
              <w:left w:val="single" w:sz="6" w:space="0" w:color="auto"/>
              <w:bottom w:val="single" w:sz="6" w:space="0" w:color="auto"/>
              <w:right w:val="single" w:sz="6" w:space="0" w:color="auto"/>
            </w:tcBorders>
          </w:tcPr>
          <w:p w14:paraId="695DA32C" w14:textId="77777777" w:rsidR="00000000" w:rsidRDefault="00B4274B">
            <w:pPr>
              <w:spacing w:line="276" w:lineRule="auto"/>
              <w:rPr>
                <w:sz w:val="20"/>
                <w:szCs w:val="20"/>
                <w:lang w:val="uk-UA"/>
              </w:rPr>
            </w:pPr>
            <w:r>
              <w:rPr>
                <w:sz w:val="20"/>
                <w:szCs w:val="20"/>
                <w:lang w:val="uk-UA"/>
              </w:rPr>
              <w:t>1,5</w:t>
            </w:r>
          </w:p>
        </w:tc>
      </w:tr>
      <w:tr w:rsidR="00000000" w14:paraId="05F9C6B9"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52CC340A" w14:textId="77777777" w:rsidR="00000000" w:rsidRDefault="00B4274B">
            <w:pPr>
              <w:spacing w:line="276" w:lineRule="auto"/>
              <w:rPr>
                <w:sz w:val="20"/>
                <w:szCs w:val="20"/>
                <w:lang w:val="uk-UA"/>
              </w:rPr>
            </w:pPr>
            <w:r>
              <w:rPr>
                <w:sz w:val="20"/>
                <w:szCs w:val="20"/>
                <w:lang w:val="uk-UA"/>
              </w:rPr>
              <w:t>Зв’язок з АТ1-рецепторами</w:t>
            </w:r>
          </w:p>
        </w:tc>
        <w:tc>
          <w:tcPr>
            <w:tcW w:w="1210" w:type="dxa"/>
            <w:tcBorders>
              <w:top w:val="single" w:sz="6" w:space="0" w:color="auto"/>
              <w:left w:val="single" w:sz="6" w:space="0" w:color="auto"/>
              <w:bottom w:val="single" w:sz="6" w:space="0" w:color="auto"/>
              <w:right w:val="single" w:sz="6" w:space="0" w:color="auto"/>
            </w:tcBorders>
          </w:tcPr>
          <w:p w14:paraId="7EF547CF" w14:textId="77777777" w:rsidR="00000000" w:rsidRDefault="00B4274B">
            <w:pPr>
              <w:spacing w:line="276" w:lineRule="auto"/>
              <w:rPr>
                <w:sz w:val="20"/>
                <w:szCs w:val="20"/>
                <w:lang w:val="uk-UA"/>
              </w:rPr>
            </w:pPr>
            <w:r>
              <w:rPr>
                <w:sz w:val="20"/>
                <w:szCs w:val="20"/>
                <w:lang w:val="uk-UA"/>
              </w:rPr>
              <w:t>Конкурентний</w:t>
            </w:r>
          </w:p>
        </w:tc>
        <w:tc>
          <w:tcPr>
            <w:tcW w:w="1113" w:type="dxa"/>
            <w:tcBorders>
              <w:top w:val="single" w:sz="6" w:space="0" w:color="auto"/>
              <w:left w:val="single" w:sz="6" w:space="0" w:color="auto"/>
              <w:bottom w:val="single" w:sz="6" w:space="0" w:color="auto"/>
              <w:right w:val="single" w:sz="6" w:space="0" w:color="auto"/>
            </w:tcBorders>
          </w:tcPr>
          <w:p w14:paraId="22D0CAC9" w14:textId="77777777" w:rsidR="00000000" w:rsidRDefault="00B4274B">
            <w:pPr>
              <w:spacing w:line="276" w:lineRule="auto"/>
              <w:rPr>
                <w:sz w:val="20"/>
                <w:szCs w:val="20"/>
                <w:lang w:val="uk-UA"/>
              </w:rPr>
            </w:pPr>
            <w:r>
              <w:rPr>
                <w:sz w:val="20"/>
                <w:szCs w:val="20"/>
                <w:lang w:val="uk-UA"/>
              </w:rPr>
              <w:t>Конкурентний</w:t>
            </w:r>
          </w:p>
        </w:tc>
        <w:tc>
          <w:tcPr>
            <w:tcW w:w="943" w:type="dxa"/>
            <w:tcBorders>
              <w:top w:val="single" w:sz="6" w:space="0" w:color="auto"/>
              <w:left w:val="single" w:sz="6" w:space="0" w:color="auto"/>
              <w:bottom w:val="single" w:sz="6" w:space="0" w:color="auto"/>
              <w:right w:val="single" w:sz="6" w:space="0" w:color="auto"/>
            </w:tcBorders>
          </w:tcPr>
          <w:p w14:paraId="3F003ACA" w14:textId="77777777" w:rsidR="00000000" w:rsidRDefault="00B4274B">
            <w:pPr>
              <w:spacing w:line="276" w:lineRule="auto"/>
              <w:rPr>
                <w:sz w:val="20"/>
                <w:szCs w:val="20"/>
                <w:lang w:val="uk-UA"/>
              </w:rPr>
            </w:pPr>
            <w:r>
              <w:rPr>
                <w:sz w:val="20"/>
                <w:szCs w:val="20"/>
                <w:lang w:val="uk-UA"/>
              </w:rPr>
              <w:t>Неконкурентний</w:t>
            </w:r>
          </w:p>
        </w:tc>
        <w:tc>
          <w:tcPr>
            <w:tcW w:w="1134" w:type="dxa"/>
            <w:tcBorders>
              <w:top w:val="single" w:sz="6" w:space="0" w:color="auto"/>
              <w:left w:val="single" w:sz="6" w:space="0" w:color="auto"/>
              <w:bottom w:val="single" w:sz="6" w:space="0" w:color="auto"/>
              <w:right w:val="single" w:sz="6" w:space="0" w:color="auto"/>
            </w:tcBorders>
          </w:tcPr>
          <w:p w14:paraId="06DC32F3" w14:textId="77777777" w:rsidR="00000000" w:rsidRDefault="00B4274B">
            <w:pPr>
              <w:spacing w:line="276" w:lineRule="auto"/>
              <w:rPr>
                <w:sz w:val="20"/>
                <w:szCs w:val="20"/>
                <w:lang w:val="uk-UA"/>
              </w:rPr>
            </w:pPr>
            <w:r>
              <w:rPr>
                <w:sz w:val="20"/>
                <w:szCs w:val="20"/>
                <w:lang w:val="uk-UA"/>
              </w:rPr>
              <w:t>Неконкурентний</w:t>
            </w:r>
          </w:p>
        </w:tc>
        <w:tc>
          <w:tcPr>
            <w:tcW w:w="1230" w:type="dxa"/>
            <w:tcBorders>
              <w:top w:val="single" w:sz="6" w:space="0" w:color="auto"/>
              <w:left w:val="single" w:sz="6" w:space="0" w:color="auto"/>
              <w:bottom w:val="single" w:sz="6" w:space="0" w:color="auto"/>
              <w:right w:val="single" w:sz="6" w:space="0" w:color="auto"/>
            </w:tcBorders>
          </w:tcPr>
          <w:p w14:paraId="489B4667" w14:textId="77777777" w:rsidR="00000000" w:rsidRDefault="00B4274B">
            <w:pPr>
              <w:spacing w:line="276" w:lineRule="auto"/>
              <w:rPr>
                <w:sz w:val="20"/>
                <w:szCs w:val="20"/>
                <w:lang w:val="uk-UA"/>
              </w:rPr>
            </w:pPr>
            <w:r>
              <w:rPr>
                <w:sz w:val="20"/>
                <w:szCs w:val="20"/>
                <w:lang w:val="uk-UA"/>
              </w:rPr>
              <w:t>Неконкурентний</w:t>
            </w:r>
          </w:p>
        </w:tc>
        <w:tc>
          <w:tcPr>
            <w:tcW w:w="1230" w:type="dxa"/>
            <w:tcBorders>
              <w:top w:val="single" w:sz="6" w:space="0" w:color="auto"/>
              <w:left w:val="single" w:sz="6" w:space="0" w:color="auto"/>
              <w:bottom w:val="single" w:sz="6" w:space="0" w:color="auto"/>
              <w:right w:val="single" w:sz="6" w:space="0" w:color="auto"/>
            </w:tcBorders>
          </w:tcPr>
          <w:p w14:paraId="07E8CB1E" w14:textId="77777777" w:rsidR="00000000" w:rsidRDefault="00B4274B">
            <w:pPr>
              <w:spacing w:line="276" w:lineRule="auto"/>
              <w:rPr>
                <w:sz w:val="20"/>
                <w:szCs w:val="20"/>
                <w:lang w:val="uk-UA"/>
              </w:rPr>
            </w:pPr>
            <w:r>
              <w:rPr>
                <w:sz w:val="20"/>
                <w:szCs w:val="20"/>
                <w:lang w:val="uk-UA"/>
              </w:rPr>
              <w:t>Неконкурентний</w:t>
            </w:r>
          </w:p>
        </w:tc>
        <w:tc>
          <w:tcPr>
            <w:tcW w:w="1091" w:type="dxa"/>
            <w:tcBorders>
              <w:top w:val="single" w:sz="6" w:space="0" w:color="auto"/>
              <w:left w:val="single" w:sz="6" w:space="0" w:color="auto"/>
              <w:bottom w:val="single" w:sz="6" w:space="0" w:color="auto"/>
              <w:right w:val="single" w:sz="6" w:space="0" w:color="auto"/>
            </w:tcBorders>
          </w:tcPr>
          <w:p w14:paraId="08C4EE61" w14:textId="77777777" w:rsidR="00000000" w:rsidRDefault="00B4274B">
            <w:pPr>
              <w:spacing w:line="276" w:lineRule="auto"/>
              <w:rPr>
                <w:sz w:val="20"/>
                <w:szCs w:val="20"/>
                <w:lang w:val="uk-UA"/>
              </w:rPr>
            </w:pPr>
            <w:r>
              <w:rPr>
                <w:sz w:val="20"/>
                <w:szCs w:val="20"/>
                <w:lang w:val="uk-UA"/>
              </w:rPr>
              <w:t>Конкурентний</w:t>
            </w:r>
          </w:p>
        </w:tc>
      </w:tr>
      <w:tr w:rsidR="00000000" w14:paraId="378282F7"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5A49659F" w14:textId="77777777" w:rsidR="00000000" w:rsidRDefault="00B4274B">
            <w:pPr>
              <w:spacing w:line="276" w:lineRule="auto"/>
              <w:rPr>
                <w:sz w:val="20"/>
                <w:szCs w:val="20"/>
                <w:lang w:val="uk-UA"/>
              </w:rPr>
            </w:pPr>
            <w:r>
              <w:rPr>
                <w:sz w:val="20"/>
                <w:szCs w:val="20"/>
                <w:lang w:val="uk-UA"/>
              </w:rPr>
              <w:t>Біодо</w:t>
            </w:r>
            <w:r>
              <w:rPr>
                <w:sz w:val="20"/>
                <w:szCs w:val="20"/>
                <w:lang w:val="uk-UA"/>
              </w:rPr>
              <w:t>ступність, %</w:t>
            </w:r>
          </w:p>
        </w:tc>
        <w:tc>
          <w:tcPr>
            <w:tcW w:w="1210" w:type="dxa"/>
            <w:tcBorders>
              <w:top w:val="single" w:sz="6" w:space="0" w:color="auto"/>
              <w:left w:val="single" w:sz="6" w:space="0" w:color="auto"/>
              <w:bottom w:val="single" w:sz="6" w:space="0" w:color="auto"/>
              <w:right w:val="single" w:sz="6" w:space="0" w:color="auto"/>
            </w:tcBorders>
          </w:tcPr>
          <w:p w14:paraId="4CCC6A5D" w14:textId="77777777" w:rsidR="00000000" w:rsidRDefault="00B4274B">
            <w:pPr>
              <w:spacing w:line="276" w:lineRule="auto"/>
              <w:rPr>
                <w:sz w:val="20"/>
                <w:szCs w:val="20"/>
                <w:lang w:val="uk-UA"/>
              </w:rPr>
            </w:pPr>
            <w:r>
              <w:rPr>
                <w:sz w:val="20"/>
                <w:szCs w:val="20"/>
                <w:lang w:val="uk-UA"/>
              </w:rPr>
              <w:t>26-28,6</w:t>
            </w:r>
          </w:p>
        </w:tc>
        <w:tc>
          <w:tcPr>
            <w:tcW w:w="1113" w:type="dxa"/>
            <w:tcBorders>
              <w:top w:val="single" w:sz="6" w:space="0" w:color="auto"/>
              <w:left w:val="single" w:sz="6" w:space="0" w:color="auto"/>
              <w:bottom w:val="single" w:sz="6" w:space="0" w:color="auto"/>
              <w:right w:val="single" w:sz="6" w:space="0" w:color="auto"/>
            </w:tcBorders>
          </w:tcPr>
          <w:p w14:paraId="59195750" w14:textId="77777777" w:rsidR="00000000" w:rsidRDefault="00B4274B">
            <w:pPr>
              <w:spacing w:line="276" w:lineRule="auto"/>
              <w:rPr>
                <w:sz w:val="20"/>
                <w:szCs w:val="20"/>
                <w:lang w:val="uk-UA"/>
              </w:rPr>
            </w:pPr>
            <w:r>
              <w:rPr>
                <w:sz w:val="20"/>
                <w:szCs w:val="20"/>
                <w:lang w:val="uk-UA"/>
              </w:rPr>
              <w:t>33</w:t>
            </w:r>
          </w:p>
        </w:tc>
        <w:tc>
          <w:tcPr>
            <w:tcW w:w="943" w:type="dxa"/>
            <w:tcBorders>
              <w:top w:val="single" w:sz="6" w:space="0" w:color="auto"/>
              <w:left w:val="single" w:sz="6" w:space="0" w:color="auto"/>
              <w:bottom w:val="single" w:sz="6" w:space="0" w:color="auto"/>
              <w:right w:val="single" w:sz="6" w:space="0" w:color="auto"/>
            </w:tcBorders>
          </w:tcPr>
          <w:p w14:paraId="3C37769F" w14:textId="77777777" w:rsidR="00000000" w:rsidRDefault="00B4274B">
            <w:pPr>
              <w:spacing w:line="276" w:lineRule="auto"/>
              <w:rPr>
                <w:sz w:val="20"/>
                <w:szCs w:val="20"/>
                <w:lang w:val="uk-UA"/>
              </w:rPr>
            </w:pPr>
            <w:r>
              <w:rPr>
                <w:sz w:val="20"/>
                <w:szCs w:val="20"/>
                <w:lang w:val="uk-UA"/>
              </w:rPr>
              <w:t>10-35</w:t>
            </w:r>
          </w:p>
        </w:tc>
        <w:tc>
          <w:tcPr>
            <w:tcW w:w="1134" w:type="dxa"/>
            <w:tcBorders>
              <w:top w:val="single" w:sz="6" w:space="0" w:color="auto"/>
              <w:left w:val="single" w:sz="6" w:space="0" w:color="auto"/>
              <w:bottom w:val="single" w:sz="6" w:space="0" w:color="auto"/>
              <w:right w:val="single" w:sz="6" w:space="0" w:color="auto"/>
            </w:tcBorders>
          </w:tcPr>
          <w:p w14:paraId="36CE9471" w14:textId="77777777" w:rsidR="00000000" w:rsidRDefault="00B4274B">
            <w:pPr>
              <w:spacing w:line="276" w:lineRule="auto"/>
              <w:rPr>
                <w:sz w:val="20"/>
                <w:szCs w:val="20"/>
                <w:lang w:val="uk-UA"/>
              </w:rPr>
            </w:pPr>
            <w:r>
              <w:rPr>
                <w:sz w:val="20"/>
                <w:szCs w:val="20"/>
                <w:lang w:val="uk-UA"/>
              </w:rPr>
              <w:t>60-80</w:t>
            </w:r>
          </w:p>
        </w:tc>
        <w:tc>
          <w:tcPr>
            <w:tcW w:w="1230" w:type="dxa"/>
            <w:tcBorders>
              <w:top w:val="single" w:sz="6" w:space="0" w:color="auto"/>
              <w:left w:val="single" w:sz="6" w:space="0" w:color="auto"/>
              <w:bottom w:val="single" w:sz="6" w:space="0" w:color="auto"/>
              <w:right w:val="single" w:sz="6" w:space="0" w:color="auto"/>
            </w:tcBorders>
          </w:tcPr>
          <w:p w14:paraId="2E21955C" w14:textId="77777777" w:rsidR="00000000" w:rsidRDefault="00B4274B">
            <w:pPr>
              <w:spacing w:line="276" w:lineRule="auto"/>
              <w:rPr>
                <w:sz w:val="20"/>
                <w:szCs w:val="20"/>
                <w:lang w:val="uk-UA"/>
              </w:rPr>
            </w:pPr>
            <w:r>
              <w:rPr>
                <w:sz w:val="20"/>
                <w:szCs w:val="20"/>
                <w:lang w:val="uk-UA"/>
              </w:rPr>
              <w:t>15</w:t>
            </w:r>
          </w:p>
        </w:tc>
        <w:tc>
          <w:tcPr>
            <w:tcW w:w="1230" w:type="dxa"/>
            <w:tcBorders>
              <w:top w:val="single" w:sz="6" w:space="0" w:color="auto"/>
              <w:left w:val="single" w:sz="6" w:space="0" w:color="auto"/>
              <w:bottom w:val="single" w:sz="6" w:space="0" w:color="auto"/>
              <w:right w:val="single" w:sz="6" w:space="0" w:color="auto"/>
            </w:tcBorders>
          </w:tcPr>
          <w:p w14:paraId="596BA9E3" w14:textId="77777777" w:rsidR="00000000" w:rsidRDefault="00B4274B">
            <w:pPr>
              <w:spacing w:line="276" w:lineRule="auto"/>
              <w:rPr>
                <w:sz w:val="20"/>
                <w:szCs w:val="20"/>
                <w:lang w:val="uk-UA"/>
              </w:rPr>
            </w:pPr>
            <w:r>
              <w:rPr>
                <w:sz w:val="20"/>
                <w:szCs w:val="20"/>
                <w:lang w:val="uk-UA"/>
              </w:rPr>
              <w:t>42-58</w:t>
            </w:r>
          </w:p>
        </w:tc>
        <w:tc>
          <w:tcPr>
            <w:tcW w:w="1091" w:type="dxa"/>
            <w:tcBorders>
              <w:top w:val="single" w:sz="6" w:space="0" w:color="auto"/>
              <w:left w:val="single" w:sz="6" w:space="0" w:color="auto"/>
              <w:bottom w:val="single" w:sz="6" w:space="0" w:color="auto"/>
              <w:right w:val="single" w:sz="6" w:space="0" w:color="auto"/>
            </w:tcBorders>
          </w:tcPr>
          <w:p w14:paraId="12613D8A" w14:textId="77777777" w:rsidR="00000000" w:rsidRDefault="00B4274B">
            <w:pPr>
              <w:spacing w:line="276" w:lineRule="auto"/>
              <w:rPr>
                <w:sz w:val="20"/>
                <w:szCs w:val="20"/>
                <w:lang w:val="uk-UA"/>
              </w:rPr>
            </w:pPr>
            <w:r>
              <w:rPr>
                <w:sz w:val="20"/>
                <w:szCs w:val="20"/>
                <w:lang w:val="uk-UA"/>
              </w:rPr>
              <w:t>13</w:t>
            </w:r>
          </w:p>
        </w:tc>
      </w:tr>
      <w:tr w:rsidR="00000000" w14:paraId="274EEA19"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24E72189" w14:textId="77777777" w:rsidR="00000000" w:rsidRDefault="00B4274B">
            <w:pPr>
              <w:spacing w:line="276" w:lineRule="auto"/>
              <w:rPr>
                <w:sz w:val="20"/>
                <w:szCs w:val="20"/>
                <w:lang w:val="uk-UA"/>
              </w:rPr>
            </w:pPr>
            <w:r>
              <w:rPr>
                <w:sz w:val="20"/>
                <w:szCs w:val="20"/>
                <w:lang w:val="uk-UA"/>
              </w:rPr>
              <w:t>Активний метаболіт</w:t>
            </w:r>
          </w:p>
        </w:tc>
        <w:tc>
          <w:tcPr>
            <w:tcW w:w="1210" w:type="dxa"/>
            <w:tcBorders>
              <w:top w:val="single" w:sz="6" w:space="0" w:color="auto"/>
              <w:left w:val="single" w:sz="6" w:space="0" w:color="auto"/>
              <w:bottom w:val="single" w:sz="6" w:space="0" w:color="auto"/>
              <w:right w:val="single" w:sz="6" w:space="0" w:color="auto"/>
            </w:tcBorders>
          </w:tcPr>
          <w:p w14:paraId="51FE5C83" w14:textId="77777777" w:rsidR="00000000" w:rsidRDefault="00B4274B">
            <w:pPr>
              <w:spacing w:line="276" w:lineRule="auto"/>
              <w:rPr>
                <w:sz w:val="20"/>
                <w:szCs w:val="20"/>
                <w:lang w:val="uk-UA"/>
              </w:rPr>
            </w:pPr>
            <w:r>
              <w:rPr>
                <w:sz w:val="20"/>
                <w:szCs w:val="20"/>
                <w:lang w:val="uk-UA"/>
              </w:rPr>
              <w:t>RNH -6270</w:t>
            </w:r>
          </w:p>
        </w:tc>
        <w:tc>
          <w:tcPr>
            <w:tcW w:w="1113" w:type="dxa"/>
            <w:tcBorders>
              <w:top w:val="single" w:sz="6" w:space="0" w:color="auto"/>
              <w:left w:val="single" w:sz="6" w:space="0" w:color="auto"/>
              <w:bottom w:val="single" w:sz="6" w:space="0" w:color="auto"/>
              <w:right w:val="single" w:sz="6" w:space="0" w:color="auto"/>
            </w:tcBorders>
          </w:tcPr>
          <w:p w14:paraId="262FDBF7" w14:textId="77777777" w:rsidR="00000000" w:rsidRDefault="00B4274B">
            <w:pPr>
              <w:spacing w:line="276" w:lineRule="auto"/>
              <w:rPr>
                <w:sz w:val="20"/>
                <w:szCs w:val="20"/>
                <w:lang w:val="uk-UA"/>
              </w:rPr>
            </w:pPr>
            <w:r>
              <w:rPr>
                <w:sz w:val="20"/>
                <w:szCs w:val="20"/>
                <w:lang w:val="uk-UA"/>
              </w:rPr>
              <w:t>EXP-3174</w:t>
            </w:r>
          </w:p>
        </w:tc>
        <w:tc>
          <w:tcPr>
            <w:tcW w:w="943" w:type="dxa"/>
            <w:tcBorders>
              <w:top w:val="single" w:sz="6" w:space="0" w:color="auto"/>
              <w:left w:val="single" w:sz="6" w:space="0" w:color="auto"/>
              <w:bottom w:val="single" w:sz="6" w:space="0" w:color="auto"/>
              <w:right w:val="single" w:sz="6" w:space="0" w:color="auto"/>
            </w:tcBorders>
          </w:tcPr>
          <w:p w14:paraId="15166C6C" w14:textId="77777777" w:rsidR="00000000" w:rsidRDefault="00B4274B">
            <w:pPr>
              <w:spacing w:line="276" w:lineRule="auto"/>
              <w:rPr>
                <w:sz w:val="20"/>
                <w:szCs w:val="20"/>
                <w:lang w:val="uk-UA"/>
              </w:rPr>
            </w:pPr>
            <w:r>
              <w:rPr>
                <w:sz w:val="20"/>
                <w:szCs w:val="20"/>
                <w:lang w:val="uk-UA"/>
              </w:rPr>
              <w:t>Немає</w:t>
            </w:r>
          </w:p>
        </w:tc>
        <w:tc>
          <w:tcPr>
            <w:tcW w:w="1134" w:type="dxa"/>
            <w:tcBorders>
              <w:top w:val="single" w:sz="6" w:space="0" w:color="auto"/>
              <w:left w:val="single" w:sz="6" w:space="0" w:color="auto"/>
              <w:bottom w:val="single" w:sz="6" w:space="0" w:color="auto"/>
              <w:right w:val="single" w:sz="6" w:space="0" w:color="auto"/>
            </w:tcBorders>
          </w:tcPr>
          <w:p w14:paraId="184A2EF9" w14:textId="77777777" w:rsidR="00000000" w:rsidRDefault="00B4274B">
            <w:pPr>
              <w:spacing w:line="276" w:lineRule="auto"/>
              <w:rPr>
                <w:sz w:val="20"/>
                <w:szCs w:val="20"/>
                <w:lang w:val="uk-UA"/>
              </w:rPr>
            </w:pPr>
            <w:r>
              <w:rPr>
                <w:sz w:val="20"/>
                <w:szCs w:val="20"/>
                <w:lang w:val="uk-UA"/>
              </w:rPr>
              <w:t>Немає</w:t>
            </w:r>
          </w:p>
        </w:tc>
        <w:tc>
          <w:tcPr>
            <w:tcW w:w="1230" w:type="dxa"/>
            <w:tcBorders>
              <w:top w:val="single" w:sz="6" w:space="0" w:color="auto"/>
              <w:left w:val="single" w:sz="6" w:space="0" w:color="auto"/>
              <w:bottom w:val="single" w:sz="6" w:space="0" w:color="auto"/>
              <w:right w:val="single" w:sz="6" w:space="0" w:color="auto"/>
            </w:tcBorders>
          </w:tcPr>
          <w:p w14:paraId="70F8C1B9" w14:textId="77777777" w:rsidR="00000000" w:rsidRDefault="00B4274B">
            <w:pPr>
              <w:spacing w:line="276" w:lineRule="auto"/>
              <w:rPr>
                <w:sz w:val="20"/>
                <w:szCs w:val="20"/>
                <w:lang w:val="uk-UA"/>
              </w:rPr>
            </w:pPr>
            <w:r>
              <w:rPr>
                <w:sz w:val="20"/>
                <w:szCs w:val="20"/>
                <w:lang w:val="uk-UA"/>
              </w:rPr>
              <w:t>CV-11974</w:t>
            </w:r>
          </w:p>
        </w:tc>
        <w:tc>
          <w:tcPr>
            <w:tcW w:w="1230" w:type="dxa"/>
            <w:tcBorders>
              <w:top w:val="single" w:sz="6" w:space="0" w:color="auto"/>
              <w:left w:val="single" w:sz="6" w:space="0" w:color="auto"/>
              <w:bottom w:val="single" w:sz="6" w:space="0" w:color="auto"/>
              <w:right w:val="single" w:sz="6" w:space="0" w:color="auto"/>
            </w:tcBorders>
          </w:tcPr>
          <w:p w14:paraId="122CCA0D" w14:textId="77777777" w:rsidR="00000000" w:rsidRDefault="00B4274B">
            <w:pPr>
              <w:spacing w:line="276" w:lineRule="auto"/>
              <w:rPr>
                <w:sz w:val="20"/>
                <w:szCs w:val="20"/>
                <w:lang w:val="uk-UA"/>
              </w:rPr>
            </w:pPr>
            <w:r>
              <w:rPr>
                <w:sz w:val="20"/>
                <w:szCs w:val="20"/>
                <w:lang w:val="uk-UA"/>
              </w:rPr>
              <w:t>Немає</w:t>
            </w:r>
          </w:p>
        </w:tc>
        <w:tc>
          <w:tcPr>
            <w:tcW w:w="1091" w:type="dxa"/>
            <w:tcBorders>
              <w:top w:val="single" w:sz="6" w:space="0" w:color="auto"/>
              <w:left w:val="single" w:sz="6" w:space="0" w:color="auto"/>
              <w:bottom w:val="single" w:sz="6" w:space="0" w:color="auto"/>
              <w:right w:val="single" w:sz="6" w:space="0" w:color="auto"/>
            </w:tcBorders>
          </w:tcPr>
          <w:p w14:paraId="5B50014E" w14:textId="77777777" w:rsidR="00000000" w:rsidRDefault="00B4274B">
            <w:pPr>
              <w:spacing w:line="276" w:lineRule="auto"/>
              <w:rPr>
                <w:sz w:val="20"/>
                <w:szCs w:val="20"/>
                <w:lang w:val="uk-UA"/>
              </w:rPr>
            </w:pPr>
            <w:r>
              <w:rPr>
                <w:sz w:val="20"/>
                <w:szCs w:val="20"/>
                <w:lang w:val="uk-UA"/>
              </w:rPr>
              <w:t>Немає</w:t>
            </w:r>
          </w:p>
        </w:tc>
      </w:tr>
      <w:tr w:rsidR="00000000" w14:paraId="05131432"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197795FA" w14:textId="77777777" w:rsidR="00000000" w:rsidRDefault="00B4274B">
            <w:pPr>
              <w:spacing w:line="276" w:lineRule="auto"/>
              <w:rPr>
                <w:sz w:val="20"/>
                <w:szCs w:val="20"/>
                <w:lang w:val="uk-UA"/>
              </w:rPr>
            </w:pPr>
            <w:r>
              <w:rPr>
                <w:sz w:val="20"/>
                <w:szCs w:val="20"/>
                <w:lang w:val="uk-UA"/>
              </w:rPr>
              <w:t>Тмах, год</w:t>
            </w:r>
          </w:p>
        </w:tc>
        <w:tc>
          <w:tcPr>
            <w:tcW w:w="1210" w:type="dxa"/>
            <w:tcBorders>
              <w:top w:val="single" w:sz="6" w:space="0" w:color="auto"/>
              <w:left w:val="single" w:sz="6" w:space="0" w:color="auto"/>
              <w:bottom w:val="single" w:sz="6" w:space="0" w:color="auto"/>
              <w:right w:val="single" w:sz="6" w:space="0" w:color="auto"/>
            </w:tcBorders>
          </w:tcPr>
          <w:p w14:paraId="1BC169F2" w14:textId="77777777" w:rsidR="00000000" w:rsidRDefault="00B4274B">
            <w:pPr>
              <w:spacing w:line="276" w:lineRule="auto"/>
              <w:rPr>
                <w:sz w:val="20"/>
                <w:szCs w:val="20"/>
                <w:lang w:val="uk-UA"/>
              </w:rPr>
            </w:pPr>
            <w:r>
              <w:rPr>
                <w:sz w:val="20"/>
                <w:szCs w:val="20"/>
                <w:lang w:val="uk-UA"/>
              </w:rPr>
              <w:t>1-3</w:t>
            </w:r>
          </w:p>
        </w:tc>
        <w:tc>
          <w:tcPr>
            <w:tcW w:w="1113" w:type="dxa"/>
            <w:tcBorders>
              <w:top w:val="single" w:sz="6" w:space="0" w:color="auto"/>
              <w:left w:val="single" w:sz="6" w:space="0" w:color="auto"/>
              <w:bottom w:val="single" w:sz="6" w:space="0" w:color="auto"/>
              <w:right w:val="single" w:sz="6" w:space="0" w:color="auto"/>
            </w:tcBorders>
          </w:tcPr>
          <w:p w14:paraId="660A1F63" w14:textId="77777777" w:rsidR="00000000" w:rsidRDefault="00B4274B">
            <w:pPr>
              <w:spacing w:line="276" w:lineRule="auto"/>
              <w:rPr>
                <w:sz w:val="20"/>
                <w:szCs w:val="20"/>
                <w:lang w:val="uk-UA"/>
              </w:rPr>
            </w:pPr>
            <w:r>
              <w:rPr>
                <w:sz w:val="20"/>
                <w:szCs w:val="20"/>
                <w:lang w:val="uk-UA"/>
              </w:rPr>
              <w:t>1 (метаболіт, 3-4)</w:t>
            </w:r>
          </w:p>
        </w:tc>
        <w:tc>
          <w:tcPr>
            <w:tcW w:w="943" w:type="dxa"/>
            <w:tcBorders>
              <w:top w:val="single" w:sz="6" w:space="0" w:color="auto"/>
              <w:left w:val="single" w:sz="6" w:space="0" w:color="auto"/>
              <w:bottom w:val="single" w:sz="6" w:space="0" w:color="auto"/>
              <w:right w:val="single" w:sz="6" w:space="0" w:color="auto"/>
            </w:tcBorders>
          </w:tcPr>
          <w:p w14:paraId="2D62F4D4" w14:textId="77777777" w:rsidR="00000000" w:rsidRDefault="00B4274B">
            <w:pPr>
              <w:spacing w:line="276" w:lineRule="auto"/>
              <w:rPr>
                <w:sz w:val="20"/>
                <w:szCs w:val="20"/>
                <w:lang w:val="uk-UA"/>
              </w:rPr>
            </w:pPr>
            <w:r>
              <w:rPr>
                <w:sz w:val="20"/>
                <w:szCs w:val="20"/>
                <w:lang w:val="uk-UA"/>
              </w:rPr>
              <w:t>2-4</w:t>
            </w:r>
          </w:p>
        </w:tc>
        <w:tc>
          <w:tcPr>
            <w:tcW w:w="1134" w:type="dxa"/>
            <w:tcBorders>
              <w:top w:val="single" w:sz="6" w:space="0" w:color="auto"/>
              <w:left w:val="single" w:sz="6" w:space="0" w:color="auto"/>
              <w:bottom w:val="single" w:sz="6" w:space="0" w:color="auto"/>
              <w:right w:val="single" w:sz="6" w:space="0" w:color="auto"/>
            </w:tcBorders>
          </w:tcPr>
          <w:p w14:paraId="48573704" w14:textId="77777777" w:rsidR="00000000" w:rsidRDefault="00B4274B">
            <w:pPr>
              <w:spacing w:line="276" w:lineRule="auto"/>
              <w:rPr>
                <w:sz w:val="20"/>
                <w:szCs w:val="20"/>
                <w:lang w:val="uk-UA"/>
              </w:rPr>
            </w:pPr>
            <w:r>
              <w:rPr>
                <w:sz w:val="20"/>
                <w:szCs w:val="20"/>
                <w:lang w:val="uk-UA"/>
              </w:rPr>
              <w:t>1,5-2</w:t>
            </w:r>
          </w:p>
        </w:tc>
        <w:tc>
          <w:tcPr>
            <w:tcW w:w="1230" w:type="dxa"/>
            <w:tcBorders>
              <w:top w:val="single" w:sz="6" w:space="0" w:color="auto"/>
              <w:left w:val="single" w:sz="6" w:space="0" w:color="auto"/>
              <w:bottom w:val="single" w:sz="6" w:space="0" w:color="auto"/>
              <w:right w:val="single" w:sz="6" w:space="0" w:color="auto"/>
            </w:tcBorders>
          </w:tcPr>
          <w:p w14:paraId="54E671AA" w14:textId="77777777" w:rsidR="00000000" w:rsidRDefault="00B4274B">
            <w:pPr>
              <w:spacing w:line="276" w:lineRule="auto"/>
              <w:rPr>
                <w:sz w:val="20"/>
                <w:szCs w:val="20"/>
                <w:lang w:val="uk-UA"/>
              </w:rPr>
            </w:pPr>
            <w:r>
              <w:rPr>
                <w:sz w:val="20"/>
                <w:szCs w:val="20"/>
                <w:lang w:val="uk-UA"/>
              </w:rPr>
              <w:t>3-4</w:t>
            </w:r>
          </w:p>
        </w:tc>
        <w:tc>
          <w:tcPr>
            <w:tcW w:w="1230" w:type="dxa"/>
            <w:tcBorders>
              <w:top w:val="single" w:sz="6" w:space="0" w:color="auto"/>
              <w:left w:val="single" w:sz="6" w:space="0" w:color="auto"/>
              <w:bottom w:val="single" w:sz="6" w:space="0" w:color="auto"/>
              <w:right w:val="single" w:sz="6" w:space="0" w:color="auto"/>
            </w:tcBorders>
          </w:tcPr>
          <w:p w14:paraId="27A35F1A" w14:textId="77777777" w:rsidR="00000000" w:rsidRDefault="00B4274B">
            <w:pPr>
              <w:spacing w:line="276" w:lineRule="auto"/>
              <w:rPr>
                <w:sz w:val="20"/>
                <w:szCs w:val="20"/>
                <w:lang w:val="uk-UA"/>
              </w:rPr>
            </w:pPr>
            <w:r>
              <w:rPr>
                <w:sz w:val="20"/>
                <w:szCs w:val="20"/>
                <w:lang w:val="uk-UA"/>
              </w:rPr>
              <w:t>1-5</w:t>
            </w:r>
          </w:p>
        </w:tc>
        <w:tc>
          <w:tcPr>
            <w:tcW w:w="1091" w:type="dxa"/>
            <w:tcBorders>
              <w:top w:val="single" w:sz="6" w:space="0" w:color="auto"/>
              <w:left w:val="single" w:sz="6" w:space="0" w:color="auto"/>
              <w:bottom w:val="single" w:sz="6" w:space="0" w:color="auto"/>
              <w:right w:val="single" w:sz="6" w:space="0" w:color="auto"/>
            </w:tcBorders>
          </w:tcPr>
          <w:p w14:paraId="418421D7" w14:textId="77777777" w:rsidR="00000000" w:rsidRDefault="00B4274B">
            <w:pPr>
              <w:spacing w:line="276" w:lineRule="auto"/>
              <w:rPr>
                <w:sz w:val="20"/>
                <w:szCs w:val="20"/>
                <w:lang w:val="uk-UA"/>
              </w:rPr>
            </w:pPr>
            <w:r>
              <w:rPr>
                <w:sz w:val="20"/>
                <w:szCs w:val="20"/>
                <w:lang w:val="uk-UA"/>
              </w:rPr>
              <w:t>1-2</w:t>
            </w:r>
          </w:p>
        </w:tc>
      </w:tr>
      <w:tr w:rsidR="00000000" w14:paraId="025F29D4"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47FA6288" w14:textId="77777777" w:rsidR="00000000" w:rsidRDefault="00B4274B">
            <w:pPr>
              <w:spacing w:line="276" w:lineRule="auto"/>
              <w:rPr>
                <w:sz w:val="20"/>
                <w:szCs w:val="20"/>
                <w:lang w:val="uk-UA"/>
              </w:rPr>
            </w:pPr>
            <w:r>
              <w:rPr>
                <w:sz w:val="20"/>
                <w:szCs w:val="20"/>
                <w:lang w:val="uk-UA"/>
              </w:rPr>
              <w:t>Т1/2  (період напіввиведення), год</w:t>
            </w:r>
          </w:p>
        </w:tc>
        <w:tc>
          <w:tcPr>
            <w:tcW w:w="1210" w:type="dxa"/>
            <w:tcBorders>
              <w:top w:val="single" w:sz="6" w:space="0" w:color="auto"/>
              <w:left w:val="single" w:sz="6" w:space="0" w:color="auto"/>
              <w:bottom w:val="single" w:sz="6" w:space="0" w:color="auto"/>
              <w:right w:val="single" w:sz="6" w:space="0" w:color="auto"/>
            </w:tcBorders>
          </w:tcPr>
          <w:p w14:paraId="6BA2E73A" w14:textId="77777777" w:rsidR="00000000" w:rsidRDefault="00B4274B">
            <w:pPr>
              <w:spacing w:line="276" w:lineRule="auto"/>
              <w:rPr>
                <w:sz w:val="20"/>
                <w:szCs w:val="20"/>
                <w:lang w:val="uk-UA"/>
              </w:rPr>
            </w:pPr>
            <w:r>
              <w:rPr>
                <w:sz w:val="20"/>
                <w:szCs w:val="20"/>
                <w:lang w:val="uk-UA"/>
              </w:rPr>
              <w:t>12-18  (метаболіт 8-13)</w:t>
            </w:r>
          </w:p>
        </w:tc>
        <w:tc>
          <w:tcPr>
            <w:tcW w:w="1113" w:type="dxa"/>
            <w:tcBorders>
              <w:top w:val="single" w:sz="6" w:space="0" w:color="auto"/>
              <w:left w:val="single" w:sz="6" w:space="0" w:color="auto"/>
              <w:bottom w:val="single" w:sz="6" w:space="0" w:color="auto"/>
              <w:right w:val="single" w:sz="6" w:space="0" w:color="auto"/>
            </w:tcBorders>
          </w:tcPr>
          <w:p w14:paraId="638D8485" w14:textId="77777777" w:rsidR="00000000" w:rsidRDefault="00B4274B">
            <w:pPr>
              <w:spacing w:line="276" w:lineRule="auto"/>
              <w:rPr>
                <w:sz w:val="20"/>
                <w:szCs w:val="20"/>
                <w:lang w:val="uk-UA"/>
              </w:rPr>
            </w:pPr>
            <w:r>
              <w:rPr>
                <w:sz w:val="20"/>
                <w:szCs w:val="20"/>
                <w:lang w:val="uk-UA"/>
              </w:rPr>
              <w:t>2 (метаболіт</w:t>
            </w:r>
            <w:r>
              <w:rPr>
                <w:sz w:val="20"/>
                <w:szCs w:val="20"/>
                <w:lang w:val="uk-UA"/>
              </w:rPr>
              <w:t xml:space="preserve"> 6-9)</w:t>
            </w:r>
          </w:p>
        </w:tc>
        <w:tc>
          <w:tcPr>
            <w:tcW w:w="943" w:type="dxa"/>
            <w:tcBorders>
              <w:top w:val="single" w:sz="6" w:space="0" w:color="auto"/>
              <w:left w:val="single" w:sz="6" w:space="0" w:color="auto"/>
              <w:bottom w:val="single" w:sz="6" w:space="0" w:color="auto"/>
              <w:right w:val="single" w:sz="6" w:space="0" w:color="auto"/>
            </w:tcBorders>
          </w:tcPr>
          <w:p w14:paraId="4721C43F" w14:textId="77777777" w:rsidR="00000000" w:rsidRDefault="00B4274B">
            <w:pPr>
              <w:spacing w:line="276" w:lineRule="auto"/>
              <w:rPr>
                <w:sz w:val="20"/>
                <w:szCs w:val="20"/>
                <w:lang w:val="uk-UA"/>
              </w:rPr>
            </w:pPr>
            <w:r>
              <w:rPr>
                <w:sz w:val="20"/>
                <w:szCs w:val="20"/>
                <w:lang w:val="uk-UA"/>
              </w:rPr>
              <w:t>6</w:t>
            </w:r>
          </w:p>
        </w:tc>
        <w:tc>
          <w:tcPr>
            <w:tcW w:w="1134" w:type="dxa"/>
            <w:tcBorders>
              <w:top w:val="single" w:sz="6" w:space="0" w:color="auto"/>
              <w:left w:val="single" w:sz="6" w:space="0" w:color="auto"/>
              <w:bottom w:val="single" w:sz="6" w:space="0" w:color="auto"/>
              <w:right w:val="single" w:sz="6" w:space="0" w:color="auto"/>
            </w:tcBorders>
          </w:tcPr>
          <w:p w14:paraId="75728E3C" w14:textId="77777777" w:rsidR="00000000" w:rsidRDefault="00B4274B">
            <w:pPr>
              <w:spacing w:line="276" w:lineRule="auto"/>
              <w:rPr>
                <w:sz w:val="20"/>
                <w:szCs w:val="20"/>
                <w:lang w:val="uk-UA"/>
              </w:rPr>
            </w:pPr>
            <w:r>
              <w:rPr>
                <w:sz w:val="20"/>
                <w:szCs w:val="20"/>
                <w:lang w:val="uk-UA"/>
              </w:rPr>
              <w:t>11-15</w:t>
            </w:r>
          </w:p>
        </w:tc>
        <w:tc>
          <w:tcPr>
            <w:tcW w:w="1230" w:type="dxa"/>
            <w:tcBorders>
              <w:top w:val="single" w:sz="6" w:space="0" w:color="auto"/>
              <w:left w:val="single" w:sz="6" w:space="0" w:color="auto"/>
              <w:bottom w:val="single" w:sz="6" w:space="0" w:color="auto"/>
              <w:right w:val="single" w:sz="6" w:space="0" w:color="auto"/>
            </w:tcBorders>
          </w:tcPr>
          <w:p w14:paraId="46C77C79" w14:textId="77777777" w:rsidR="00000000" w:rsidRDefault="00B4274B">
            <w:pPr>
              <w:spacing w:line="276" w:lineRule="auto"/>
              <w:rPr>
                <w:sz w:val="20"/>
                <w:szCs w:val="20"/>
                <w:lang w:val="uk-UA"/>
              </w:rPr>
            </w:pPr>
            <w:r>
              <w:rPr>
                <w:sz w:val="20"/>
                <w:szCs w:val="20"/>
                <w:lang w:val="uk-UA"/>
              </w:rPr>
              <w:t>3,5-4 (метаболіт 9-29)</w:t>
            </w:r>
          </w:p>
        </w:tc>
        <w:tc>
          <w:tcPr>
            <w:tcW w:w="1230" w:type="dxa"/>
            <w:tcBorders>
              <w:top w:val="single" w:sz="6" w:space="0" w:color="auto"/>
              <w:left w:val="single" w:sz="6" w:space="0" w:color="auto"/>
              <w:bottom w:val="single" w:sz="6" w:space="0" w:color="auto"/>
              <w:right w:val="single" w:sz="6" w:space="0" w:color="auto"/>
            </w:tcBorders>
          </w:tcPr>
          <w:p w14:paraId="6DFEFE5A" w14:textId="77777777" w:rsidR="00000000" w:rsidRDefault="00B4274B">
            <w:pPr>
              <w:spacing w:line="276" w:lineRule="auto"/>
              <w:rPr>
                <w:sz w:val="20"/>
                <w:szCs w:val="20"/>
                <w:lang w:val="uk-UA"/>
              </w:rPr>
            </w:pPr>
            <w:r>
              <w:rPr>
                <w:sz w:val="20"/>
                <w:szCs w:val="20"/>
                <w:lang w:val="uk-UA"/>
              </w:rPr>
              <w:t>9-17</w:t>
            </w:r>
          </w:p>
        </w:tc>
        <w:tc>
          <w:tcPr>
            <w:tcW w:w="1091" w:type="dxa"/>
            <w:tcBorders>
              <w:top w:val="single" w:sz="6" w:space="0" w:color="auto"/>
              <w:left w:val="single" w:sz="6" w:space="0" w:color="auto"/>
              <w:bottom w:val="single" w:sz="6" w:space="0" w:color="auto"/>
              <w:right w:val="single" w:sz="6" w:space="0" w:color="auto"/>
            </w:tcBorders>
          </w:tcPr>
          <w:p w14:paraId="6A70BF13" w14:textId="77777777" w:rsidR="00000000" w:rsidRDefault="00B4274B">
            <w:pPr>
              <w:spacing w:line="276" w:lineRule="auto"/>
              <w:rPr>
                <w:sz w:val="20"/>
                <w:szCs w:val="20"/>
                <w:lang w:val="uk-UA"/>
              </w:rPr>
            </w:pPr>
            <w:r>
              <w:rPr>
                <w:sz w:val="20"/>
                <w:szCs w:val="20"/>
                <w:lang w:val="uk-UA"/>
              </w:rPr>
              <w:t>5-9</w:t>
            </w:r>
          </w:p>
        </w:tc>
      </w:tr>
      <w:tr w:rsidR="00000000" w14:paraId="64E9C3CC"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17D4490A" w14:textId="77777777" w:rsidR="00000000" w:rsidRDefault="00B4274B">
            <w:pPr>
              <w:spacing w:line="276" w:lineRule="auto"/>
              <w:rPr>
                <w:sz w:val="20"/>
                <w:szCs w:val="20"/>
                <w:lang w:val="uk-UA"/>
              </w:rPr>
            </w:pPr>
            <w:r>
              <w:rPr>
                <w:sz w:val="20"/>
                <w:szCs w:val="20"/>
                <w:lang w:val="uk-UA"/>
              </w:rPr>
              <w:t>Метаболізм</w:t>
            </w:r>
          </w:p>
        </w:tc>
        <w:tc>
          <w:tcPr>
            <w:tcW w:w="1210" w:type="dxa"/>
            <w:tcBorders>
              <w:top w:val="single" w:sz="6" w:space="0" w:color="auto"/>
              <w:left w:val="single" w:sz="6" w:space="0" w:color="auto"/>
              <w:bottom w:val="single" w:sz="6" w:space="0" w:color="auto"/>
              <w:right w:val="single" w:sz="6" w:space="0" w:color="auto"/>
            </w:tcBorders>
          </w:tcPr>
          <w:p w14:paraId="4602BFC1" w14:textId="77777777" w:rsidR="00000000" w:rsidRDefault="00B4274B">
            <w:pPr>
              <w:spacing w:line="276" w:lineRule="auto"/>
              <w:rPr>
                <w:sz w:val="20"/>
                <w:szCs w:val="20"/>
                <w:lang w:val="uk-UA"/>
              </w:rPr>
            </w:pPr>
            <w:r>
              <w:rPr>
                <w:sz w:val="20"/>
                <w:szCs w:val="20"/>
                <w:lang w:val="uk-UA"/>
              </w:rPr>
              <w:t>Деестерифікація</w:t>
            </w:r>
          </w:p>
        </w:tc>
        <w:tc>
          <w:tcPr>
            <w:tcW w:w="1113" w:type="dxa"/>
            <w:tcBorders>
              <w:top w:val="single" w:sz="6" w:space="0" w:color="auto"/>
              <w:left w:val="single" w:sz="6" w:space="0" w:color="auto"/>
              <w:bottom w:val="single" w:sz="6" w:space="0" w:color="auto"/>
              <w:right w:val="single" w:sz="6" w:space="0" w:color="auto"/>
            </w:tcBorders>
          </w:tcPr>
          <w:p w14:paraId="728325A7" w14:textId="77777777" w:rsidR="00000000" w:rsidRDefault="00B4274B">
            <w:pPr>
              <w:spacing w:line="276" w:lineRule="auto"/>
              <w:rPr>
                <w:sz w:val="20"/>
                <w:szCs w:val="20"/>
                <w:lang w:val="uk-UA"/>
              </w:rPr>
            </w:pPr>
            <w:r>
              <w:rPr>
                <w:sz w:val="20"/>
                <w:szCs w:val="20"/>
                <w:lang w:val="uk-UA"/>
              </w:rPr>
              <w:t>CYP 2С9 та 3А4</w:t>
            </w:r>
          </w:p>
        </w:tc>
        <w:tc>
          <w:tcPr>
            <w:tcW w:w="943" w:type="dxa"/>
            <w:tcBorders>
              <w:top w:val="single" w:sz="6" w:space="0" w:color="auto"/>
              <w:left w:val="single" w:sz="6" w:space="0" w:color="auto"/>
              <w:bottom w:val="single" w:sz="6" w:space="0" w:color="auto"/>
              <w:right w:val="single" w:sz="6" w:space="0" w:color="auto"/>
            </w:tcBorders>
          </w:tcPr>
          <w:p w14:paraId="2C487001" w14:textId="77777777" w:rsidR="00000000" w:rsidRDefault="00B4274B">
            <w:pPr>
              <w:spacing w:line="276" w:lineRule="auto"/>
              <w:rPr>
                <w:sz w:val="20"/>
                <w:szCs w:val="20"/>
                <w:lang w:val="uk-UA"/>
              </w:rPr>
            </w:pPr>
            <w:r>
              <w:rPr>
                <w:sz w:val="20"/>
                <w:szCs w:val="20"/>
                <w:lang w:val="uk-UA"/>
              </w:rPr>
              <w:t>Невідомо</w:t>
            </w:r>
          </w:p>
        </w:tc>
        <w:tc>
          <w:tcPr>
            <w:tcW w:w="1134" w:type="dxa"/>
            <w:tcBorders>
              <w:top w:val="single" w:sz="6" w:space="0" w:color="auto"/>
              <w:left w:val="single" w:sz="6" w:space="0" w:color="auto"/>
              <w:bottom w:val="single" w:sz="6" w:space="0" w:color="auto"/>
              <w:right w:val="single" w:sz="6" w:space="0" w:color="auto"/>
            </w:tcBorders>
          </w:tcPr>
          <w:p w14:paraId="71FDA569" w14:textId="77777777" w:rsidR="00000000" w:rsidRDefault="00B4274B">
            <w:pPr>
              <w:spacing w:line="276" w:lineRule="auto"/>
              <w:rPr>
                <w:sz w:val="20"/>
                <w:szCs w:val="20"/>
                <w:lang w:val="uk-UA"/>
              </w:rPr>
            </w:pPr>
            <w:r>
              <w:rPr>
                <w:sz w:val="20"/>
                <w:szCs w:val="20"/>
                <w:lang w:val="uk-UA"/>
              </w:rPr>
              <w:t>CYP 2С9</w:t>
            </w:r>
          </w:p>
        </w:tc>
        <w:tc>
          <w:tcPr>
            <w:tcW w:w="1230" w:type="dxa"/>
            <w:tcBorders>
              <w:top w:val="single" w:sz="6" w:space="0" w:color="auto"/>
              <w:left w:val="single" w:sz="6" w:space="0" w:color="auto"/>
              <w:bottom w:val="single" w:sz="6" w:space="0" w:color="auto"/>
              <w:right w:val="single" w:sz="6" w:space="0" w:color="auto"/>
            </w:tcBorders>
          </w:tcPr>
          <w:p w14:paraId="2ABF9F30" w14:textId="77777777" w:rsidR="00000000" w:rsidRDefault="00B4274B">
            <w:pPr>
              <w:spacing w:line="276" w:lineRule="auto"/>
              <w:rPr>
                <w:sz w:val="20"/>
                <w:szCs w:val="20"/>
                <w:lang w:val="uk-UA"/>
              </w:rPr>
            </w:pPr>
            <w:r>
              <w:rPr>
                <w:sz w:val="20"/>
                <w:szCs w:val="20"/>
                <w:lang w:val="uk-UA"/>
              </w:rPr>
              <w:t>О-деметилювання</w:t>
            </w:r>
          </w:p>
        </w:tc>
        <w:tc>
          <w:tcPr>
            <w:tcW w:w="1230" w:type="dxa"/>
            <w:tcBorders>
              <w:top w:val="single" w:sz="6" w:space="0" w:color="auto"/>
              <w:left w:val="single" w:sz="6" w:space="0" w:color="auto"/>
              <w:bottom w:val="single" w:sz="6" w:space="0" w:color="auto"/>
              <w:right w:val="single" w:sz="6" w:space="0" w:color="auto"/>
            </w:tcBorders>
          </w:tcPr>
          <w:p w14:paraId="144AB999" w14:textId="77777777" w:rsidR="00000000" w:rsidRDefault="00B4274B">
            <w:pPr>
              <w:spacing w:line="276" w:lineRule="auto"/>
              <w:rPr>
                <w:sz w:val="20"/>
                <w:szCs w:val="20"/>
                <w:lang w:val="uk-UA"/>
              </w:rPr>
            </w:pPr>
            <w:r>
              <w:rPr>
                <w:sz w:val="20"/>
                <w:szCs w:val="20"/>
                <w:lang w:val="uk-UA"/>
              </w:rPr>
              <w:t>Кон’югація</w:t>
            </w:r>
          </w:p>
        </w:tc>
        <w:tc>
          <w:tcPr>
            <w:tcW w:w="1091" w:type="dxa"/>
            <w:tcBorders>
              <w:top w:val="single" w:sz="6" w:space="0" w:color="auto"/>
              <w:left w:val="single" w:sz="6" w:space="0" w:color="auto"/>
              <w:bottom w:val="single" w:sz="6" w:space="0" w:color="auto"/>
              <w:right w:val="single" w:sz="6" w:space="0" w:color="auto"/>
            </w:tcBorders>
          </w:tcPr>
          <w:p w14:paraId="11BEEF29" w14:textId="77777777" w:rsidR="00000000" w:rsidRDefault="00B4274B">
            <w:pPr>
              <w:spacing w:line="276" w:lineRule="auto"/>
              <w:rPr>
                <w:sz w:val="20"/>
                <w:szCs w:val="20"/>
                <w:lang w:val="uk-UA"/>
              </w:rPr>
            </w:pPr>
            <w:r>
              <w:rPr>
                <w:sz w:val="20"/>
                <w:szCs w:val="20"/>
                <w:lang w:val="uk-UA"/>
              </w:rPr>
              <w:t>Глюкуронід-кон’югація</w:t>
            </w:r>
          </w:p>
        </w:tc>
      </w:tr>
      <w:tr w:rsidR="00000000" w14:paraId="6593DD67"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77094305" w14:textId="77777777" w:rsidR="00000000" w:rsidRDefault="00B4274B">
            <w:pPr>
              <w:spacing w:line="276" w:lineRule="auto"/>
              <w:rPr>
                <w:sz w:val="20"/>
                <w:szCs w:val="20"/>
                <w:lang w:val="uk-UA"/>
              </w:rPr>
            </w:pPr>
            <w:r>
              <w:rPr>
                <w:sz w:val="20"/>
                <w:szCs w:val="20"/>
                <w:lang w:val="uk-UA"/>
              </w:rPr>
              <w:t>Елімінація: нирки/печінка</w:t>
            </w:r>
          </w:p>
        </w:tc>
        <w:tc>
          <w:tcPr>
            <w:tcW w:w="1210" w:type="dxa"/>
            <w:tcBorders>
              <w:top w:val="single" w:sz="6" w:space="0" w:color="auto"/>
              <w:left w:val="single" w:sz="6" w:space="0" w:color="auto"/>
              <w:bottom w:val="single" w:sz="6" w:space="0" w:color="auto"/>
              <w:right w:val="single" w:sz="6" w:space="0" w:color="auto"/>
            </w:tcBorders>
          </w:tcPr>
          <w:p w14:paraId="395D15D2" w14:textId="77777777" w:rsidR="00000000" w:rsidRDefault="00B4274B">
            <w:pPr>
              <w:spacing w:line="276" w:lineRule="auto"/>
              <w:rPr>
                <w:sz w:val="20"/>
                <w:szCs w:val="20"/>
                <w:lang w:val="uk-UA"/>
              </w:rPr>
            </w:pPr>
            <w:r>
              <w:rPr>
                <w:sz w:val="20"/>
                <w:szCs w:val="20"/>
                <w:lang w:val="uk-UA"/>
              </w:rPr>
              <w:t>60/35</w:t>
            </w:r>
          </w:p>
        </w:tc>
        <w:tc>
          <w:tcPr>
            <w:tcW w:w="1113" w:type="dxa"/>
            <w:tcBorders>
              <w:top w:val="single" w:sz="6" w:space="0" w:color="auto"/>
              <w:left w:val="single" w:sz="6" w:space="0" w:color="auto"/>
              <w:bottom w:val="single" w:sz="6" w:space="0" w:color="auto"/>
              <w:right w:val="single" w:sz="6" w:space="0" w:color="auto"/>
            </w:tcBorders>
          </w:tcPr>
          <w:p w14:paraId="431AEEA2" w14:textId="77777777" w:rsidR="00000000" w:rsidRDefault="00B4274B">
            <w:pPr>
              <w:spacing w:line="276" w:lineRule="auto"/>
              <w:rPr>
                <w:sz w:val="20"/>
                <w:szCs w:val="20"/>
                <w:lang w:val="uk-UA"/>
              </w:rPr>
            </w:pPr>
            <w:r>
              <w:rPr>
                <w:sz w:val="20"/>
                <w:szCs w:val="20"/>
                <w:lang w:val="uk-UA"/>
              </w:rPr>
              <w:t>60/35</w:t>
            </w:r>
          </w:p>
        </w:tc>
        <w:tc>
          <w:tcPr>
            <w:tcW w:w="943" w:type="dxa"/>
            <w:tcBorders>
              <w:top w:val="single" w:sz="6" w:space="0" w:color="auto"/>
              <w:left w:val="single" w:sz="6" w:space="0" w:color="auto"/>
              <w:bottom w:val="single" w:sz="6" w:space="0" w:color="auto"/>
              <w:right w:val="single" w:sz="6" w:space="0" w:color="auto"/>
            </w:tcBorders>
          </w:tcPr>
          <w:p w14:paraId="7B41926B" w14:textId="77777777" w:rsidR="00000000" w:rsidRDefault="00B4274B">
            <w:pPr>
              <w:spacing w:line="276" w:lineRule="auto"/>
              <w:rPr>
                <w:sz w:val="20"/>
                <w:szCs w:val="20"/>
                <w:lang w:val="uk-UA"/>
              </w:rPr>
            </w:pPr>
            <w:r>
              <w:rPr>
                <w:sz w:val="20"/>
                <w:szCs w:val="20"/>
                <w:lang w:val="uk-UA"/>
              </w:rPr>
              <w:t>80/10</w:t>
            </w:r>
          </w:p>
        </w:tc>
        <w:tc>
          <w:tcPr>
            <w:tcW w:w="1134" w:type="dxa"/>
            <w:tcBorders>
              <w:top w:val="single" w:sz="6" w:space="0" w:color="auto"/>
              <w:left w:val="single" w:sz="6" w:space="0" w:color="auto"/>
              <w:bottom w:val="single" w:sz="6" w:space="0" w:color="auto"/>
              <w:right w:val="single" w:sz="6" w:space="0" w:color="auto"/>
            </w:tcBorders>
          </w:tcPr>
          <w:p w14:paraId="1D9AFD59" w14:textId="77777777" w:rsidR="00000000" w:rsidRDefault="00B4274B">
            <w:pPr>
              <w:spacing w:line="276" w:lineRule="auto"/>
              <w:rPr>
                <w:sz w:val="20"/>
                <w:szCs w:val="20"/>
                <w:lang w:val="uk-UA"/>
              </w:rPr>
            </w:pPr>
            <w:r>
              <w:rPr>
                <w:sz w:val="20"/>
                <w:szCs w:val="20"/>
                <w:lang w:val="uk-UA"/>
              </w:rPr>
              <w:t>80/20</w:t>
            </w:r>
          </w:p>
        </w:tc>
        <w:tc>
          <w:tcPr>
            <w:tcW w:w="1230" w:type="dxa"/>
            <w:tcBorders>
              <w:top w:val="single" w:sz="6" w:space="0" w:color="auto"/>
              <w:left w:val="single" w:sz="6" w:space="0" w:color="auto"/>
              <w:bottom w:val="single" w:sz="6" w:space="0" w:color="auto"/>
              <w:right w:val="single" w:sz="6" w:space="0" w:color="auto"/>
            </w:tcBorders>
          </w:tcPr>
          <w:p w14:paraId="5DF5F727" w14:textId="77777777" w:rsidR="00000000" w:rsidRDefault="00B4274B">
            <w:pPr>
              <w:spacing w:line="276" w:lineRule="auto"/>
              <w:rPr>
                <w:sz w:val="20"/>
                <w:szCs w:val="20"/>
                <w:lang w:val="uk-UA"/>
              </w:rPr>
            </w:pPr>
            <w:r>
              <w:rPr>
                <w:sz w:val="20"/>
                <w:szCs w:val="20"/>
                <w:lang w:val="uk-UA"/>
              </w:rPr>
              <w:t>67/33</w:t>
            </w:r>
          </w:p>
        </w:tc>
        <w:tc>
          <w:tcPr>
            <w:tcW w:w="1230" w:type="dxa"/>
            <w:tcBorders>
              <w:top w:val="single" w:sz="6" w:space="0" w:color="auto"/>
              <w:left w:val="single" w:sz="6" w:space="0" w:color="auto"/>
              <w:bottom w:val="single" w:sz="6" w:space="0" w:color="auto"/>
              <w:right w:val="single" w:sz="6" w:space="0" w:color="auto"/>
            </w:tcBorders>
          </w:tcPr>
          <w:p w14:paraId="4017795F" w14:textId="77777777" w:rsidR="00000000" w:rsidRDefault="00B4274B">
            <w:pPr>
              <w:spacing w:line="276" w:lineRule="auto"/>
              <w:rPr>
                <w:sz w:val="20"/>
                <w:szCs w:val="20"/>
                <w:lang w:val="uk-UA"/>
              </w:rPr>
            </w:pPr>
            <w:r>
              <w:rPr>
                <w:sz w:val="20"/>
                <w:szCs w:val="20"/>
                <w:lang w:val="uk-UA"/>
              </w:rPr>
              <w:t>97/3</w:t>
            </w:r>
          </w:p>
        </w:tc>
        <w:tc>
          <w:tcPr>
            <w:tcW w:w="1091" w:type="dxa"/>
            <w:tcBorders>
              <w:top w:val="single" w:sz="6" w:space="0" w:color="auto"/>
              <w:left w:val="single" w:sz="6" w:space="0" w:color="auto"/>
              <w:bottom w:val="single" w:sz="6" w:space="0" w:color="auto"/>
              <w:right w:val="single" w:sz="6" w:space="0" w:color="auto"/>
            </w:tcBorders>
          </w:tcPr>
          <w:p w14:paraId="5F98020F" w14:textId="77777777" w:rsidR="00000000" w:rsidRDefault="00B4274B">
            <w:pPr>
              <w:spacing w:line="276" w:lineRule="auto"/>
              <w:rPr>
                <w:sz w:val="20"/>
                <w:szCs w:val="20"/>
                <w:lang w:val="uk-UA"/>
              </w:rPr>
            </w:pPr>
            <w:r>
              <w:rPr>
                <w:sz w:val="20"/>
                <w:szCs w:val="20"/>
                <w:lang w:val="uk-UA"/>
              </w:rPr>
              <w:t>90/7</w:t>
            </w:r>
          </w:p>
        </w:tc>
      </w:tr>
      <w:tr w:rsidR="00000000" w14:paraId="43BD86E5"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74A19E18" w14:textId="77777777" w:rsidR="00000000" w:rsidRDefault="00B4274B">
            <w:pPr>
              <w:spacing w:line="276" w:lineRule="auto"/>
              <w:rPr>
                <w:sz w:val="20"/>
                <w:szCs w:val="20"/>
                <w:lang w:val="uk-UA"/>
              </w:rPr>
            </w:pPr>
            <w:r>
              <w:rPr>
                <w:sz w:val="20"/>
                <w:szCs w:val="20"/>
                <w:lang w:val="uk-UA"/>
              </w:rPr>
              <w:t>Взаємодія з їжею</w:t>
            </w:r>
          </w:p>
        </w:tc>
        <w:tc>
          <w:tcPr>
            <w:tcW w:w="1210" w:type="dxa"/>
            <w:tcBorders>
              <w:top w:val="single" w:sz="6" w:space="0" w:color="auto"/>
              <w:left w:val="single" w:sz="6" w:space="0" w:color="auto"/>
              <w:bottom w:val="single" w:sz="6" w:space="0" w:color="auto"/>
              <w:right w:val="single" w:sz="6" w:space="0" w:color="auto"/>
            </w:tcBorders>
          </w:tcPr>
          <w:p w14:paraId="773AEB36" w14:textId="77777777" w:rsidR="00000000" w:rsidRDefault="00B4274B">
            <w:pPr>
              <w:spacing w:line="276" w:lineRule="auto"/>
              <w:rPr>
                <w:sz w:val="20"/>
                <w:szCs w:val="20"/>
                <w:lang w:val="uk-UA"/>
              </w:rPr>
            </w:pPr>
            <w:r>
              <w:rPr>
                <w:sz w:val="20"/>
                <w:szCs w:val="20"/>
                <w:lang w:val="uk-UA"/>
              </w:rPr>
              <w:t>Немає</w:t>
            </w:r>
          </w:p>
        </w:tc>
        <w:tc>
          <w:tcPr>
            <w:tcW w:w="1113" w:type="dxa"/>
            <w:tcBorders>
              <w:top w:val="single" w:sz="6" w:space="0" w:color="auto"/>
              <w:left w:val="single" w:sz="6" w:space="0" w:color="auto"/>
              <w:bottom w:val="single" w:sz="6" w:space="0" w:color="auto"/>
              <w:right w:val="single" w:sz="6" w:space="0" w:color="auto"/>
            </w:tcBorders>
          </w:tcPr>
          <w:p w14:paraId="2A5E776C" w14:textId="77777777" w:rsidR="00000000" w:rsidRDefault="00B4274B">
            <w:pPr>
              <w:spacing w:line="276" w:lineRule="auto"/>
              <w:rPr>
                <w:sz w:val="20"/>
                <w:szCs w:val="20"/>
                <w:lang w:val="uk-UA"/>
              </w:rPr>
            </w:pPr>
            <w:r>
              <w:rPr>
                <w:sz w:val="20"/>
                <w:szCs w:val="20"/>
                <w:lang w:val="uk-UA"/>
              </w:rPr>
              <w:t>На</w:t>
            </w:r>
            <w:r>
              <w:rPr>
                <w:sz w:val="20"/>
                <w:szCs w:val="20"/>
                <w:lang w:val="uk-UA"/>
              </w:rPr>
              <w:t xml:space="preserve"> 10% зменшує біодоступність</w:t>
            </w:r>
          </w:p>
        </w:tc>
        <w:tc>
          <w:tcPr>
            <w:tcW w:w="943" w:type="dxa"/>
            <w:tcBorders>
              <w:top w:val="single" w:sz="6" w:space="0" w:color="auto"/>
              <w:left w:val="single" w:sz="6" w:space="0" w:color="auto"/>
              <w:bottom w:val="single" w:sz="6" w:space="0" w:color="auto"/>
              <w:right w:val="single" w:sz="6" w:space="0" w:color="auto"/>
            </w:tcBorders>
          </w:tcPr>
          <w:p w14:paraId="05182701" w14:textId="77777777" w:rsidR="00000000" w:rsidRDefault="00B4274B">
            <w:pPr>
              <w:spacing w:line="276" w:lineRule="auto"/>
              <w:rPr>
                <w:sz w:val="20"/>
                <w:szCs w:val="20"/>
                <w:lang w:val="uk-UA"/>
              </w:rPr>
            </w:pPr>
            <w:r>
              <w:rPr>
                <w:sz w:val="20"/>
                <w:szCs w:val="20"/>
                <w:lang w:val="uk-UA"/>
              </w:rPr>
              <w:t>На 50% зменшує AUC</w:t>
            </w:r>
          </w:p>
        </w:tc>
        <w:tc>
          <w:tcPr>
            <w:tcW w:w="1134" w:type="dxa"/>
            <w:tcBorders>
              <w:top w:val="single" w:sz="6" w:space="0" w:color="auto"/>
              <w:left w:val="single" w:sz="6" w:space="0" w:color="auto"/>
              <w:bottom w:val="single" w:sz="6" w:space="0" w:color="auto"/>
              <w:right w:val="single" w:sz="6" w:space="0" w:color="auto"/>
            </w:tcBorders>
          </w:tcPr>
          <w:p w14:paraId="0A9D10C2" w14:textId="77777777" w:rsidR="00000000" w:rsidRDefault="00B4274B">
            <w:pPr>
              <w:spacing w:line="276" w:lineRule="auto"/>
              <w:rPr>
                <w:sz w:val="20"/>
                <w:szCs w:val="20"/>
                <w:lang w:val="uk-UA"/>
              </w:rPr>
            </w:pPr>
            <w:r>
              <w:rPr>
                <w:sz w:val="20"/>
                <w:szCs w:val="20"/>
                <w:lang w:val="uk-UA"/>
              </w:rPr>
              <w:t>Немає</w:t>
            </w:r>
          </w:p>
        </w:tc>
        <w:tc>
          <w:tcPr>
            <w:tcW w:w="1230" w:type="dxa"/>
            <w:tcBorders>
              <w:top w:val="single" w:sz="6" w:space="0" w:color="auto"/>
              <w:left w:val="single" w:sz="6" w:space="0" w:color="auto"/>
              <w:bottom w:val="single" w:sz="6" w:space="0" w:color="auto"/>
              <w:right w:val="single" w:sz="6" w:space="0" w:color="auto"/>
            </w:tcBorders>
          </w:tcPr>
          <w:p w14:paraId="46988937" w14:textId="77777777" w:rsidR="00000000" w:rsidRDefault="00B4274B">
            <w:pPr>
              <w:spacing w:line="276" w:lineRule="auto"/>
              <w:rPr>
                <w:sz w:val="20"/>
                <w:szCs w:val="20"/>
                <w:lang w:val="uk-UA"/>
              </w:rPr>
            </w:pPr>
            <w:r>
              <w:rPr>
                <w:sz w:val="20"/>
                <w:szCs w:val="20"/>
                <w:lang w:val="uk-UA"/>
              </w:rPr>
              <w:t>Немає</w:t>
            </w:r>
          </w:p>
        </w:tc>
        <w:tc>
          <w:tcPr>
            <w:tcW w:w="1230" w:type="dxa"/>
            <w:tcBorders>
              <w:top w:val="single" w:sz="6" w:space="0" w:color="auto"/>
              <w:left w:val="single" w:sz="6" w:space="0" w:color="auto"/>
              <w:bottom w:val="single" w:sz="6" w:space="0" w:color="auto"/>
              <w:right w:val="single" w:sz="6" w:space="0" w:color="auto"/>
            </w:tcBorders>
          </w:tcPr>
          <w:p w14:paraId="64D4D94C" w14:textId="77777777" w:rsidR="00000000" w:rsidRDefault="00B4274B">
            <w:pPr>
              <w:spacing w:line="276" w:lineRule="auto"/>
              <w:rPr>
                <w:sz w:val="20"/>
                <w:szCs w:val="20"/>
                <w:lang w:val="uk-UA"/>
              </w:rPr>
            </w:pPr>
            <w:r>
              <w:rPr>
                <w:sz w:val="20"/>
                <w:szCs w:val="20"/>
                <w:lang w:val="uk-UA"/>
              </w:rPr>
              <w:t>На 6-20% зменшує біодоступність</w:t>
            </w:r>
          </w:p>
        </w:tc>
        <w:tc>
          <w:tcPr>
            <w:tcW w:w="1091" w:type="dxa"/>
            <w:tcBorders>
              <w:top w:val="single" w:sz="6" w:space="0" w:color="auto"/>
              <w:left w:val="single" w:sz="6" w:space="0" w:color="auto"/>
              <w:bottom w:val="single" w:sz="6" w:space="0" w:color="auto"/>
              <w:right w:val="single" w:sz="6" w:space="0" w:color="auto"/>
            </w:tcBorders>
          </w:tcPr>
          <w:p w14:paraId="54A11C0A" w14:textId="77777777" w:rsidR="00000000" w:rsidRDefault="00B4274B">
            <w:pPr>
              <w:spacing w:line="276" w:lineRule="auto"/>
              <w:rPr>
                <w:sz w:val="20"/>
                <w:szCs w:val="20"/>
                <w:lang w:val="uk-UA"/>
              </w:rPr>
            </w:pPr>
            <w:r>
              <w:rPr>
                <w:sz w:val="20"/>
                <w:szCs w:val="20"/>
                <w:lang w:val="uk-UA"/>
              </w:rPr>
              <w:t>Затримує всмоктування</w:t>
            </w:r>
          </w:p>
        </w:tc>
      </w:tr>
      <w:tr w:rsidR="00000000" w14:paraId="3D77D5FE"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58ECE22C" w14:textId="77777777" w:rsidR="00000000" w:rsidRDefault="00B4274B">
            <w:pPr>
              <w:spacing w:line="276" w:lineRule="auto"/>
              <w:rPr>
                <w:sz w:val="20"/>
                <w:szCs w:val="20"/>
                <w:lang w:val="uk-UA"/>
              </w:rPr>
            </w:pPr>
            <w:r>
              <w:rPr>
                <w:sz w:val="20"/>
                <w:szCs w:val="20"/>
                <w:lang w:val="uk-UA"/>
              </w:rPr>
              <w:t>Дозування при порушенні функції печінки</w:t>
            </w:r>
          </w:p>
        </w:tc>
        <w:tc>
          <w:tcPr>
            <w:tcW w:w="1210" w:type="dxa"/>
            <w:tcBorders>
              <w:top w:val="single" w:sz="6" w:space="0" w:color="auto"/>
              <w:left w:val="single" w:sz="6" w:space="0" w:color="auto"/>
              <w:bottom w:val="single" w:sz="6" w:space="0" w:color="auto"/>
              <w:right w:val="single" w:sz="6" w:space="0" w:color="auto"/>
            </w:tcBorders>
          </w:tcPr>
          <w:p w14:paraId="12AD89CE" w14:textId="77777777" w:rsidR="00000000" w:rsidRDefault="00B4274B">
            <w:pPr>
              <w:spacing w:line="276" w:lineRule="auto"/>
              <w:rPr>
                <w:sz w:val="20"/>
                <w:szCs w:val="20"/>
                <w:lang w:val="uk-UA"/>
              </w:rPr>
            </w:pPr>
            <w:r>
              <w:rPr>
                <w:sz w:val="20"/>
                <w:szCs w:val="20"/>
                <w:lang w:val="uk-UA"/>
              </w:rPr>
              <w:t>Без змін</w:t>
            </w:r>
          </w:p>
        </w:tc>
        <w:tc>
          <w:tcPr>
            <w:tcW w:w="1113" w:type="dxa"/>
            <w:tcBorders>
              <w:top w:val="single" w:sz="6" w:space="0" w:color="auto"/>
              <w:left w:val="single" w:sz="6" w:space="0" w:color="auto"/>
              <w:bottom w:val="single" w:sz="6" w:space="0" w:color="auto"/>
              <w:right w:val="single" w:sz="6" w:space="0" w:color="auto"/>
            </w:tcBorders>
          </w:tcPr>
          <w:p w14:paraId="268C52D1" w14:textId="77777777" w:rsidR="00000000" w:rsidRDefault="00B4274B">
            <w:pPr>
              <w:spacing w:line="276" w:lineRule="auto"/>
              <w:rPr>
                <w:sz w:val="20"/>
                <w:szCs w:val="20"/>
                <w:lang w:val="uk-UA"/>
              </w:rPr>
            </w:pPr>
            <w:r>
              <w:rPr>
                <w:sz w:val="20"/>
                <w:szCs w:val="20"/>
                <w:lang w:val="uk-UA"/>
              </w:rPr>
              <w:t>Зменшити  початкову дозу</w:t>
            </w:r>
          </w:p>
        </w:tc>
        <w:tc>
          <w:tcPr>
            <w:tcW w:w="943" w:type="dxa"/>
            <w:tcBorders>
              <w:top w:val="single" w:sz="6" w:space="0" w:color="auto"/>
              <w:left w:val="single" w:sz="6" w:space="0" w:color="auto"/>
              <w:bottom w:val="single" w:sz="6" w:space="0" w:color="auto"/>
              <w:right w:val="single" w:sz="6" w:space="0" w:color="auto"/>
            </w:tcBorders>
          </w:tcPr>
          <w:p w14:paraId="7051F17E" w14:textId="77777777" w:rsidR="00000000" w:rsidRDefault="00B4274B">
            <w:pPr>
              <w:spacing w:line="276" w:lineRule="auto"/>
              <w:rPr>
                <w:sz w:val="20"/>
                <w:szCs w:val="20"/>
                <w:lang w:val="uk-UA"/>
              </w:rPr>
            </w:pPr>
            <w:r>
              <w:rPr>
                <w:sz w:val="20"/>
                <w:szCs w:val="20"/>
                <w:lang w:val="uk-UA"/>
              </w:rPr>
              <w:t>Без змін</w:t>
            </w:r>
          </w:p>
        </w:tc>
        <w:tc>
          <w:tcPr>
            <w:tcW w:w="1134" w:type="dxa"/>
            <w:tcBorders>
              <w:top w:val="single" w:sz="6" w:space="0" w:color="auto"/>
              <w:left w:val="single" w:sz="6" w:space="0" w:color="auto"/>
              <w:bottom w:val="single" w:sz="6" w:space="0" w:color="auto"/>
              <w:right w:val="single" w:sz="6" w:space="0" w:color="auto"/>
            </w:tcBorders>
          </w:tcPr>
          <w:p w14:paraId="12AA5940" w14:textId="77777777" w:rsidR="00000000" w:rsidRDefault="00B4274B">
            <w:pPr>
              <w:spacing w:line="276" w:lineRule="auto"/>
              <w:rPr>
                <w:sz w:val="20"/>
                <w:szCs w:val="20"/>
                <w:lang w:val="uk-UA"/>
              </w:rPr>
            </w:pPr>
            <w:r>
              <w:rPr>
                <w:sz w:val="20"/>
                <w:szCs w:val="20"/>
                <w:lang w:val="uk-UA"/>
              </w:rPr>
              <w:t>Без змін</w:t>
            </w:r>
          </w:p>
        </w:tc>
        <w:tc>
          <w:tcPr>
            <w:tcW w:w="1230" w:type="dxa"/>
            <w:tcBorders>
              <w:top w:val="single" w:sz="6" w:space="0" w:color="auto"/>
              <w:left w:val="single" w:sz="6" w:space="0" w:color="auto"/>
              <w:bottom w:val="single" w:sz="6" w:space="0" w:color="auto"/>
              <w:right w:val="single" w:sz="6" w:space="0" w:color="auto"/>
            </w:tcBorders>
          </w:tcPr>
          <w:p w14:paraId="2C2EA413" w14:textId="77777777" w:rsidR="00000000" w:rsidRDefault="00B4274B">
            <w:pPr>
              <w:spacing w:line="276" w:lineRule="auto"/>
              <w:rPr>
                <w:sz w:val="20"/>
                <w:szCs w:val="20"/>
                <w:lang w:val="uk-UA"/>
              </w:rPr>
            </w:pPr>
            <w:r>
              <w:rPr>
                <w:sz w:val="20"/>
                <w:szCs w:val="20"/>
                <w:lang w:val="uk-UA"/>
              </w:rPr>
              <w:t>Без змін</w:t>
            </w:r>
          </w:p>
        </w:tc>
        <w:tc>
          <w:tcPr>
            <w:tcW w:w="1230" w:type="dxa"/>
            <w:tcBorders>
              <w:top w:val="single" w:sz="6" w:space="0" w:color="auto"/>
              <w:left w:val="single" w:sz="6" w:space="0" w:color="auto"/>
              <w:bottom w:val="single" w:sz="6" w:space="0" w:color="auto"/>
              <w:right w:val="single" w:sz="6" w:space="0" w:color="auto"/>
            </w:tcBorders>
          </w:tcPr>
          <w:p w14:paraId="14592CBF" w14:textId="77777777" w:rsidR="00000000" w:rsidRDefault="00B4274B">
            <w:pPr>
              <w:spacing w:line="276" w:lineRule="auto"/>
              <w:rPr>
                <w:sz w:val="20"/>
                <w:szCs w:val="20"/>
                <w:lang w:val="uk-UA"/>
              </w:rPr>
            </w:pPr>
            <w:r>
              <w:rPr>
                <w:sz w:val="20"/>
                <w:szCs w:val="20"/>
                <w:lang w:val="uk-UA"/>
              </w:rPr>
              <w:t>Застосовувати з обережністю</w:t>
            </w:r>
          </w:p>
        </w:tc>
        <w:tc>
          <w:tcPr>
            <w:tcW w:w="1091" w:type="dxa"/>
            <w:tcBorders>
              <w:top w:val="single" w:sz="6" w:space="0" w:color="auto"/>
              <w:left w:val="single" w:sz="6" w:space="0" w:color="auto"/>
              <w:bottom w:val="single" w:sz="6" w:space="0" w:color="auto"/>
              <w:right w:val="single" w:sz="6" w:space="0" w:color="auto"/>
            </w:tcBorders>
          </w:tcPr>
          <w:p w14:paraId="3C164592" w14:textId="77777777" w:rsidR="00000000" w:rsidRDefault="00B4274B">
            <w:pPr>
              <w:spacing w:line="276" w:lineRule="auto"/>
              <w:rPr>
                <w:sz w:val="20"/>
                <w:szCs w:val="20"/>
                <w:lang w:val="uk-UA"/>
              </w:rPr>
            </w:pPr>
            <w:r>
              <w:rPr>
                <w:sz w:val="20"/>
                <w:szCs w:val="20"/>
                <w:lang w:val="uk-UA"/>
              </w:rPr>
              <w:t>Без змін</w:t>
            </w:r>
          </w:p>
        </w:tc>
      </w:tr>
      <w:tr w:rsidR="00000000" w14:paraId="0D3FFC76"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395956F4" w14:textId="77777777" w:rsidR="00000000" w:rsidRDefault="00B4274B">
            <w:pPr>
              <w:spacing w:line="276" w:lineRule="auto"/>
              <w:rPr>
                <w:sz w:val="20"/>
                <w:szCs w:val="20"/>
                <w:lang w:val="uk-UA"/>
              </w:rPr>
            </w:pPr>
            <w:r>
              <w:rPr>
                <w:sz w:val="20"/>
                <w:szCs w:val="20"/>
                <w:lang w:val="uk-UA"/>
              </w:rPr>
              <w:t>Вз</w:t>
            </w:r>
            <w:r>
              <w:rPr>
                <w:sz w:val="20"/>
                <w:szCs w:val="20"/>
                <w:lang w:val="uk-UA"/>
              </w:rPr>
              <w:t>аємодія  з лікарськими засобами</w:t>
            </w:r>
          </w:p>
        </w:tc>
        <w:tc>
          <w:tcPr>
            <w:tcW w:w="1210" w:type="dxa"/>
            <w:tcBorders>
              <w:top w:val="single" w:sz="6" w:space="0" w:color="auto"/>
              <w:left w:val="single" w:sz="6" w:space="0" w:color="auto"/>
              <w:bottom w:val="single" w:sz="6" w:space="0" w:color="auto"/>
              <w:right w:val="single" w:sz="6" w:space="0" w:color="auto"/>
            </w:tcBorders>
          </w:tcPr>
          <w:p w14:paraId="336994C6" w14:textId="77777777" w:rsidR="00000000" w:rsidRDefault="00B4274B">
            <w:pPr>
              <w:spacing w:line="276" w:lineRule="auto"/>
              <w:rPr>
                <w:sz w:val="20"/>
                <w:szCs w:val="20"/>
                <w:lang w:val="uk-UA"/>
              </w:rPr>
            </w:pPr>
            <w:r>
              <w:rPr>
                <w:sz w:val="20"/>
                <w:szCs w:val="20"/>
                <w:lang w:val="uk-UA"/>
              </w:rPr>
              <w:t>Немає</w:t>
            </w:r>
          </w:p>
        </w:tc>
        <w:tc>
          <w:tcPr>
            <w:tcW w:w="1113" w:type="dxa"/>
            <w:tcBorders>
              <w:top w:val="single" w:sz="6" w:space="0" w:color="auto"/>
              <w:left w:val="single" w:sz="6" w:space="0" w:color="auto"/>
              <w:bottom w:val="single" w:sz="6" w:space="0" w:color="auto"/>
              <w:right w:val="single" w:sz="6" w:space="0" w:color="auto"/>
            </w:tcBorders>
          </w:tcPr>
          <w:p w14:paraId="747D4A5E" w14:textId="77777777" w:rsidR="00000000" w:rsidRDefault="00B4274B">
            <w:pPr>
              <w:spacing w:line="276" w:lineRule="auto"/>
              <w:rPr>
                <w:sz w:val="20"/>
                <w:szCs w:val="20"/>
                <w:lang w:val="uk-UA"/>
              </w:rPr>
            </w:pPr>
            <w:r>
              <w:rPr>
                <w:sz w:val="20"/>
                <w:szCs w:val="20"/>
                <w:lang w:val="uk-UA"/>
              </w:rPr>
              <w:t>Рифампіцин,  флюконазол</w:t>
            </w:r>
          </w:p>
        </w:tc>
        <w:tc>
          <w:tcPr>
            <w:tcW w:w="943" w:type="dxa"/>
            <w:tcBorders>
              <w:top w:val="single" w:sz="6" w:space="0" w:color="auto"/>
              <w:left w:val="single" w:sz="6" w:space="0" w:color="auto"/>
              <w:bottom w:val="single" w:sz="6" w:space="0" w:color="auto"/>
              <w:right w:val="single" w:sz="6" w:space="0" w:color="auto"/>
            </w:tcBorders>
          </w:tcPr>
          <w:p w14:paraId="059ADB35" w14:textId="77777777" w:rsidR="00000000" w:rsidRDefault="00B4274B">
            <w:pPr>
              <w:spacing w:line="276" w:lineRule="auto"/>
              <w:rPr>
                <w:sz w:val="20"/>
                <w:szCs w:val="20"/>
                <w:lang w:val="uk-UA"/>
              </w:rPr>
            </w:pPr>
            <w:r>
              <w:rPr>
                <w:sz w:val="20"/>
                <w:szCs w:val="20"/>
                <w:lang w:val="uk-UA"/>
              </w:rPr>
              <w:t>Немає</w:t>
            </w:r>
          </w:p>
        </w:tc>
        <w:tc>
          <w:tcPr>
            <w:tcW w:w="1134" w:type="dxa"/>
            <w:tcBorders>
              <w:top w:val="single" w:sz="6" w:space="0" w:color="auto"/>
              <w:left w:val="single" w:sz="6" w:space="0" w:color="auto"/>
              <w:bottom w:val="single" w:sz="6" w:space="0" w:color="auto"/>
              <w:right w:val="single" w:sz="6" w:space="0" w:color="auto"/>
            </w:tcBorders>
          </w:tcPr>
          <w:p w14:paraId="20D838D4" w14:textId="77777777" w:rsidR="00000000" w:rsidRDefault="00B4274B">
            <w:pPr>
              <w:spacing w:line="276" w:lineRule="auto"/>
              <w:rPr>
                <w:sz w:val="20"/>
                <w:szCs w:val="20"/>
                <w:lang w:val="uk-UA"/>
              </w:rPr>
            </w:pPr>
            <w:r>
              <w:rPr>
                <w:sz w:val="20"/>
                <w:szCs w:val="20"/>
                <w:lang w:val="uk-UA"/>
              </w:rPr>
              <w:t>Ніфедипін?</w:t>
            </w:r>
          </w:p>
        </w:tc>
        <w:tc>
          <w:tcPr>
            <w:tcW w:w="1230" w:type="dxa"/>
            <w:tcBorders>
              <w:top w:val="single" w:sz="6" w:space="0" w:color="auto"/>
              <w:left w:val="single" w:sz="6" w:space="0" w:color="auto"/>
              <w:bottom w:val="single" w:sz="6" w:space="0" w:color="auto"/>
              <w:right w:val="single" w:sz="6" w:space="0" w:color="auto"/>
            </w:tcBorders>
          </w:tcPr>
          <w:p w14:paraId="2208D5D0" w14:textId="77777777" w:rsidR="00000000" w:rsidRDefault="00B4274B">
            <w:pPr>
              <w:spacing w:line="276" w:lineRule="auto"/>
              <w:rPr>
                <w:sz w:val="20"/>
                <w:szCs w:val="20"/>
                <w:lang w:val="uk-UA"/>
              </w:rPr>
            </w:pPr>
            <w:r>
              <w:rPr>
                <w:sz w:val="20"/>
                <w:szCs w:val="20"/>
                <w:lang w:val="uk-UA"/>
              </w:rPr>
              <w:t>Немає</w:t>
            </w:r>
          </w:p>
        </w:tc>
        <w:tc>
          <w:tcPr>
            <w:tcW w:w="1230" w:type="dxa"/>
            <w:tcBorders>
              <w:top w:val="single" w:sz="6" w:space="0" w:color="auto"/>
              <w:left w:val="single" w:sz="6" w:space="0" w:color="auto"/>
              <w:bottom w:val="single" w:sz="6" w:space="0" w:color="auto"/>
              <w:right w:val="single" w:sz="6" w:space="0" w:color="auto"/>
            </w:tcBorders>
          </w:tcPr>
          <w:p w14:paraId="47FF5A43" w14:textId="77777777" w:rsidR="00000000" w:rsidRDefault="00B4274B">
            <w:pPr>
              <w:spacing w:line="276" w:lineRule="auto"/>
              <w:rPr>
                <w:sz w:val="20"/>
                <w:szCs w:val="20"/>
                <w:lang w:val="uk-UA"/>
              </w:rPr>
            </w:pPr>
            <w:r>
              <w:rPr>
                <w:sz w:val="20"/>
                <w:szCs w:val="20"/>
                <w:lang w:val="uk-UA"/>
              </w:rPr>
              <w:t>Дігоксин</w:t>
            </w:r>
          </w:p>
        </w:tc>
        <w:tc>
          <w:tcPr>
            <w:tcW w:w="1091" w:type="dxa"/>
            <w:tcBorders>
              <w:top w:val="single" w:sz="6" w:space="0" w:color="auto"/>
              <w:left w:val="single" w:sz="6" w:space="0" w:color="auto"/>
              <w:bottom w:val="single" w:sz="6" w:space="0" w:color="auto"/>
              <w:right w:val="single" w:sz="6" w:space="0" w:color="auto"/>
            </w:tcBorders>
          </w:tcPr>
          <w:p w14:paraId="2A36A40B" w14:textId="77777777" w:rsidR="00000000" w:rsidRDefault="00B4274B">
            <w:pPr>
              <w:spacing w:line="276" w:lineRule="auto"/>
              <w:rPr>
                <w:sz w:val="20"/>
                <w:szCs w:val="20"/>
                <w:lang w:val="uk-UA"/>
              </w:rPr>
            </w:pPr>
            <w:r>
              <w:rPr>
                <w:sz w:val="20"/>
                <w:szCs w:val="20"/>
                <w:lang w:val="uk-UA"/>
              </w:rPr>
              <w:t>Немає</w:t>
            </w:r>
          </w:p>
        </w:tc>
      </w:tr>
      <w:tr w:rsidR="00000000" w14:paraId="5A149FFE" w14:textId="77777777">
        <w:tblPrEx>
          <w:tblCellMar>
            <w:top w:w="0" w:type="dxa"/>
            <w:bottom w:w="0" w:type="dxa"/>
          </w:tblCellMar>
        </w:tblPrEx>
        <w:tc>
          <w:tcPr>
            <w:tcW w:w="1237" w:type="dxa"/>
            <w:tcBorders>
              <w:top w:val="single" w:sz="6" w:space="0" w:color="auto"/>
              <w:left w:val="single" w:sz="6" w:space="0" w:color="auto"/>
              <w:bottom w:val="single" w:sz="6" w:space="0" w:color="auto"/>
              <w:right w:val="single" w:sz="6" w:space="0" w:color="auto"/>
            </w:tcBorders>
          </w:tcPr>
          <w:p w14:paraId="6AC4F2C3" w14:textId="77777777" w:rsidR="00000000" w:rsidRDefault="00B4274B">
            <w:pPr>
              <w:spacing w:line="276" w:lineRule="auto"/>
              <w:rPr>
                <w:sz w:val="20"/>
                <w:szCs w:val="20"/>
                <w:lang w:val="uk-UA"/>
              </w:rPr>
            </w:pPr>
            <w:r>
              <w:rPr>
                <w:sz w:val="20"/>
                <w:szCs w:val="20"/>
                <w:lang w:val="uk-UA"/>
              </w:rPr>
              <w:t>Підтримувальна доза, мг</w:t>
            </w:r>
          </w:p>
        </w:tc>
        <w:tc>
          <w:tcPr>
            <w:tcW w:w="1210" w:type="dxa"/>
            <w:tcBorders>
              <w:top w:val="single" w:sz="6" w:space="0" w:color="auto"/>
              <w:left w:val="single" w:sz="6" w:space="0" w:color="auto"/>
              <w:bottom w:val="single" w:sz="6" w:space="0" w:color="auto"/>
              <w:right w:val="single" w:sz="6" w:space="0" w:color="auto"/>
            </w:tcBorders>
          </w:tcPr>
          <w:p w14:paraId="20A21003" w14:textId="77777777" w:rsidR="00000000" w:rsidRDefault="00B4274B">
            <w:pPr>
              <w:spacing w:line="276" w:lineRule="auto"/>
              <w:rPr>
                <w:sz w:val="20"/>
                <w:szCs w:val="20"/>
                <w:lang w:val="uk-UA"/>
              </w:rPr>
            </w:pPr>
            <w:r>
              <w:rPr>
                <w:sz w:val="20"/>
                <w:szCs w:val="20"/>
                <w:lang w:val="uk-UA"/>
              </w:rPr>
              <w:t>5-80</w:t>
            </w:r>
          </w:p>
        </w:tc>
        <w:tc>
          <w:tcPr>
            <w:tcW w:w="1113" w:type="dxa"/>
            <w:tcBorders>
              <w:top w:val="single" w:sz="6" w:space="0" w:color="auto"/>
              <w:left w:val="single" w:sz="6" w:space="0" w:color="auto"/>
              <w:bottom w:val="single" w:sz="6" w:space="0" w:color="auto"/>
              <w:right w:val="single" w:sz="6" w:space="0" w:color="auto"/>
            </w:tcBorders>
          </w:tcPr>
          <w:p w14:paraId="044D0F98" w14:textId="77777777" w:rsidR="00000000" w:rsidRDefault="00B4274B">
            <w:pPr>
              <w:spacing w:line="276" w:lineRule="auto"/>
              <w:rPr>
                <w:sz w:val="20"/>
                <w:szCs w:val="20"/>
                <w:lang w:val="uk-UA"/>
              </w:rPr>
            </w:pPr>
            <w:r>
              <w:rPr>
                <w:sz w:val="20"/>
                <w:szCs w:val="20"/>
                <w:lang w:val="uk-UA"/>
              </w:rPr>
              <w:t>50-100</w:t>
            </w:r>
          </w:p>
        </w:tc>
        <w:tc>
          <w:tcPr>
            <w:tcW w:w="943" w:type="dxa"/>
            <w:tcBorders>
              <w:top w:val="single" w:sz="6" w:space="0" w:color="auto"/>
              <w:left w:val="single" w:sz="6" w:space="0" w:color="auto"/>
              <w:bottom w:val="single" w:sz="6" w:space="0" w:color="auto"/>
              <w:right w:val="single" w:sz="6" w:space="0" w:color="auto"/>
            </w:tcBorders>
          </w:tcPr>
          <w:p w14:paraId="1B5BFF28" w14:textId="77777777" w:rsidR="00000000" w:rsidRDefault="00B4274B">
            <w:pPr>
              <w:spacing w:line="276" w:lineRule="auto"/>
              <w:rPr>
                <w:sz w:val="20"/>
                <w:szCs w:val="20"/>
                <w:lang w:val="uk-UA"/>
              </w:rPr>
            </w:pPr>
            <w:r>
              <w:rPr>
                <w:sz w:val="20"/>
                <w:szCs w:val="20"/>
                <w:lang w:val="uk-UA"/>
              </w:rPr>
              <w:t>80-160</w:t>
            </w:r>
          </w:p>
        </w:tc>
        <w:tc>
          <w:tcPr>
            <w:tcW w:w="1134" w:type="dxa"/>
            <w:tcBorders>
              <w:top w:val="single" w:sz="6" w:space="0" w:color="auto"/>
              <w:left w:val="single" w:sz="6" w:space="0" w:color="auto"/>
              <w:bottom w:val="single" w:sz="6" w:space="0" w:color="auto"/>
              <w:right w:val="single" w:sz="6" w:space="0" w:color="auto"/>
            </w:tcBorders>
          </w:tcPr>
          <w:p w14:paraId="33585934" w14:textId="77777777" w:rsidR="00000000" w:rsidRDefault="00B4274B">
            <w:pPr>
              <w:spacing w:line="276" w:lineRule="auto"/>
              <w:rPr>
                <w:sz w:val="20"/>
                <w:szCs w:val="20"/>
                <w:lang w:val="uk-UA"/>
              </w:rPr>
            </w:pPr>
            <w:r>
              <w:rPr>
                <w:sz w:val="20"/>
                <w:szCs w:val="20"/>
                <w:lang w:val="uk-UA"/>
              </w:rPr>
              <w:t>150-300</w:t>
            </w:r>
          </w:p>
        </w:tc>
        <w:tc>
          <w:tcPr>
            <w:tcW w:w="1230" w:type="dxa"/>
            <w:tcBorders>
              <w:top w:val="single" w:sz="6" w:space="0" w:color="auto"/>
              <w:left w:val="single" w:sz="6" w:space="0" w:color="auto"/>
              <w:bottom w:val="single" w:sz="6" w:space="0" w:color="auto"/>
              <w:right w:val="single" w:sz="6" w:space="0" w:color="auto"/>
            </w:tcBorders>
          </w:tcPr>
          <w:p w14:paraId="5F62F828" w14:textId="77777777" w:rsidR="00000000" w:rsidRDefault="00B4274B">
            <w:pPr>
              <w:spacing w:line="276" w:lineRule="auto"/>
              <w:rPr>
                <w:sz w:val="20"/>
                <w:szCs w:val="20"/>
                <w:lang w:val="uk-UA"/>
              </w:rPr>
            </w:pPr>
            <w:r>
              <w:rPr>
                <w:sz w:val="20"/>
                <w:szCs w:val="20"/>
                <w:lang w:val="uk-UA"/>
              </w:rPr>
              <w:t>8-16</w:t>
            </w:r>
          </w:p>
        </w:tc>
        <w:tc>
          <w:tcPr>
            <w:tcW w:w="1230" w:type="dxa"/>
            <w:tcBorders>
              <w:top w:val="single" w:sz="6" w:space="0" w:color="auto"/>
              <w:left w:val="single" w:sz="6" w:space="0" w:color="auto"/>
              <w:bottom w:val="single" w:sz="6" w:space="0" w:color="auto"/>
              <w:right w:val="single" w:sz="6" w:space="0" w:color="auto"/>
            </w:tcBorders>
          </w:tcPr>
          <w:p w14:paraId="72D6EF52" w14:textId="77777777" w:rsidR="00000000" w:rsidRDefault="00B4274B">
            <w:pPr>
              <w:spacing w:line="276" w:lineRule="auto"/>
              <w:rPr>
                <w:sz w:val="20"/>
                <w:szCs w:val="20"/>
                <w:lang w:val="uk-UA"/>
              </w:rPr>
            </w:pPr>
            <w:r>
              <w:rPr>
                <w:sz w:val="20"/>
                <w:szCs w:val="20"/>
                <w:lang w:val="uk-UA"/>
              </w:rPr>
              <w:t>40-80</w:t>
            </w:r>
          </w:p>
        </w:tc>
        <w:tc>
          <w:tcPr>
            <w:tcW w:w="1091" w:type="dxa"/>
            <w:tcBorders>
              <w:top w:val="single" w:sz="6" w:space="0" w:color="auto"/>
              <w:left w:val="single" w:sz="6" w:space="0" w:color="auto"/>
              <w:bottom w:val="single" w:sz="6" w:space="0" w:color="auto"/>
              <w:right w:val="single" w:sz="6" w:space="0" w:color="auto"/>
            </w:tcBorders>
          </w:tcPr>
          <w:p w14:paraId="3AA7FFFF" w14:textId="77777777" w:rsidR="00000000" w:rsidRDefault="00B4274B">
            <w:pPr>
              <w:spacing w:line="276" w:lineRule="auto"/>
              <w:rPr>
                <w:sz w:val="20"/>
                <w:szCs w:val="20"/>
                <w:lang w:val="uk-UA"/>
              </w:rPr>
            </w:pPr>
            <w:r>
              <w:rPr>
                <w:sz w:val="20"/>
                <w:szCs w:val="20"/>
                <w:lang w:val="uk-UA"/>
              </w:rPr>
              <w:t>400-800</w:t>
            </w:r>
          </w:p>
        </w:tc>
      </w:tr>
    </w:tbl>
    <w:p w14:paraId="644AC29D" w14:textId="77777777" w:rsidR="00000000" w:rsidRDefault="00B4274B">
      <w:pPr>
        <w:shd w:val="clear" w:color="auto" w:fill="FFFFFF"/>
        <w:spacing w:line="360" w:lineRule="auto"/>
        <w:ind w:firstLine="709"/>
        <w:jc w:val="both"/>
        <w:rPr>
          <w:sz w:val="28"/>
          <w:szCs w:val="28"/>
          <w:lang w:val="uk-UA"/>
        </w:rPr>
      </w:pPr>
    </w:p>
    <w:p w14:paraId="2318FE18" w14:textId="77777777" w:rsidR="00000000" w:rsidRDefault="00B4274B">
      <w:pPr>
        <w:pStyle w:val="1"/>
        <w:spacing w:line="360" w:lineRule="auto"/>
        <w:ind w:firstLine="709"/>
        <w:jc w:val="both"/>
        <w:rPr>
          <w:sz w:val="28"/>
          <w:szCs w:val="28"/>
          <w:lang w:val="uk-UA"/>
        </w:rPr>
      </w:pPr>
      <w:r>
        <w:rPr>
          <w:sz w:val="28"/>
          <w:szCs w:val="28"/>
          <w:lang w:val="uk-UA"/>
        </w:rPr>
        <w:t>ОСОБЛИВОСТІ ВЗАЄМОДІЇ ПРЕПАРАТА «КОЗААР» З ЇЖЕЮ</w:t>
      </w:r>
    </w:p>
    <w:p w14:paraId="10D89844" w14:textId="77777777" w:rsidR="00000000" w:rsidRDefault="00B4274B">
      <w:pPr>
        <w:shd w:val="clear" w:color="auto" w:fill="FFFFFF"/>
        <w:spacing w:line="360" w:lineRule="auto"/>
        <w:ind w:firstLine="709"/>
        <w:jc w:val="both"/>
        <w:rPr>
          <w:sz w:val="28"/>
          <w:szCs w:val="28"/>
          <w:lang w:val="uk-UA"/>
        </w:rPr>
      </w:pPr>
    </w:p>
    <w:p w14:paraId="60562F5C" w14:textId="77777777" w:rsidR="00000000" w:rsidRDefault="00B4274B">
      <w:pPr>
        <w:shd w:val="clear" w:color="auto" w:fill="FFFFFF"/>
        <w:spacing w:line="360" w:lineRule="auto"/>
        <w:ind w:firstLine="709"/>
        <w:jc w:val="both"/>
        <w:rPr>
          <w:sz w:val="28"/>
          <w:szCs w:val="28"/>
          <w:lang w:val="uk-UA"/>
        </w:rPr>
      </w:pPr>
      <w:r>
        <w:rPr>
          <w:sz w:val="28"/>
          <w:szCs w:val="28"/>
          <w:lang w:val="uk-UA"/>
        </w:rPr>
        <w:t xml:space="preserve">Препарат «козаар» (інструкція із </w:t>
      </w:r>
      <w:r>
        <w:rPr>
          <w:sz w:val="28"/>
          <w:szCs w:val="28"/>
          <w:lang w:val="uk-UA"/>
        </w:rPr>
        <w:t>застосування це підтверджує) добре всмоктується, метаболізується, при цьому утворюється активне похідне, розподіляється він практично рівномірно.</w:t>
      </w:r>
    </w:p>
    <w:p w14:paraId="6563C146" w14:textId="77777777" w:rsidR="00000000" w:rsidRDefault="00B4274B">
      <w:pPr>
        <w:shd w:val="clear" w:color="auto" w:fill="FFFFFF"/>
        <w:spacing w:line="360" w:lineRule="auto"/>
        <w:ind w:firstLine="709"/>
        <w:jc w:val="both"/>
        <w:rPr>
          <w:sz w:val="28"/>
          <w:szCs w:val="28"/>
          <w:lang w:val="uk-UA"/>
        </w:rPr>
      </w:pPr>
      <w:r>
        <w:rPr>
          <w:sz w:val="28"/>
          <w:szCs w:val="28"/>
          <w:lang w:val="uk-UA"/>
        </w:rPr>
        <w:t xml:space="preserve">Максимально можливий гіпотензивний ефект досягається зазвичай тільки після трьох, в крайньому випадку , шести </w:t>
      </w:r>
      <w:r>
        <w:rPr>
          <w:sz w:val="28"/>
          <w:szCs w:val="28"/>
          <w:lang w:val="uk-UA"/>
        </w:rPr>
        <w:t>тижнів лікування. Як і будь-яке інше засіб, препарат «козаар» інструкція рекомендує приймати відповідно деякими правилами дозування. Робити це потрібно одноразово, причому, незалежно від прийому їжі. Ліки приймається всередину, як правило, по 50 міліграмів</w:t>
      </w:r>
      <w:r>
        <w:rPr>
          <w:sz w:val="28"/>
          <w:szCs w:val="28"/>
          <w:lang w:val="uk-UA"/>
        </w:rPr>
        <w:t xml:space="preserve"> за одну добу. Але якщо існує така необхідність, допускається збільшення дози до 100 міліграмів. Якщо у пацієнта спостерігається дегідратація, то препарат «козаар» інструкція із застосування рекомендує приймати по 25 міліграмів на добу. А для людей, які ма</w:t>
      </w:r>
      <w:r>
        <w:rPr>
          <w:sz w:val="28"/>
          <w:szCs w:val="28"/>
          <w:lang w:val="uk-UA"/>
        </w:rPr>
        <w:t>ють серцеву недостатність, доза і того менше - всього 12,5 міліграмів. Пацієнтам, які страждають порушеннями функцій печінки, потрібно мінімальна кількість засобу. Корекція початкової дози потрібно і людям похилого віку.</w:t>
      </w:r>
    </w:p>
    <w:p w14:paraId="3EFA8700" w14:textId="77777777" w:rsidR="00000000" w:rsidRDefault="00B4274B">
      <w:pPr>
        <w:shd w:val="clear" w:color="auto" w:fill="FFFFFF"/>
        <w:spacing w:line="360" w:lineRule="auto"/>
        <w:ind w:firstLine="709"/>
        <w:jc w:val="both"/>
        <w:rPr>
          <w:sz w:val="28"/>
          <w:szCs w:val="28"/>
          <w:lang w:val="uk-UA"/>
        </w:rPr>
      </w:pPr>
      <w:r>
        <w:rPr>
          <w:sz w:val="28"/>
          <w:szCs w:val="28"/>
          <w:lang w:val="uk-UA"/>
        </w:rPr>
        <w:t>Багато висловлюють свої думки з при</w:t>
      </w:r>
      <w:r>
        <w:rPr>
          <w:sz w:val="28"/>
          <w:szCs w:val="28"/>
          <w:lang w:val="uk-UA"/>
        </w:rPr>
        <w:t>воду препарату «козаар», відгуки такі, що його зручно приймати, адже робити це можна незалежно від прийому будь-якої їжі. Крім того, його призначають паралельно з іншими антигіпертензивними препаратами.</w:t>
      </w:r>
    </w:p>
    <w:p w14:paraId="2C19EC69" w14:textId="77777777" w:rsidR="00000000" w:rsidRDefault="00B4274B">
      <w:pPr>
        <w:spacing w:line="360" w:lineRule="auto"/>
        <w:ind w:firstLine="709"/>
        <w:jc w:val="both"/>
        <w:rPr>
          <w:sz w:val="28"/>
          <w:szCs w:val="28"/>
          <w:lang w:val="uk-UA"/>
        </w:rPr>
      </w:pPr>
      <w:r>
        <w:rPr>
          <w:sz w:val="28"/>
          <w:szCs w:val="28"/>
          <w:lang w:val="uk-UA"/>
        </w:rPr>
        <w:br w:type="page"/>
      </w:r>
    </w:p>
    <w:p w14:paraId="798F30B6" w14:textId="77777777" w:rsidR="00000000" w:rsidRDefault="00B4274B">
      <w:pPr>
        <w:spacing w:line="360" w:lineRule="auto"/>
        <w:ind w:firstLine="709"/>
        <w:jc w:val="both"/>
        <w:rPr>
          <w:sz w:val="28"/>
          <w:szCs w:val="28"/>
          <w:lang w:val="uk-UA"/>
        </w:rPr>
      </w:pPr>
      <w:r>
        <w:rPr>
          <w:sz w:val="28"/>
          <w:szCs w:val="28"/>
          <w:lang w:val="uk-UA"/>
        </w:rPr>
        <w:t>ПЕРЕЛІК ВИКОРИСТАНОЇ ЛІТЕРАТУРИ</w:t>
      </w:r>
    </w:p>
    <w:p w14:paraId="054CBBA5" w14:textId="77777777" w:rsidR="00000000" w:rsidRDefault="00B4274B">
      <w:pPr>
        <w:spacing w:line="360" w:lineRule="auto"/>
        <w:ind w:firstLine="709"/>
        <w:jc w:val="both"/>
        <w:rPr>
          <w:sz w:val="28"/>
          <w:szCs w:val="28"/>
          <w:lang w:val="uk-UA"/>
        </w:rPr>
      </w:pPr>
    </w:p>
    <w:p w14:paraId="6BC7506D" w14:textId="77777777" w:rsidR="00000000" w:rsidRDefault="00B4274B">
      <w:pPr>
        <w:spacing w:line="360" w:lineRule="auto"/>
        <w:jc w:val="both"/>
        <w:rPr>
          <w:sz w:val="28"/>
          <w:szCs w:val="28"/>
          <w:lang w:val="uk-UA"/>
        </w:rPr>
      </w:pPr>
      <w:r>
        <w:rPr>
          <w:sz w:val="28"/>
          <w:szCs w:val="28"/>
          <w:lang w:val="uk-UA"/>
        </w:rPr>
        <w:t>1.</w:t>
      </w:r>
      <w:r>
        <w:rPr>
          <w:sz w:val="28"/>
          <w:szCs w:val="28"/>
          <w:lang w:val="uk-UA"/>
        </w:rPr>
        <w:tab/>
      </w:r>
      <w:r>
        <w:rPr>
          <w:sz w:val="28"/>
          <w:szCs w:val="28"/>
          <w:lang w:val="uk-UA"/>
        </w:rPr>
        <w:t>De Gasparo M., Siragy H.M. The AT2 receptor: fact, fancy and fantasy // Regul. Pept. - 1999 May 31. - 81(1-3). - 11-24.</w:t>
      </w:r>
    </w:p>
    <w:p w14:paraId="58655B3C" w14:textId="77777777" w:rsidR="00000000" w:rsidRDefault="00B4274B">
      <w:pPr>
        <w:spacing w:line="360" w:lineRule="auto"/>
        <w:jc w:val="both"/>
        <w:rPr>
          <w:sz w:val="28"/>
          <w:szCs w:val="28"/>
          <w:lang w:val="uk-UA"/>
        </w:rPr>
      </w:pPr>
      <w:r>
        <w:rPr>
          <w:sz w:val="28"/>
          <w:szCs w:val="28"/>
          <w:lang w:val="uk-UA"/>
        </w:rPr>
        <w:t>.</w:t>
      </w:r>
      <w:r>
        <w:rPr>
          <w:sz w:val="28"/>
          <w:szCs w:val="28"/>
          <w:lang w:val="uk-UA"/>
        </w:rPr>
        <w:tab/>
        <w:t xml:space="preserve">Sipahi I., Debanne S.M., Rowland D.Y. et al. Angiotensin-receptor blockade and risk of cancer: meta-analysis of randomised controlled </w:t>
      </w:r>
      <w:r>
        <w:rPr>
          <w:sz w:val="28"/>
          <w:szCs w:val="28"/>
          <w:lang w:val="uk-UA"/>
        </w:rPr>
        <w:t>trials // Lancet Oncol. - 2010 Jul. - 11(7). - 627-36. Epub 2010 Jun 11.</w:t>
      </w:r>
    </w:p>
    <w:p w14:paraId="4369ED88" w14:textId="77777777" w:rsidR="00000000" w:rsidRDefault="00B4274B">
      <w:pPr>
        <w:spacing w:line="360" w:lineRule="auto"/>
        <w:jc w:val="both"/>
        <w:rPr>
          <w:sz w:val="28"/>
          <w:szCs w:val="28"/>
          <w:lang w:val="uk-UA"/>
        </w:rPr>
      </w:pPr>
      <w:r>
        <w:rPr>
          <w:sz w:val="28"/>
          <w:szCs w:val="28"/>
          <w:lang w:val="uk-UA"/>
        </w:rPr>
        <w:t>.</w:t>
      </w:r>
      <w:r>
        <w:rPr>
          <w:sz w:val="28"/>
          <w:szCs w:val="28"/>
          <w:lang w:val="uk-UA"/>
        </w:rPr>
        <w:tab/>
        <w:t>Urata H., Healy B., Stewart R.W. et al. Angiotensin II-forming pathways in normal and failing human hearts // Circ. Res. - 1990 Apr. - 66(4). - 883-90.</w:t>
      </w:r>
    </w:p>
    <w:p w14:paraId="51CA40FD" w14:textId="77777777" w:rsidR="00000000" w:rsidRDefault="00B4274B">
      <w:pPr>
        <w:spacing w:line="360" w:lineRule="auto"/>
        <w:jc w:val="both"/>
        <w:rPr>
          <w:sz w:val="28"/>
          <w:szCs w:val="28"/>
          <w:lang w:val="uk-UA"/>
        </w:rPr>
      </w:pPr>
      <w:r>
        <w:rPr>
          <w:sz w:val="28"/>
          <w:szCs w:val="28"/>
          <w:lang w:val="uk-UA"/>
        </w:rPr>
        <w:t>.</w:t>
      </w:r>
      <w:r>
        <w:rPr>
          <w:sz w:val="28"/>
          <w:szCs w:val="28"/>
          <w:lang w:val="uk-UA"/>
        </w:rPr>
        <w:tab/>
        <w:t>Van den Meiracker A.H., Man</w:t>
      </w:r>
      <w:r>
        <w:rPr>
          <w:sz w:val="28"/>
          <w:szCs w:val="28"/>
          <w:lang w:val="uk-UA"/>
        </w:rPr>
        <w:t xml:space="preserve"> in’t Veld A.J., Admiraal P.J. et al. Partial escape of angiotensin converting enzyme (ACE) inhibition during prolonged ACE inhibitor treatment: does it exist and does it affect the antihypertensive response? // J. Hypertens. - 1992 Aug. - 10(8). - 803-12.</w:t>
      </w:r>
    </w:p>
    <w:p w14:paraId="572C07CB" w14:textId="77777777" w:rsidR="00000000" w:rsidRDefault="00B4274B">
      <w:pPr>
        <w:spacing w:line="360" w:lineRule="auto"/>
        <w:jc w:val="both"/>
        <w:rPr>
          <w:sz w:val="28"/>
          <w:szCs w:val="28"/>
          <w:lang w:val="uk-UA"/>
        </w:rPr>
      </w:pPr>
      <w:r>
        <w:rPr>
          <w:sz w:val="28"/>
          <w:szCs w:val="28"/>
          <w:lang w:val="uk-UA"/>
        </w:rPr>
        <w:t>.</w:t>
      </w:r>
      <w:r>
        <w:rPr>
          <w:sz w:val="28"/>
          <w:szCs w:val="28"/>
          <w:lang w:val="uk-UA"/>
        </w:rPr>
        <w:tab/>
        <w:t>Barra S., Vitagliano A., Cuomo V. et al. Vascular and metabolic effects of angiotensin II receptor blockers // Expert Opin. Pharmacother. - 2009 Feb. - 10(2). - 173-89.</w:t>
      </w:r>
    </w:p>
    <w:p w14:paraId="4F33E770" w14:textId="77777777" w:rsidR="00000000" w:rsidRDefault="00B4274B">
      <w:pPr>
        <w:spacing w:line="360" w:lineRule="auto"/>
        <w:jc w:val="both"/>
        <w:rPr>
          <w:sz w:val="28"/>
          <w:szCs w:val="28"/>
          <w:lang w:val="uk-UA"/>
        </w:rPr>
      </w:pPr>
      <w:r>
        <w:rPr>
          <w:sz w:val="28"/>
          <w:szCs w:val="28"/>
          <w:lang w:val="uk-UA"/>
        </w:rPr>
        <w:t>.</w:t>
      </w:r>
      <w:r>
        <w:rPr>
          <w:sz w:val="28"/>
          <w:szCs w:val="28"/>
          <w:lang w:val="uk-UA"/>
        </w:rPr>
        <w:tab/>
        <w:t xml:space="preserve">Heran B.S., Wong M.M.Y., Heran I.K., Wright J.M. Blood pressure lowering efficacy </w:t>
      </w:r>
      <w:r>
        <w:rPr>
          <w:sz w:val="28"/>
          <w:szCs w:val="28"/>
          <w:lang w:val="uk-UA"/>
        </w:rPr>
        <w:t>of angiotensin receptor blockers for primary hypertension // The Cochrane Library. - 2009. - 4. - P. 1-152.</w:t>
      </w:r>
    </w:p>
    <w:p w14:paraId="154294B9" w14:textId="77777777" w:rsidR="00000000" w:rsidRDefault="00B4274B">
      <w:pPr>
        <w:spacing w:line="360" w:lineRule="auto"/>
        <w:jc w:val="both"/>
        <w:rPr>
          <w:sz w:val="28"/>
          <w:szCs w:val="28"/>
          <w:lang w:val="uk-UA"/>
        </w:rPr>
      </w:pPr>
      <w:r>
        <w:rPr>
          <w:sz w:val="28"/>
          <w:szCs w:val="28"/>
          <w:lang w:val="uk-UA"/>
        </w:rPr>
        <w:t>.</w:t>
      </w:r>
      <w:r>
        <w:rPr>
          <w:sz w:val="28"/>
          <w:szCs w:val="28"/>
          <w:lang w:val="uk-UA"/>
        </w:rPr>
        <w:tab/>
        <w:t xml:space="preserve">Friedman O., McAlister F.A., Yun L. et al. Canadian Hypertension Education Program Outcomes Research Taskforce. Antihypertensive drug persistence </w:t>
      </w:r>
      <w:r>
        <w:rPr>
          <w:sz w:val="28"/>
          <w:szCs w:val="28"/>
          <w:lang w:val="uk-UA"/>
        </w:rPr>
        <w:t>and compliance among newly treated elderly hypertensives in Ontario // Am. J. Med. - 2010 Feb. - 123(2). - 173-81.</w:t>
      </w:r>
    </w:p>
    <w:p w14:paraId="3650394D" w14:textId="77777777" w:rsidR="00000000" w:rsidRDefault="00B4274B">
      <w:pPr>
        <w:spacing w:line="360" w:lineRule="auto"/>
        <w:jc w:val="both"/>
        <w:rPr>
          <w:sz w:val="28"/>
          <w:szCs w:val="28"/>
          <w:lang w:val="uk-UA"/>
        </w:rPr>
      </w:pPr>
      <w:r>
        <w:rPr>
          <w:sz w:val="28"/>
          <w:szCs w:val="28"/>
          <w:lang w:val="uk-UA"/>
        </w:rPr>
        <w:t>.</w:t>
      </w:r>
      <w:r>
        <w:rPr>
          <w:sz w:val="28"/>
          <w:szCs w:val="28"/>
          <w:lang w:val="uk-UA"/>
        </w:rPr>
        <w:tab/>
        <w:t>Mancia G., Seravalle G., Grassi G. Tolerability and treatment compliance with angiotensin II receptor antagonists // Am. J. Hypertens. - 20</w:t>
      </w:r>
      <w:r>
        <w:rPr>
          <w:sz w:val="28"/>
          <w:szCs w:val="28"/>
          <w:lang w:val="uk-UA"/>
        </w:rPr>
        <w:t>03 Dec. - 16(12). - 1066-73.</w:t>
      </w:r>
    </w:p>
    <w:p w14:paraId="3EB30C60" w14:textId="77777777" w:rsidR="00000000" w:rsidRDefault="00B4274B">
      <w:pPr>
        <w:spacing w:line="360" w:lineRule="auto"/>
        <w:jc w:val="both"/>
        <w:rPr>
          <w:sz w:val="28"/>
          <w:szCs w:val="28"/>
          <w:lang w:val="uk-UA"/>
        </w:rPr>
      </w:pPr>
      <w:r>
        <w:rPr>
          <w:sz w:val="28"/>
          <w:szCs w:val="28"/>
          <w:lang w:val="uk-UA"/>
        </w:rPr>
        <w:t>.</w:t>
      </w:r>
      <w:r>
        <w:rPr>
          <w:sz w:val="28"/>
          <w:szCs w:val="28"/>
          <w:lang w:val="uk-UA"/>
        </w:rPr>
        <w:tab/>
        <w:t>De Gasparo M., Bottari S., Levens N.R. Characteristics of angiotensin II receptors and their role in cell and organ physiology // Hypertension. Pathophysiology, Diagnosis, and Management / Laragh J.H., Brenner B.M., eds. - 2n</w:t>
      </w:r>
      <w:r>
        <w:rPr>
          <w:sz w:val="28"/>
          <w:szCs w:val="28"/>
          <w:lang w:val="uk-UA"/>
        </w:rPr>
        <w:t>d ed. - New York, NY: Raven Press, 1995. - Р. 1695-1720.</w:t>
      </w:r>
    </w:p>
    <w:p w14:paraId="75EE8AB3" w14:textId="77777777" w:rsidR="00000000" w:rsidRDefault="00B4274B">
      <w:pPr>
        <w:spacing w:line="360" w:lineRule="auto"/>
        <w:jc w:val="both"/>
        <w:rPr>
          <w:sz w:val="28"/>
          <w:szCs w:val="28"/>
          <w:lang w:val="uk-UA"/>
        </w:rPr>
      </w:pPr>
      <w:r>
        <w:rPr>
          <w:sz w:val="28"/>
          <w:szCs w:val="28"/>
          <w:lang w:val="uk-UA"/>
        </w:rPr>
        <w:t>.</w:t>
      </w:r>
      <w:r>
        <w:rPr>
          <w:sz w:val="28"/>
          <w:szCs w:val="28"/>
          <w:lang w:val="uk-UA"/>
        </w:rPr>
        <w:tab/>
        <w:t>Tocci G., Sciarretta S., Facciolo C. et al. Antihypertensive strategy based on angiotensin II receptor blockers: a new gateway to reduce risk in hypertension // Expert Rev. Cardiovasc. Ther. - 2007</w:t>
      </w:r>
      <w:r>
        <w:rPr>
          <w:sz w:val="28"/>
          <w:szCs w:val="28"/>
          <w:lang w:val="uk-UA"/>
        </w:rPr>
        <w:t xml:space="preserve"> Jul. - 5(4). - 767-76.</w:t>
      </w:r>
    </w:p>
    <w:p w14:paraId="5B4BEE56" w14:textId="77777777" w:rsidR="00000000" w:rsidRDefault="00B4274B">
      <w:pPr>
        <w:spacing w:line="360" w:lineRule="auto"/>
        <w:jc w:val="both"/>
        <w:rPr>
          <w:sz w:val="28"/>
          <w:szCs w:val="28"/>
          <w:lang w:val="uk-UA"/>
        </w:rPr>
      </w:pPr>
      <w:r>
        <w:rPr>
          <w:sz w:val="28"/>
          <w:szCs w:val="28"/>
          <w:lang w:val="uk-UA"/>
        </w:rPr>
        <w:t>.</w:t>
      </w:r>
      <w:r>
        <w:rPr>
          <w:sz w:val="28"/>
          <w:szCs w:val="28"/>
          <w:lang w:val="uk-UA"/>
        </w:rPr>
        <w:tab/>
        <w:t>DREAM (Diabetes REduction Assessment with ramipril and rosiglitazone Medication) Trial Investigators, Gerstein H.C., Yusuf S., Bosch J. et al.). Effect of rosiglitazone on the frequency of diabetes in patients with impaired glucos</w:t>
      </w:r>
      <w:r>
        <w:rPr>
          <w:sz w:val="28"/>
          <w:szCs w:val="28"/>
          <w:lang w:val="uk-UA"/>
        </w:rPr>
        <w:t>e tolerance or impaired fasting glucose: a randomised controlled trial // Lancet. - 2006 Sep 23. - 368(9541). - 1096-105.</w:t>
      </w:r>
    </w:p>
    <w:p w14:paraId="0B033615"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Лебедев А.А. Система ренин-ангиотензин // Соросовский образовательный журнал. - 1998. - №3. - С. 35-40.</w:t>
      </w:r>
    </w:p>
    <w:p w14:paraId="153E7921"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Кобалава Ж.Д. Эпросартан м</w:t>
      </w:r>
      <w:r>
        <w:rPr>
          <w:sz w:val="28"/>
          <w:szCs w:val="28"/>
          <w:lang w:val="uk-UA"/>
        </w:rPr>
        <w:t>езилат (Теветен) - новый блокатор рецепторов ангиотензина II. Клинические достижения и перспективы // Медицинская панорама. - 2003. - № 8. - С. 24-29.</w:t>
      </w:r>
    </w:p>
    <w:p w14:paraId="18B9B4FE" w14:textId="77777777" w:rsidR="00000000" w:rsidRDefault="00B4274B">
      <w:pPr>
        <w:spacing w:line="360" w:lineRule="auto"/>
        <w:jc w:val="both"/>
        <w:rPr>
          <w:sz w:val="28"/>
          <w:szCs w:val="28"/>
          <w:lang w:val="uk-UA"/>
        </w:rPr>
      </w:pPr>
      <w:r>
        <w:rPr>
          <w:sz w:val="28"/>
          <w:szCs w:val="28"/>
          <w:lang w:val="uk-UA"/>
        </w:rPr>
        <w:t>.</w:t>
      </w:r>
      <w:r>
        <w:rPr>
          <w:sz w:val="28"/>
          <w:szCs w:val="28"/>
          <w:lang w:val="uk-UA"/>
        </w:rPr>
        <w:tab/>
        <w:t xml:space="preserve">Schmieder R.E., Hilgers K.F., Schlaich M.P., Schmidt B.M.W. Renin-angiotenin system and cardiovascular </w:t>
      </w:r>
      <w:r>
        <w:rPr>
          <w:sz w:val="28"/>
          <w:szCs w:val="28"/>
          <w:lang w:val="uk-UA"/>
        </w:rPr>
        <w:t>risk // The Lancet. - 2007. - Vol. 369. - Iss. 9568. - P. 1208-1219.</w:t>
      </w:r>
    </w:p>
    <w:p w14:paraId="27612B1F" w14:textId="77777777" w:rsidR="00000000" w:rsidRDefault="00B4274B">
      <w:pPr>
        <w:spacing w:line="360" w:lineRule="auto"/>
        <w:jc w:val="both"/>
        <w:rPr>
          <w:sz w:val="28"/>
          <w:szCs w:val="28"/>
          <w:lang w:val="uk-UA"/>
        </w:rPr>
      </w:pPr>
      <w:r>
        <w:rPr>
          <w:sz w:val="28"/>
          <w:szCs w:val="28"/>
          <w:lang w:val="uk-UA"/>
        </w:rPr>
        <w:t>.</w:t>
      </w:r>
      <w:r>
        <w:rPr>
          <w:sz w:val="28"/>
          <w:szCs w:val="28"/>
          <w:lang w:val="uk-UA"/>
        </w:rPr>
        <w:tab/>
        <w:t>Kurtz Т. W., Pravenec M. Molecule-specific Effects of Angiotensin II-Receptor Blockers Independent of the Renin-Angiotensin System // Am. J. Hypertens. - 2008. - Vol. 21. - P. 852-859.</w:t>
      </w:r>
    </w:p>
    <w:p w14:paraId="55C01C9A"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Ольбинская Л.И., Андрущишина Т.Б. Рациональная фармакотерапия артериальных гипертензий // Русский медицинский журнал. - 2001. - Т.9. - № 15. - С. 615-622.</w:t>
      </w:r>
    </w:p>
    <w:p w14:paraId="46161FB4" w14:textId="77777777" w:rsidR="00000000" w:rsidRDefault="00B4274B">
      <w:pPr>
        <w:spacing w:line="360" w:lineRule="auto"/>
        <w:jc w:val="both"/>
        <w:rPr>
          <w:sz w:val="28"/>
          <w:szCs w:val="28"/>
          <w:lang w:val="uk-UA"/>
        </w:rPr>
      </w:pPr>
      <w:r>
        <w:rPr>
          <w:sz w:val="28"/>
          <w:szCs w:val="28"/>
          <w:lang w:val="uk-UA"/>
        </w:rPr>
        <w:t>.</w:t>
      </w:r>
      <w:r>
        <w:rPr>
          <w:sz w:val="28"/>
          <w:szCs w:val="28"/>
          <w:lang w:val="uk-UA"/>
        </w:rPr>
        <w:tab/>
        <w:t xml:space="preserve">Kashina E., Unger T., Angiotenzin AT1/AT2 receptors: regulation, signaling and function // Blood </w:t>
      </w:r>
      <w:r>
        <w:rPr>
          <w:sz w:val="28"/>
          <w:szCs w:val="28"/>
          <w:lang w:val="uk-UA"/>
        </w:rPr>
        <w:t>press. - 2003. - Vol. 12. - P.70-88.</w:t>
      </w:r>
    </w:p>
    <w:p w14:paraId="59CB1B79"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Визир В.А. Патогенетическое значение плазменных и депонированных катехоламинов в формировании артериальной гипертензии // Український медичний часопис. - 2001. - № 1(21). - С. 14-21.</w:t>
      </w:r>
    </w:p>
    <w:p w14:paraId="5FE9DE0D" w14:textId="77777777" w:rsidR="00000000" w:rsidRDefault="00B4274B">
      <w:pPr>
        <w:spacing w:line="360" w:lineRule="auto"/>
        <w:jc w:val="both"/>
        <w:rPr>
          <w:sz w:val="28"/>
          <w:szCs w:val="28"/>
          <w:lang w:val="uk-UA"/>
        </w:rPr>
      </w:pPr>
      <w:r>
        <w:rPr>
          <w:sz w:val="28"/>
          <w:szCs w:val="28"/>
          <w:lang w:val="uk-UA"/>
        </w:rPr>
        <w:t>.</w:t>
      </w:r>
      <w:r>
        <w:rPr>
          <w:sz w:val="28"/>
          <w:szCs w:val="28"/>
          <w:lang w:val="uk-UA"/>
        </w:rPr>
        <w:tab/>
        <w:t>Trimmermans P. et al. Angiotenzi</w:t>
      </w:r>
      <w:r>
        <w:rPr>
          <w:sz w:val="28"/>
          <w:szCs w:val="28"/>
          <w:lang w:val="uk-UA"/>
        </w:rPr>
        <w:t>n II receptor and angiotenzin II receptor antagonists // Pharmacol. Rev. - 1993. - Vol. 45. - P. 205-251.</w:t>
      </w:r>
    </w:p>
    <w:p w14:paraId="29F8848C"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Лупинская З.А., Зарифьян А.Г., Гурович Т.Ц., Шлейфер С.Г. Эндотелий. Функция и дисфункция. - Бишкек: КРСУ, 2008. - 373 c.</w:t>
      </w:r>
    </w:p>
    <w:p w14:paraId="3E01B0F2"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Беловол А.Н. Симпато-адр</w:t>
      </w:r>
      <w:r>
        <w:rPr>
          <w:sz w:val="28"/>
          <w:szCs w:val="28"/>
          <w:lang w:val="uk-UA"/>
        </w:rPr>
        <w:t>еналовые механизмы ранних стадий артериальной гипертензии // Ліки України.- 1999. - №1. - С. 69-70.</w:t>
      </w:r>
    </w:p>
    <w:p w14:paraId="61EE15B2"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Вёрткин А.Л., Скотников А.С. Артериальная гипертензия: перспективы современной фармакотерапии и значение высокоселективных блокаторов ангиотензиновых реце</w:t>
      </w:r>
      <w:r>
        <w:rPr>
          <w:sz w:val="28"/>
          <w:szCs w:val="28"/>
          <w:lang w:val="uk-UA"/>
        </w:rPr>
        <w:t>пторов // Русский медицинский журнал. - 2009. - Т.17.- № 18. - С. 1188-1194.</w:t>
      </w:r>
    </w:p>
    <w:p w14:paraId="05C32915" w14:textId="77777777" w:rsidR="00000000" w:rsidRDefault="00B4274B">
      <w:pPr>
        <w:spacing w:line="360" w:lineRule="auto"/>
        <w:jc w:val="both"/>
        <w:rPr>
          <w:sz w:val="28"/>
          <w:szCs w:val="28"/>
          <w:lang w:val="uk-UA"/>
        </w:rPr>
      </w:pPr>
      <w:r>
        <w:rPr>
          <w:sz w:val="28"/>
          <w:szCs w:val="28"/>
          <w:lang w:val="uk-UA"/>
        </w:rPr>
        <w:t>.</w:t>
      </w:r>
      <w:r>
        <w:rPr>
          <w:sz w:val="28"/>
          <w:szCs w:val="28"/>
          <w:lang w:val="uk-UA"/>
        </w:rPr>
        <w:tab/>
        <w:t>Golberg A.J., Dunlay M.C., Sweet C</w:t>
      </w:r>
      <w:r>
        <w:rPr>
          <w:sz w:val="28"/>
          <w:szCs w:val="28"/>
          <w:lang w:val="uk-UA"/>
        </w:rPr>
        <w:t>.S. Safety and tolerability of losartan, an angiotensin II receptor antagonist, compared with hydrochlorthiazide, athenolol, felodipine ER and angiotezin-converting enzyme inhibitors for the treatment of systemic hypertension // Am. J. Cardiol. - 1995.- Vo</w:t>
      </w:r>
      <w:r>
        <w:rPr>
          <w:sz w:val="28"/>
          <w:szCs w:val="28"/>
          <w:lang w:val="uk-UA"/>
        </w:rPr>
        <w:t>l. 75.- P. 793-795.</w:t>
      </w:r>
    </w:p>
    <w:p w14:paraId="2B0BAED2"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Беловол А.Н. Состояние ренин-ангиотензин-альдостероновой и калликреин-кининовой систем у больных артериальной гипертензией // Ліки України.- 1999. - №1. - С. 64-66.</w:t>
      </w:r>
    </w:p>
    <w:p w14:paraId="7A3E7DDC"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Карпов Ю.А. Блокаторы ангиотензиновых рецепторов: обоснование новог</w:t>
      </w:r>
      <w:r>
        <w:rPr>
          <w:sz w:val="28"/>
          <w:szCs w:val="28"/>
          <w:lang w:val="uk-UA"/>
        </w:rPr>
        <w:t>о направления терапии в современной кардиологии // Русский медицинский журнал. - 2000. - Т.8. - №5. - С. 214-218.</w:t>
      </w:r>
    </w:p>
    <w:p w14:paraId="4A6F5D61" w14:textId="77777777" w:rsidR="00000000" w:rsidRDefault="00B4274B">
      <w:pPr>
        <w:spacing w:line="360" w:lineRule="auto"/>
        <w:jc w:val="both"/>
        <w:rPr>
          <w:sz w:val="28"/>
          <w:szCs w:val="28"/>
          <w:lang w:val="uk-UA"/>
        </w:rPr>
      </w:pPr>
      <w:r>
        <w:rPr>
          <w:sz w:val="28"/>
          <w:szCs w:val="28"/>
          <w:lang w:val="uk-UA"/>
        </w:rPr>
        <w:t>.</w:t>
      </w:r>
      <w:r>
        <w:rPr>
          <w:sz w:val="28"/>
          <w:szCs w:val="28"/>
          <w:lang w:val="uk-UA"/>
        </w:rPr>
        <w:tab/>
        <w:t>Unger T. Differences between angiotenzin II types 1 receptor blokers: characterization of candesartan cilexetil // Blood press. - 2000. - Vo</w:t>
      </w:r>
      <w:r>
        <w:rPr>
          <w:sz w:val="28"/>
          <w:szCs w:val="28"/>
          <w:lang w:val="uk-UA"/>
        </w:rPr>
        <w:t>l. 9. - P. 14-18.</w:t>
      </w:r>
    </w:p>
    <w:p w14:paraId="2D5E20D7" w14:textId="77777777" w:rsidR="00000000" w:rsidRDefault="00B4274B">
      <w:pPr>
        <w:spacing w:line="360" w:lineRule="auto"/>
        <w:jc w:val="both"/>
        <w:rPr>
          <w:sz w:val="28"/>
          <w:szCs w:val="28"/>
          <w:lang w:val="uk-UA"/>
        </w:rPr>
      </w:pPr>
      <w:r>
        <w:rPr>
          <w:sz w:val="28"/>
          <w:szCs w:val="28"/>
          <w:lang w:val="uk-UA"/>
        </w:rPr>
        <w:t>.</w:t>
      </w:r>
      <w:r>
        <w:rPr>
          <w:sz w:val="28"/>
          <w:szCs w:val="28"/>
          <w:lang w:val="uk-UA"/>
        </w:rPr>
        <w:tab/>
        <w:t>Полосьянц О.Б. Cартаны в кардиологической практике // Русский медицинский журнал. - 2008. - Т.16. - № 11. - С. 1593-1599.</w:t>
      </w:r>
    </w:p>
    <w:p w14:paraId="0F1EA057" w14:textId="77777777" w:rsidR="00B4274B" w:rsidRDefault="00B4274B">
      <w:pPr>
        <w:spacing w:line="360" w:lineRule="auto"/>
        <w:jc w:val="both"/>
        <w:rPr>
          <w:sz w:val="28"/>
          <w:szCs w:val="28"/>
          <w:lang w:val="uk-UA"/>
        </w:rPr>
      </w:pPr>
      <w:r>
        <w:rPr>
          <w:sz w:val="28"/>
          <w:szCs w:val="28"/>
          <w:lang w:val="uk-UA"/>
        </w:rPr>
        <w:t>.</w:t>
      </w:r>
      <w:r>
        <w:rPr>
          <w:sz w:val="28"/>
          <w:szCs w:val="28"/>
          <w:lang w:val="uk-UA"/>
        </w:rPr>
        <w:tab/>
        <w:t>Cидоренко Б.А., Преображенский А.В., А.В. Сопаевенко, Иванова Н.А., Стеценко Т.М. Кандесартан - новый блокатор A</w:t>
      </w:r>
      <w:r>
        <w:rPr>
          <w:sz w:val="28"/>
          <w:szCs w:val="28"/>
          <w:lang w:val="uk-UA"/>
        </w:rPr>
        <w:t>T1-ангиотензиновых рецепторов: особенности фармакологии и опыт использования при артериальной гипертензии // Кардиология. - 2004. - №1. - С. 13-17.</w:t>
      </w:r>
    </w:p>
    <w:sectPr w:rsidR="00B427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01"/>
    <w:rsid w:val="00B4274B"/>
    <w:rsid w:val="00BD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63F8E"/>
  <w14:defaultImageDpi w14:val="0"/>
  <w15:docId w15:val="{B5C1B2DA-893A-4FB9-A8AA-55B60AE3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4984</Words>
  <Characters>28414</Characters>
  <Application>Microsoft Office Word</Application>
  <DocSecurity>0</DocSecurity>
  <Lines>236</Lines>
  <Paragraphs>66</Paragraphs>
  <ScaleCrop>false</ScaleCrop>
  <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2024-12-31T00:42:00Z</dcterms:created>
  <dcterms:modified xsi:type="dcterms:W3CDTF">2024-12-31T00:42:00Z</dcterms:modified>
</cp:coreProperties>
</file>