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DB8E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1FD9831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8C48196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5AC4CE9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E0F2BF6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7164160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BD6E4E1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E175FE2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1C63A44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CB62262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2520815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Курсовая работа</w:t>
      </w:r>
    </w:p>
    <w:p w14:paraId="400CD87C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«Фармацевтический анализ производных тиоамида изоникотиновой кислоты»</w:t>
      </w:r>
    </w:p>
    <w:p w14:paraId="47D9D221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A5F27F7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14:paraId="7F8CD863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9564DDE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время, по данным ВОЗ, треть населения планеты инфицирована туберкулезом. Туберкулез уносит больше жизней, чем любая другая инфекция. 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всех смертей которых можно было бы избежать, 25% составляет смертность от туберкулеза.</w:t>
      </w:r>
    </w:p>
    <w:p w14:paraId="5EF619E2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 принципом химиотерапии больных туберкулезом в России является своевременное назначение противотуберкулезных препаратов. Кроме того, химиотерапия должна быть 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дивидуальной, контролируемой, комбинированной, длительной, адекватной и регулярной.</w:t>
      </w:r>
    </w:p>
    <w:p w14:paraId="224BE3F2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Противотуберкулезные препараты (ПТП), применяемые в России:</w:t>
      </w:r>
    </w:p>
    <w:p w14:paraId="54748385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- препараты первой категории: изониазид, рифампицин, рифабутин, пиразинамид, этамбутол;</w:t>
      </w:r>
    </w:p>
    <w:p w14:paraId="14E65F88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 - препараты второй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атегории: фтивазид, стрептомицин, канамицин, амикацин, капреомицин, протионамид (этионамид), циклосерин, ломефлоксацин (максаквин), солютизон (тиацетазон);</w:t>
      </w:r>
    </w:p>
    <w:p w14:paraId="64EBB28E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В-многокомпонентные препараты с фиксированными дозами: фтизоэтам (изониазид + этамбутол), фтизопирам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(изониазид + пиразинамид), трикокс, рифатер, майрин (изониазид + рифампицин + пиразинамид), изопродиан (изониазид + протионамид + дапсон), майрин-П (изониазид + рифампицин + пиразинамид + этамбутол).</w:t>
      </w:r>
    </w:p>
    <w:p w14:paraId="412DDCBC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Значительное снижение эффективности лечения часто обусл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овливается развитием устойчивости микобактерий туберкулеза к антибактериальным препаратам. Быстрее всего устойчивость вырабатывается к фтивазиду, медленнее - к стрептомицину и ПАСК. Обнаружение устойчивых БК у вылечившихся туберкулезных больных, т.е. перви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чная лекарственная устойчивость, наблюдается редко - у 3-6% бациллярных больных, но этот факт имеет большое значение для успеха лечения больных туберкулезом.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Приобретенная, или вторичная, устойчивость развивается во время лечения. Для правильного выбора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епарата необходимо знать, к каким лекарствам микобактерий туберкулеза устойчивы. Никакое химиотерапевтическое средство не должно применяться одно (монотерапия), так как это облегчает развитие устойчивости, которое ограничивает действие препарата и уменьшае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возможность более позднего применения его в комбинации.</w:t>
      </w:r>
    </w:p>
    <w:p w14:paraId="1779E866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лекарственной устойчивости можно предотвратить комбинированной терапией, что представляет собой основной принцип современной химиотерапии туберкулеза.</w:t>
      </w:r>
    </w:p>
    <w:p w14:paraId="3AD54B33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Возникновение устойчивости микобактери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туберкулеза к основным противотуберкулезным препаратам и снижение при этом эффективности лечения приводят к необходимости использования препаратов II ряда. Переходить к лечению препаратами II ряда следует только в показанных случаях и применять их в двой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ной-тройной комбинации друг с другом или с одним из препаратов I ряда.</w:t>
      </w:r>
    </w:p>
    <w:p w14:paraId="23B2BB92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плохой переносимости какого-либо из препаратов I ряда, а также длительном лечении можно взамен ввести препарат II ряда, например вместо стрептомицина-циклосерин, рифампицин; ПАСК 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жет быть заменена этамбутолом, тубазид - этионамидом или протионамидом при плохой переносимости первого. Таким образом, возможно одновременное применение различных препаратов I или II ряда и «новых» препаратов в рациональных комбинациях, в соответствии с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анными о переносимости их больным и лекарственной чувствительности микобактерии туберкулеза.</w:t>
      </w:r>
    </w:p>
    <w:p w14:paraId="1AD293ED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Нерационально назначение препаратов одинаковой направленности бактериостатического действия, что связано с развитием перекрестной устойчивости. Она развивается так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 к этионамиду (протионамиду) и тибону, и, следовательно, если выявлена устойчивость к одному из этих препаратов, применение другого нерационально.</w:t>
      </w:r>
    </w:p>
    <w:p w14:paraId="1B81B44E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 данной работе рассмотрены резервные противотуберкулезные лекарственный препараты.</w:t>
      </w:r>
    </w:p>
    <w:p w14:paraId="59EED992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Цели работы:</w:t>
      </w:r>
    </w:p>
    <w:p w14:paraId="3B1D8996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 опреде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лить связь химического строения с фармакологическим действием;</w:t>
      </w:r>
    </w:p>
    <w:p w14:paraId="77340745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провести фармацевтический анализ протионамида и этионамида;</w:t>
      </w:r>
    </w:p>
    <w:p w14:paraId="2207E2B8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рассмотреть применение данных препаратов и лекарственные взаимодействия.</w:t>
      </w:r>
    </w:p>
    <w:p w14:paraId="2391820A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0368144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609DA0E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Наименование, синонимы, химическая формула</w:t>
      </w:r>
    </w:p>
    <w:p w14:paraId="22FF2873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1BF83B1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телями группы производных тиоамида изоникотиновой кислоты являются протионамид и этионамид, которые отличаются друг от друга радикалом в 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положении.</w:t>
      </w:r>
    </w:p>
    <w:p w14:paraId="1B2BF4D2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05BD5C3" w14:textId="49F41E1E" w:rsidR="00000000" w:rsidRDefault="0063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92D2D8" wp14:editId="106691CD">
            <wp:extent cx="2695575" cy="103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45987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Этионамид (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Ethionamide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  <w:t>)</w:t>
      </w:r>
    </w:p>
    <w:p w14:paraId="338B7905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8AE890A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Тиоамид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-этилизоникотиновой кислоты, ил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2-этил-4-тиокарбамоил-4-пиридин:</w:t>
      </w:r>
    </w:p>
    <w:p w14:paraId="2ACBFE67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EEB90FA" w14:textId="4697452E" w:rsidR="00000000" w:rsidRDefault="0063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3AF56DA" wp14:editId="7B92B784">
            <wp:extent cx="790575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C5AC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A1D4541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Брутто-формула: C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8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H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10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S</w:t>
      </w:r>
    </w:p>
    <w:p w14:paraId="7FF6AC6C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Молекулярная масса: 166,25</w:t>
      </w:r>
    </w:p>
    <w:p w14:paraId="354194F6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ru-RU"/>
        </w:rPr>
        <w:t>Синонимы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Миобит, Региницид, Этид,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Amidazin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Athioniamid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Ethioniamide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Etid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Etionizina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Iridozin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Myobit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Nizotin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Reginicid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Thi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anid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Thionid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Trecator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Trescatyl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14:paraId="2FFC603C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  <w:t>Протионамид (Protionamide)</w:t>
      </w:r>
    </w:p>
    <w:p w14:paraId="0004A07D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Тиоамид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-пропилизоникотиновой кислоты, или 2-пропил-тиокарбамоил-4-пиридин:</w:t>
      </w:r>
    </w:p>
    <w:p w14:paraId="4C8D81D9" w14:textId="2BCCD69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 w:rsidR="00637DB3"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78A3AD60" wp14:editId="582558CF">
            <wp:extent cx="647700" cy="733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B42A3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Брутто-формула: C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H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12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S</w:t>
      </w:r>
    </w:p>
    <w:p w14:paraId="09F868FF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Молекулярная масса: 180,26</w:t>
      </w:r>
    </w:p>
    <w:p w14:paraId="19E0A2D4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ru-RU"/>
        </w:rPr>
        <w:t>Синонимы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Петеха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Проницид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, Peteha, Prothionamide, Pronicid, Teraplix, Treventix, Trevintix.</w:t>
      </w:r>
    </w:p>
    <w:p w14:paraId="59D36E97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</w:p>
    <w:p w14:paraId="1F466CF3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Связь структуры с фармакологическим действием</w:t>
      </w:r>
    </w:p>
    <w:p w14:paraId="6BCE74CD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A63C419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Протионамид и этионамид яв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ляются противотуберкулезными препаратами II ряда. Блокируют синтез миколиевых кислот, являющихся важнейшим структурным компонентом клеточной стенки микобактерий туберкулеза, обладают свойствами антагониста никотиновой кислоты. В высокой концентрации наруша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ют синтез белка микробной клетки. Оказывают бактериостатическое действие (в организме частично превращаются в сульфоксид, обладающий туберкулостатической активностью) в основном на размножающиеся микобактерии туберкулеза Mycobacterium tuberculosis (включая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атипичные Mycobacterium avium), на вне- и внутриклеточно расположенные микроорганизмы (в т.ч. на штаммы, устойчивые к изониазиду и стрептомицину). В высоких концентрациях действуют на Mycobacterium leprae. Фармакологическое действие обусловлено скелетом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зоникотиновой кислоты и наличием атома серы. Усиливают фагоцитоз в очаге туберкулезного воспаления, что способствует его рассасыванию. Тормозят развитие резистентности к другим противотуберкулезным средствам. Вторичная устойчивость развивается быстро. Межд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 протионамидом и этионамидом существует полная перекрестная резистентность.</w:t>
      </w:r>
    </w:p>
    <w:p w14:paraId="1066D504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 счет замены этильного радикала (С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) в положении 2 на пропильный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(С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7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протионамид легче переносится.</w:t>
      </w:r>
    </w:p>
    <w:p w14:paraId="5406BD70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кислой среде способны ионизироваться, что объясняет высокую эффективн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ость в очаге воспаления.</w:t>
      </w:r>
    </w:p>
    <w:p w14:paraId="219E5A5D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52FD721C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Физические свойства</w:t>
      </w:r>
    </w:p>
    <w:p w14:paraId="600F6B38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</w:p>
    <w:p w14:paraId="4A913562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Этионамид</w:t>
      </w:r>
    </w:p>
    <w:p w14:paraId="3FB9DBF9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Желтый кристаллический порошок со слабым или умеренным запахом серы. Не гигроскопичен. Практически нерастворим в воде и эфире; трудно растворим в этиловом и метиловом спирте, пропиленгликоле; раствор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им в ацетоне, дихлорэтане; свободно растворим в пиридине. Температура плавления 158-164°С.</w:t>
      </w:r>
    </w:p>
    <w:p w14:paraId="5838C476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Протионамид</w:t>
      </w:r>
    </w:p>
    <w:p w14:paraId="14D5B704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Желтый кристаллический порошок без запаха или почти без запаха. Не гигроскопичен. Практически нерастворим в воде и эфире; трудно растворим в этиловом и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етиловом спирте, пропиленгликоле; растворим в ацетоне, дихлорэтане; свободно растворим в пиридине. Температура плавления 140-143°С.</w:t>
      </w:r>
    </w:p>
    <w:p w14:paraId="65DAC741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151AE84D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Определение подлинности</w:t>
      </w:r>
    </w:p>
    <w:p w14:paraId="444E83BA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320416D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 xml:space="preserve"> ИК-спектроскопия</w:t>
      </w:r>
    </w:p>
    <w:p w14:paraId="577AB7AE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Устанавливают по ИК-спектрам, сравнивая полосы поглощения и их интенсивность со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спектром сравнения или со спектром стандартного образца в области 4000-625 см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-1</w:t>
      </w:r>
    </w:p>
    <w:p w14:paraId="19E57A2F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</w:pPr>
    </w:p>
    <w:p w14:paraId="138D2D1A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  <w:lastRenderedPageBreak/>
        <w:t xml:space="preserve">Этионамид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[1, 940]</w:t>
      </w:r>
    </w:p>
    <w:p w14:paraId="2A07F19F" w14:textId="3995F32A" w:rsidR="00000000" w:rsidRDefault="0063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A3F4751" wp14:editId="1FEBF154">
            <wp:extent cx="2095500" cy="1924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D3CED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</w:pPr>
    </w:p>
    <w:p w14:paraId="15A7139C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  <w:t xml:space="preserve">Протионамид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[1, 597]</w:t>
      </w:r>
    </w:p>
    <w:p w14:paraId="45A81466" w14:textId="33F6E316" w:rsidR="00000000" w:rsidRDefault="0063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89FC99E" wp14:editId="7BE5A4F9">
            <wp:extent cx="2333625" cy="1638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366E4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52F30DD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 xml:space="preserve"> УФ-спектроскопия</w:t>
      </w:r>
    </w:p>
    <w:p w14:paraId="0E7267AE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УФ-спектры растворов с концентрацией 10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мкг/мл в этаноле в области 230-360 нм имеют максимумы поглощения у этионамида при 290 нм, а у протионамида - при 291 нм. Оптическая плотность при длине волны около 290 нм приблизительно равна 0,42 у этионамида и около 0,78 - у протионамида. В 0,1М растворе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хлороводородной кислоты этионамид имеет два максимума поглощения - при 230 и 278 нм.</w:t>
      </w:r>
    </w:p>
    <w:p w14:paraId="56002612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  <w:lastRenderedPageBreak/>
        <w:t xml:space="preserve">Этионамид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[2, 862]</w:t>
      </w:r>
    </w:p>
    <w:p w14:paraId="5EC172A7" w14:textId="4F460A98" w:rsidR="00000000" w:rsidRDefault="0063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506680D" wp14:editId="2CC6520A">
            <wp:extent cx="2419350" cy="22764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86302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</w:pPr>
    </w:p>
    <w:p w14:paraId="5FDB249B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  <w:t xml:space="preserve">Протионамид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[1, 940]</w:t>
      </w:r>
    </w:p>
    <w:p w14:paraId="75184930" w14:textId="1B9B352F" w:rsidR="00000000" w:rsidRDefault="0063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1D2704C" wp14:editId="33AD54CE">
            <wp:extent cx="1952625" cy="1771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CB272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5168A91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)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Реакция щелочного гидролиза (ГФ)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 последующей идентификацией продуктов разложения. Выделяющийся аммиак обнаруживают по посинению лакмусовой бумажки.</w:t>
      </w:r>
    </w:p>
    <w:p w14:paraId="0CCEBDA3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24DCB56" w14:textId="74D945F6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 w:rsidR="00637DB3"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712AE893" wp14:editId="03768502">
            <wp:extent cx="3667125" cy="933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E9A21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CEBAF70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Образующийся сульфид-ион об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наруживают с помощью раствора нитропруссида натрия (красно-фиолетовое окрашивание)</w:t>
      </w:r>
    </w:p>
    <w:p w14:paraId="28B65885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66EB177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>2-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+ [Fe(CN)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NO]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>2-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→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[Fe(CN)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NOS]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>4-</w:t>
      </w:r>
    </w:p>
    <w:p w14:paraId="0F9B298E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4E95E1DC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Кислотный гидролиз (ГФ)</w:t>
      </w:r>
    </w:p>
    <w:p w14:paraId="67069461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Нагревают с хлороводородной кислотой, выделяющиеся пары сероводорода окрашивают в черный цвет бумагу, пропи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танную ацетатом свинца:</w:t>
      </w:r>
    </w:p>
    <w:p w14:paraId="027736D1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27EA0C8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+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Pb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→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PbS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↓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+ 2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COOH</w:t>
      </w:r>
    </w:p>
    <w:p w14:paraId="3EEADC9E" w14:textId="77777777" w:rsidR="00000000" w:rsidRDefault="00495FDF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31E8093" w14:textId="77777777" w:rsidR="00000000" w:rsidRDefault="00495FDF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На третичный атом азота - с лимонной кислотой и уксусным ангидридом образуется красно-фиолетовое окрашивание.</w:t>
      </w:r>
    </w:p>
    <w:p w14:paraId="543765D0" w14:textId="77777777" w:rsidR="00000000" w:rsidRDefault="00495FDF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C49B14E" w14:textId="6D3AAC0A" w:rsidR="00000000" w:rsidRDefault="0063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6294EDC" wp14:editId="66B5F310">
            <wp:extent cx="3114675" cy="9810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3E7E2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683AE55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)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На пиридиновый цикл (ГФ)</w:t>
      </w:r>
    </w:p>
    <w:p w14:paraId="54C3B590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А) В пробирке нагревают сухую смесь определяемого вещества (0,05 г.) и 2,4 - динитрохлорбензола (0,1 г) до плавления. Охлаждают и добавляют спиртовый раствор гидрооксида калия, появляется кра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сное окрашивание. [15,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330]</w:t>
      </w:r>
    </w:p>
    <w:p w14:paraId="73194879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BFE5121" w14:textId="0F235145" w:rsidR="00000000" w:rsidRDefault="00637DB3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9C30059" wp14:editId="371080A0">
            <wp:extent cx="2943225" cy="10953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B2C8A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E6883E5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Б) Образование Шиффовых оснований (красного цвета) [6, 81]</w:t>
      </w:r>
    </w:p>
    <w:p w14:paraId="1A98D943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4D3967C" w14:textId="0F64027E" w:rsidR="00000000" w:rsidRDefault="0063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8F13989" wp14:editId="10225001">
            <wp:extent cx="3695700" cy="12477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10742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DC064AF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8E39B90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)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С общеосадительными реактивами (на третичный атом азота)</w:t>
      </w:r>
    </w:p>
    <w:p w14:paraId="2ED3C53F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А) с пикриновой кислотой - обра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зуется оранжевый осадок</w:t>
      </w:r>
    </w:p>
    <w:p w14:paraId="0D42C4E0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58787B0" w14:textId="3FC2F13F" w:rsidR="00000000" w:rsidRDefault="0063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939297E" wp14:editId="14EF6A05">
            <wp:extent cx="2809875" cy="7810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D3B43" w14:textId="77777777" w:rsidR="00000000" w:rsidRDefault="00495FDF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8874864" w14:textId="77777777" w:rsidR="00000000" w:rsidRDefault="00495FDF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Б) с реактивом Драгендорфа в присутствии соляной кислоты - образуется оранжевый осадок</w:t>
      </w:r>
    </w:p>
    <w:p w14:paraId="38F0F002" w14:textId="77777777" w:rsidR="00000000" w:rsidRDefault="00495FDF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E3441BD" w14:textId="239B923C" w:rsidR="00000000" w:rsidRDefault="00637DB3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60F98FC0" wp14:editId="17FB6D44">
            <wp:extent cx="2752725" cy="9620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AAE4E" w14:textId="77777777" w:rsidR="00000000" w:rsidRDefault="00495FDF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B8D941E" w14:textId="77777777" w:rsidR="00000000" w:rsidRDefault="00495FDF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отличить этионамид от протионамида можно по температуре плавления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(ГФ):</w:t>
      </w:r>
    </w:p>
    <w:p w14:paraId="11781C11" w14:textId="77777777" w:rsidR="00000000" w:rsidRDefault="00495FDF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Этионамид 158-164°С</w:t>
      </w:r>
    </w:p>
    <w:p w14:paraId="47D9717F" w14:textId="77777777" w:rsidR="00000000" w:rsidRDefault="00495FDF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Протионамид 140-143°С</w:t>
      </w:r>
    </w:p>
    <w:p w14:paraId="7BE3ED40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7211A177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Определение доброкачественности</w:t>
      </w:r>
    </w:p>
    <w:p w14:paraId="296C3DC1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</w:p>
    <w:p w14:paraId="3889E1C4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На тяжелые металлы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1,0 г испытуемого вещества растворяют в 10 мл воды, если нужно доводят до нейтральной или слабокислой реакции разведенной уксусной кислотой или растворо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 едкого натра, прибавляют 1 мл разведенной уксусной кислоты, 1-2 капли раствора сульфида натрия, перемешивают и через минуту сравнивают с эталоном, состоящим из 10 мл 0,00005% раствора свинец-иона и такого же количества реактивов, какое добавлено к испыту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емому раствору.</w:t>
      </w:r>
    </w:p>
    <w:p w14:paraId="1CA6EF14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Наблюдение окраски производят по оси пробирок диаметром около 1,5 см, помещенных на белой поверхности.</w:t>
      </w:r>
    </w:p>
    <w:p w14:paraId="4B2E81B2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Окраска, появившаяся в испытуемом растворе, не должна превышать эталон. Содержание тяжелых металлов не более 20 мкг/г.</w:t>
      </w:r>
    </w:p>
    <w:p w14:paraId="523262AE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сравниваемых рас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творах допустима лишь слабая опалесценция от серы, выделяющейся из сульфида натрия. [5, 171]</w:t>
      </w:r>
    </w:p>
    <w:p w14:paraId="72007EF4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Сульфатная зола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Точную навеску препарата 1,0 помещают в предварительно прокаленный и взвешенный фарфоровый тигель, смачивают 0,5-1 мл концентрированной серной кис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лоты и осторожно нагревают на сетке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или песчаной бане до удаления паров серной кислоты. Затем прокаливают при красном калении до постоянной массы, избегая сплавления золы и спекания ее со стенками тигля. По окончании прокаливания тигель охлаждают в эксикат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оре и взвешивают. Допускается не более 1,0 мг/г сухого остатка. [1, 597]</w:t>
      </w:r>
    </w:p>
    <w:p w14:paraId="18135D5D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9F1830A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сух.ост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=m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нач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-m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конеч</w:t>
      </w:r>
    </w:p>
    <w:p w14:paraId="013CF0B3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</w:p>
    <w:p w14:paraId="19EAC33E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Потеря при высушивании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Точную навеску 1,0 высушивают до постоянной массы при 105°С; потеря не более 5,0 мг/г.</w:t>
      </w:r>
    </w:p>
    <w:p w14:paraId="5E50EE8D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1DC7212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сух.ост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=m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нач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-m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конеч</w:t>
      </w:r>
    </w:p>
    <w:p w14:paraId="611112C6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</w:p>
    <w:p w14:paraId="670A27E5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Посторонние примеси (МФ)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Проводят испытание, используя в качестве сорбента силикагель, а в качестве подвижной смесь 9 объемов хлороформа. и 1 объема метанола. Для анализа этионамида наносят на пластинку отдельно по 10 мкл каждого из 3 растворов в ацетоне, содержащих (А) 20 мг испы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туемого вещества в 1 мл, (Б) 0,10 мг испытуемого вещества в 1 мл и (В) 0,04 мг испытуемого вещества в 1 мл. Для анализа протионамида наносят на пластинку отдельно по 5 мкл каждого из 2 растворов в метаноле, содержащих (А) 50 мг испытуемого вещества в 1 мл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(Б) 0,25 мг испытуемого вещества в 1 мл После извлечения пластинки из хроматографической камеры дают ей высохнуть на воздухе и оценивают хроматограмму в ультрафиолетовом свете (254 нм). Любое пятно, которое дает раствор А, кроме основного пятна, не должн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 быть более интенсивным, чем пятно, которое дает раствор Б. Для этионамида лишь одно такое пятно может быть более интенсивным, чем пятно, которое дает раствор В. [11, 147]</w:t>
      </w:r>
    </w:p>
    <w:p w14:paraId="0BA96099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Протионамид дополнительно проверяют на кислотность.</w:t>
      </w:r>
    </w:p>
    <w:p w14:paraId="7BEB9057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Кислотность.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Растворяют 2,0г ис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пытуемого вещества в 20 мл теплого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метанола, добавляют 20 мл воды, охлаждают, встряхивают, пока не начнется кристаллизация, и титруют раствором гидроксида натрия (0,1 моль/л), используя раствор крезола красного в этаноле в качестве индикатора; для достижен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ия среднего значения индикатора (оранжевый цвет) требуется не более 0,2 мл. [11, 300]</w:t>
      </w:r>
    </w:p>
    <w:p w14:paraId="170D53BE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Количественное определение</w:t>
      </w:r>
    </w:p>
    <w:p w14:paraId="7552567E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ru-RU"/>
        </w:rPr>
      </w:pPr>
    </w:p>
    <w:p w14:paraId="72CD21FF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ru-RU"/>
        </w:rPr>
        <w:t>Протионамид</w:t>
      </w:r>
    </w:p>
    <w:p w14:paraId="429E2826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1)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ru-RU"/>
        </w:rPr>
        <w:t xml:space="preserve"> неводное титрование (ГФ)</w:t>
      </w:r>
    </w:p>
    <w:p w14:paraId="48772507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Растворяют около 0,45 г. испытуемого вещества (точная навеска) в 30 мл ледяной уксусной кислоты и тит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руют хлорной кислотой (0,1 моль/л). Каждый миллилитр хлорной кислоты (0,1 моль/л) соответствует 18,03 мг протионамида.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э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=1</w:t>
      </w:r>
    </w:p>
    <w:p w14:paraId="1DD4549D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5BEC10E" w14:textId="6EF08C9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Т=</w:t>
      </w:r>
      <w:r w:rsidR="00637DB3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10CB5CE" wp14:editId="42B683F1">
            <wp:extent cx="428625" cy="4095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= </w:t>
      </w:r>
      <w:r w:rsidR="00637DB3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FA77FBF" wp14:editId="1002457C">
            <wp:extent cx="685800" cy="390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= 0,01803 г./мл</w:t>
      </w:r>
    </w:p>
    <w:p w14:paraId="320134DE" w14:textId="212B9E8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Х=</w:t>
      </w:r>
      <w:r w:rsidR="00637DB3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7DC890C" wp14:editId="1ABEB4D2">
            <wp:extent cx="914400" cy="4191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5E902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ru-RU"/>
        </w:rPr>
      </w:pPr>
    </w:p>
    <w:p w14:paraId="41D8F30E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ru-RU"/>
        </w:rPr>
        <w:t>Этионамид</w:t>
      </w:r>
    </w:p>
    <w:p w14:paraId="3AF12758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1)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ru-RU"/>
        </w:rPr>
        <w:t xml:space="preserve"> неводное титрование (МФ)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[11, 158]</w:t>
      </w:r>
    </w:p>
    <w:p w14:paraId="507F2AD7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Растворяют около 0,15 г. испытуемого вещества (точная навеска) в 50 мл ледяной уксусной кислоты, и титруют хлорной кислотой (0,1 моль/л). Индикатор кристаллический фиолет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овый. Каждый миллилитр хлорной кислоты (0,1 моль/л) соответствует 16,62 мг этионамида</w:t>
      </w:r>
    </w:p>
    <w:p w14:paraId="399B6C12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A8DD2F2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э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=1</w:t>
      </w:r>
    </w:p>
    <w:p w14:paraId="4DE250AD" w14:textId="50C88351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Т=</w:t>
      </w:r>
      <w:r w:rsidR="00637DB3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2824FDB" wp14:editId="38FCAEBE">
            <wp:extent cx="428625" cy="4095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= </w:t>
      </w:r>
      <w:r w:rsidR="00637DB3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C3E2467" wp14:editId="4BDB41C6">
            <wp:extent cx="695325" cy="390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= 0,01662 г./мл</w:t>
      </w:r>
    </w:p>
    <w:p w14:paraId="7E3DD09D" w14:textId="25F89046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Х=</w:t>
      </w:r>
      <w:r w:rsidR="00637DB3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70764D3" wp14:editId="5CDD043D">
            <wp:extent cx="914400" cy="4191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91A16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стадия</w:t>
      </w:r>
    </w:p>
    <w:p w14:paraId="54EA8BFE" w14:textId="25E3BA51" w:rsidR="00000000" w:rsidRDefault="00637D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1B3E897" wp14:editId="04AE1837">
            <wp:extent cx="2390775" cy="8382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96C7C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en-US"/>
        </w:rPr>
        <w:t>II стадия</w:t>
      </w:r>
    </w:p>
    <w:p w14:paraId="1593A964" w14:textId="434AAD17" w:rsidR="00000000" w:rsidRDefault="00637D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DEEBEF2" wp14:editId="0FC63E24">
            <wp:extent cx="3429000" cy="2857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61AB9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III стадия</w:t>
      </w:r>
    </w:p>
    <w:p w14:paraId="1CCC0A4B" w14:textId="4221390A" w:rsidR="00000000" w:rsidRDefault="00637D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4B203ECD" wp14:editId="1F560597">
            <wp:extent cx="3209925" cy="8477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3A5FA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38F353A5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ru-RU"/>
        </w:rPr>
        <w:t xml:space="preserve"> спектрофотометрия (МФ США)</w:t>
      </w:r>
    </w:p>
    <w:p w14:paraId="69DCA307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Точную навеску препарата 250 мг помещают в колбу на 100 мл, растворяют в 100 мл метилового спирта. Из полученного раствора берут аликвоту 10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л, добавляют 50 мл метилового спирта и определяют оптическую плотность при длине волны 290 нм. Предварительно измеряют оптическую плотность стандартного образца.</w:t>
      </w:r>
    </w:p>
    <w:p w14:paraId="50672553" w14:textId="42BDBB7E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= </w:t>
      </w:r>
      <w:r w:rsidR="00637DB3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F16261A" wp14:editId="5D5FE414">
            <wp:extent cx="885825" cy="4667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где</w:t>
      </w:r>
    </w:p>
    <w:p w14:paraId="200FBC91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6C1D13B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оптическая плотность исследуемого раствора;</w:t>
      </w:r>
    </w:p>
    <w:p w14:paraId="24849402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оптическая плотность стандартного образца;</w:t>
      </w:r>
    </w:p>
    <w:p w14:paraId="0D2EE6D3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масса навески;</w:t>
      </w:r>
    </w:p>
    <w:p w14:paraId="5B59D4D0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разведение;</w:t>
      </w:r>
    </w:p>
    <w:p w14:paraId="20461731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средняя масса таблетки;</w:t>
      </w:r>
    </w:p>
    <w:p w14:paraId="3BF46E4B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ал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объем аликвоты.</w:t>
      </w:r>
    </w:p>
    <w:p w14:paraId="2B3815A1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3)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ru-RU"/>
        </w:rPr>
        <w:t xml:space="preserve">фотометрия (патент РФ)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[13]</w:t>
      </w:r>
    </w:p>
    <w:p w14:paraId="21A287EC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Сущность изобретения: способ экстракционно-фотометрического определения заключается в образ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овании ионного ассоциата этионамида и кислотного фиолетового антрахинонового красителя, его экстракции хлороформом из кислой среды, разрушении раствором щелочи и последующем измерении оптической плотности освободившегося красителя, количественно эквивалент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ного количеству этионамида. Прямолинейная зависимость между оптической плотностью исследуемого раствора и количеством препарата находится в пределах 30 - 150 мкг/мл.</w:t>
      </w:r>
    </w:p>
    <w:p w14:paraId="734538AE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Известен способ определения этионамида по реакции с глиоксиматом никеля и роданидом калия.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Недостатком его является низкая чувствительность и невысокая точность определения. Наиболее близким к изобретению является способ количественного определения этионамида фотометрическим методом с применением 0,1%-ного пентацианоаминоферроата натрия (ПЦАФ),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котором анализируемая проба растворяется в метаноле и обрабатывается ПЦАФ. Окрашенная смесь фотометрируется при длине волны 550 нм. Недостатком способа является низкая чувствительность, применение труднодоступного, токсического и летучего растворителя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етанола, а также то, что способ не позволяет определять этионамид в биологических жидкостях. Целью изобретения является повышение точности и чувствительности определения этионамида, а также расширение области применения. Цель достигается тем,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что в способе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количественного определения этионамида путем растворения анализируемой пробы в воде, обработки полученного раствора цветореагентом в присутствии универсального буферного раствора с последующей экстракцией хлороформом и фотометрированием в количестве цвето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реагента используя 0,04%-ный водный раствор количественного фиолетового антрахинонового красителя, обработку им проводят в присутствии универсального буферного раствора при рН 2,5 при соотношении пробы, буферного раствора цветореагента и хлороформа 1:7:2:1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0 и фотометрируют при длине волны 590 нм водный слой.</w:t>
      </w:r>
    </w:p>
    <w:p w14:paraId="419C6425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Способ осуществляют следующим образом. Для количественного определения этионамида используется стандартный водный раствор, содержащий в 1 мл 0,15 мг этого препарата. В качестве реагента используется 0,0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4%-ный водный раствор кислотного фиолетового антрахинонового красителя 1-окси - 9,10 - антрахинон-4-амино (мета-толил-сульфокислоты), в кислой среде с этионамидом образующий окрашенный ионный ассоциат, который в той же среды извлекается хлороформом. Для со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здания определенного рН среды используется универсальная буферная смесь. В хлороформной вытяжке, при обработке раствором щелочи, происходит разрушение ионного ассоциата этионамида и красителя. В щелочной раствор переходит освободившийся краситель, количест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 которого эквивалентно количеству вступившего с ним во взаимодействие этионамида.</w:t>
      </w:r>
    </w:p>
    <w:p w14:paraId="27BABFE0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Ионный ассоциат этионамида и реагента в наибольших количествах экстрагируется хлороформом при рН 2,0-3,0. В дальнейших исследованиях использовался раствор универсальной бу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ферной смеси с рН 2,5. Из Для полного образования ионного ассоциата между этионамидом и реагентом необходимо прибавить 1,8-2,2 мл 0,04%-ного раствора кислотного фиолетового антрахинонового красителя. В дальнейших исследованиях прибавляли по 2 мл 0,04%-ного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раствора указанного реагента. Было установлено, что для достижения оптимальных условий количественного определения этионамида, основанного на взаимодействии препарата с кислотным фиолетовым антрахиноновым красителем, необходимо брать 1-2 мл раствора этион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амида, содержащего в этом объеме от 0,03 до 0,15 мг этого препарата, 7 мл раствора универсальной буферной смеси с рН 2,5, 2 мл 0,04%-ного раствора реагента и 10 мл хлороформа.</w:t>
      </w:r>
    </w:p>
    <w:p w14:paraId="425FC573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Фотометрируют и строят график зависимости оптической плотности исследуемого раст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вора от количества в нем этионамида, где по горизонтали откладывают количество этионамида С, а по вертикали - значение оптической плотности D.</w:t>
      </w:r>
    </w:p>
    <w:p w14:paraId="6F2694C8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ru-RU"/>
        </w:rPr>
        <w:t>Пример 1. Определение этионамида в субстанции.</w:t>
      </w:r>
    </w:p>
    <w:p w14:paraId="3626ABDA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 делительную воронку вносят 1 мл водного раствора этионамида (от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0,03 до 0,15 мг в пробе), прибавляют 7 мл универсальной буферной смеси с рН 2,5, 2 мл 0,04%-ного водного раствора реагента и 10 мл хлороформа. Смесь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взбалтывают в течение 3 мин, затем оставляют для разделения фаз на 10 мин. После разделения фаз хлороформны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слой переносят в делительную воронку, содержащую 12 мл 0,2 н. раствора гидроксида натрия и встряхивают 10-15 с. После отстаивания фаз отделяют окрашенный щелочной раствор и оптическую плотность окрашенного щелочного раствора измеряют с помощью фотоэлектр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околориметра (при использовании светофильтра, который имеет эффективную длину волны 590 ±10 нм, кювета 20 мм). В качестве раствора сравнения берут 0,2 н. раствор гидроксида натрия.</w:t>
      </w:r>
    </w:p>
    <w:p w14:paraId="049B92F4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Построение калибровочного графика.</w:t>
      </w:r>
    </w:p>
    <w:p w14:paraId="5F615C6D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делительные воронки вносят по 0,2; 0,4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; 0,6; 0,8; 1,0 мл стандартного раствора этионамида, в 10 мл которого содержится 0,15 мг препарата. Затем во все делительные воронки прибавляют раствор УБС (рН 2,5) до 8 мл, по 2 мл 0,04%-ного раствора реагента, по 10 мл хлороформа и поступают, как указано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выше. Используя полученные значения оптической плотности, строят калибровочный график. Подчиняемость закону Бугера-Ламберта-Бера наблюдается в пределах концентраций этионамида от 0,03 до 0,15 мг/мл. Используя калибровочный график, определяют количество 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ализируемого препарата. Этот метод можно применять для количественного определения этионамида как в субстанции, так и в драже.</w:t>
      </w:r>
    </w:p>
    <w:p w14:paraId="3523ADDF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ru-RU"/>
        </w:rPr>
        <w:t>Пример 2. Количественное определение этионамида в драже по 0,25.</w:t>
      </w:r>
    </w:p>
    <w:p w14:paraId="34D2098C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количественного определения этионамида в драже берут драже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измельчают. Из измельченного драже брали 0,02 (точная навеска), количественно переносят в мерную колбу емкостью 100 мл, растворяют и доводят до метки универсальной буферной смесью рН 2,5. Для анализа берут 1 мл этого раствора, добавляют 7 мл универсальной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буферной смеси и 2 мл 0,04%-ного раствора реагента. Далее поступают аналогично примеру 1.</w:t>
      </w:r>
    </w:p>
    <w:p w14:paraId="78C508E9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Расчет концентрации этионамида в драже можно производить не только по калибровочному графику, но и по следующей формуле:</w:t>
      </w:r>
    </w:p>
    <w:p w14:paraId="39F3D6AB" w14:textId="43DD39D9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= </w:t>
      </w:r>
      <w:r w:rsidR="00637DB3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FC06EEF" wp14:editId="7F643F4C">
            <wp:extent cx="447675" cy="4476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гд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</w:t>
      </w:r>
    </w:p>
    <w:p w14:paraId="5A7F3A0F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оптическая плотность стандартного раствора;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оптическая плотность исследуемого образца;</w:t>
      </w:r>
    </w:p>
    <w:p w14:paraId="5DE3266B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содержание этионамида в 1 мл стандартного раствора.</w:t>
      </w:r>
    </w:p>
    <w:p w14:paraId="6E45AFF5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Приготовление стандартного раствора.</w:t>
      </w:r>
    </w:p>
    <w:p w14:paraId="027C4916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0,015 мг субстанции этионамида помещают в мерную колбу на 100 мл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растворяют в 50 мл дистиллированной воды, доводят объем раствора водой до метки. Для анализа берут 1 мл стандартного раствора.</w:t>
      </w:r>
    </w:p>
    <w:p w14:paraId="750C86DD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ru-RU"/>
        </w:rPr>
        <w:t>Пример 3. Определение этионамида в биологическом материале.</w:t>
      </w:r>
    </w:p>
    <w:p w14:paraId="7C9EBD20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 100 г. мелкоизмельченной печени трупа было добавлено 20 мг этионам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ида и оставлено на сутки при периодическом перемешивании. Исследуемый препарат из печени трехкратно изолировали водой, подкисленной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щавелевой кислотой до рН 2,0. Объединенные вытяжки фильтровали через 4-5 слоев марли и центрифугировали. Этионамид из вытяже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 экстрагировали хлороформом из щелочной среды (рН 8,0-9,0). Сухие остатки из кислых и из щелочных вытяжек после отгонки хлороформа растворяли в 100 мл универсальной буферной смеси (рН 2,5). Для количественного определения брали 1-2 мл этого раствора и дал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ее поступали, как указано в примере 1. После определения оптической плотности количество выделенного этионамида из биологического материала рассчитывают по калибровочному графику. Примеси, выделенные совместно с этионамидом из биологического материала, не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вступают во взаимодействие с реагентом и не мешают определению этионамида, выделенного из биологического материала.</w:t>
      </w:r>
    </w:p>
    <w:p w14:paraId="70CA7AAB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Хранение</w:t>
      </w:r>
    </w:p>
    <w:p w14:paraId="22D0F0AD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4ADEEBF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Хранят по списку Б, в плотно укупоренной таре, предохраняющей от действия света, в сухом месте, тк подвергаются окислению (за сче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 наличия атома серы) и гидролизу.</w:t>
      </w:r>
    </w:p>
    <w:p w14:paraId="5FACDD51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Этионамид хранят при температуре не выше 30°С. Он менее устойчив, чем протионамид. Под действием света темнеет (сера окисляется). Его растворы устойчивы при рН 3-6, в более кислой или щелочной среде он гидролизуется.</w:t>
      </w:r>
    </w:p>
    <w:p w14:paraId="05B354A8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4BC3578B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При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менение</w:t>
      </w:r>
    </w:p>
    <w:p w14:paraId="20025746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</w:pPr>
    </w:p>
    <w:p w14:paraId="14DAE1DD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  <w:t>Показания: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Туберкулез (легочный и внелегочный, в случае непереносимости или неэффективности противотуберкулезных ЛС I ряда, в т.ч. в составе комплексной туберкулостатической терапии).</w:t>
      </w:r>
    </w:p>
    <w:p w14:paraId="2C178F10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Этионамид</w:t>
      </w:r>
    </w:p>
    <w:p w14:paraId="1ED81FFF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Быстро и полностью всасывается из ЖКТ. Биодоступност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 около 100%. C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max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после однократного приема в дозе 500 мг составляет 2,2 мкг/мл и достигается через 1,8 ч. Связывание с белками плазмы низкое (10%). Широко распределяется в большинстве тканей и жидкостей организма, включая печень, почки, селезенку, спинно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-мозговую жидкость. Объем распределения - 2,8 л/кг. Концентрации в органах и спинно-мозговой жидкости почти равны концентрации в плазме крови. Метаболизируется в печени до фармакологически активного сульфоксида и неактивных метаболитов. Т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1/2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составляет 2-3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ч. С мочой экскретируется 1% неизмененного этионамида, до 5% - в виде активных и остальная часть - в виде неактивных метаболитов.</w:t>
      </w:r>
    </w:p>
    <w:p w14:paraId="6450428A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Протионамид</w:t>
      </w:r>
    </w:p>
    <w:p w14:paraId="76159E38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Быстро всасывается из ЖКТ в кровь при пероральном при¬еме. Биодоступность составляет почти 100%. Пик плазменной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концентрации достигается через 1,8 часа. Широко распределяется в большинство тканей и жидкостей организма, включая печень, почки, селезенку. Концентрация препарата в органах и спинномозговой жидкости эквивалентна концентрации в крови. Проходит через плацен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ту. Связь с белками плазмы низкая - 10%. Т1/2 составляет 2-3 часа. Выводится с мочой.</w:t>
      </w:r>
    </w:p>
    <w:p w14:paraId="3663AE60" w14:textId="77777777" w:rsidR="00000000" w:rsidRDefault="00495F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  <w:t xml:space="preserve">Противопоказания: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Гиперчувствительность, в т.ч. к изониазиду, пиразинамиду, никотиновой кислоте и другим схожим по химической структуре ЛС, острый гастрит, язвенная болез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нь желудка и двенадцатиперстной кишки, язвенный колит (Протионамид переносится несколько лушче этионамида и может применяться при заболеваниях желудочно-кишечного тракта (но в фазе ремиссии!), цирроз печени и другие заболевания печени в фазе обострения, хр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онический алкоголизм, почечная недостаточность, возраст до 14 лет. Противопоказано при беременности. Этионамид проходит через плаценту. В экспериментальных исследованиях на животных (кролики, крысы)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продемонстрированы тератогенные эффекты при дозах, превыш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ающих рекомендованные для человека. На время лечения рекомендуется отказаться от грудного вскармливания (неизвестно, проникает ли этионамид в грудное молоко).</w:t>
      </w:r>
    </w:p>
    <w:p w14:paraId="29255F3C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  <w:t>Побочные действия</w:t>
      </w:r>
    </w:p>
    <w:p w14:paraId="19C349C8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Со стороны нервной системы и органов чувств: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неврологические и психические нару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шения - головная боль, парестезия, судороги, снижение концентрации внимания, спутанность сознания, сонливость или бессонница, слабость, депрессия, галлюцинации, возбуждение, психоз, периферический неврит, неврит зрительного нерва.</w:t>
      </w:r>
    </w:p>
    <w:p w14:paraId="73F22DFB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Со стороны органов ЖКТ: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норексия, металлический привкус во рту, стоматит, гиперсаливация, отрыжка с тухлым запахом, тошнота, рвота, боль в эпигастрии, диарея, метеоризм, нарушение функции печени (гепатотоксичность вплоть до развития гепатита).</w:t>
      </w:r>
    </w:p>
    <w:p w14:paraId="2CDAFC75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Со стороны сердечно-сосудистой систе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мы и крови (кроветворение, гемостаз):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тахикардия, ортостатическая гипотензия, нарушение кроветворения (тромбоцитопения).</w:t>
      </w:r>
    </w:p>
    <w:p w14:paraId="6813DB29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Аллергические реакции: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кожная сыпь, крапивница, эксфолиативный дерматит.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 Прочие: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гинекомастия, дисменорея, импотенция, гипотиреоидизм,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эпизоды гипогликемии у больных сахарным диабетом, гиповитаминоз B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6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снижение массы тела, артралгия, фотосенсибилизация.</w:t>
      </w:r>
    </w:p>
    <w:p w14:paraId="5CCB98BF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  <w:t>Взаимодействие</w:t>
      </w:r>
    </w:p>
    <w:p w14:paraId="09AFC3F6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использовании одновременно с другими противотуберкулезными средствами проявляется синергизм по отношению к главному 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ействию. При одновременном приеме с циклосерином повышается риск развития нейротоксических эффектов, в частности судорог (особенно у больных, имеющих неврологические заболевания в анамнезе), с изониазидом, рифампицином и пиразинамидом - риск гепатотоксично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сти. Усиливает токсический эффект алкоголя.</w:t>
      </w:r>
    </w:p>
    <w:p w14:paraId="36FD6F69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  <w:lastRenderedPageBreak/>
        <w:t>Лекарственные формы</w:t>
      </w:r>
    </w:p>
    <w:p w14:paraId="33A7EE14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  <w:t>Этионамид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драже 250 мг, порошок для инъекций для приготовления внутривенного раствора 500 мг, таблетки покрытые оболочкой 250 мг, порошок для приготовления инфузионного раствора 500 мг, таблет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ки в оболочке из сахара 250 мг</w:t>
      </w:r>
    </w:p>
    <w:p w14:paraId="4C65546D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Производители: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Гедеон Рихтер А.О. (Венгрия), Русан Фарма(Россия), Темис Кэмикалс Лтд(Венгрия), Хеми(Индия)</w:t>
      </w:r>
    </w:p>
    <w:p w14:paraId="6664A74C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  <w:t xml:space="preserve">Протионамид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драже 250 мг, таблетки покрытые оболочкой 250 мг, таблетки покрытые пленочной оболочкой 250 мг</w:t>
      </w:r>
    </w:p>
    <w:p w14:paraId="3E72F650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Производите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ли: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Гедеон Рихтер А.О. (Венгрия), Люпин Лтд(Индия), Промед Экспортс Пвт. Лтд(Индия), Русан Фарма(Индия), Симпекс Фарма Пвт, Лтд(Индия), Симпекс Фарма Пвт/упаковано Макиз Фарма (Индия / Россия), Симпекс Фарма Пвт/упаковано Макиз Фарма(Индия), Уфавита(Россия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), Фортун Оверсиз Компани Пвт. Лтд, произведено Линкольн Фармасьютикалз Лтд(Индия), Щелковский витаминный завод(Россия)</w:t>
      </w:r>
    </w:p>
    <w:p w14:paraId="5B601D86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  <w:t>Способ применения и дозы</w:t>
      </w:r>
    </w:p>
    <w:p w14:paraId="11597BF1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  <w:t>Этионамид</w:t>
      </w:r>
    </w:p>
    <w:p w14:paraId="30F4935C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Внутрь,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через 30 мин после еды, запивая молоком или апельсиновым соком. Взрослым: по 250 мг 3-4 раза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сутки; максимальная суточная доза - 1,0 г; больным старше 60 лет, при массе тела менее 50 кг - по 250 мг 2 раза в сутки. Детям старше 14 лет: суточная доза - из расчета 10-20 мг/кг/сут, но не более 750 мг/сут. Длительность курса лечения - 1-2 года.</w:t>
      </w:r>
    </w:p>
    <w:p w14:paraId="31C5FCDA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  <w:t>Проти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  <w:t>онамид</w:t>
      </w:r>
    </w:p>
    <w:p w14:paraId="1381F52A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Внутрь, после еды. Взрослым: назначают 250 мг 3 раза в день; при хорошей переносимости - по 500 мг 2 раза в день. У больных старше 60 лет и при массе тела менее 50 кг суточная доза не должна превышать 750 мг (по 250 мг 2 раза в сутки). Детям: назнач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ают из расчета 10-20 мг/кг массы тела в сутки.</w:t>
      </w:r>
    </w:p>
    <w:p w14:paraId="7BA7080C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  <w:t>Меры предосторожности</w:t>
      </w:r>
    </w:p>
    <w:p w14:paraId="51ECB29D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Перед лечением необходимо исследование ЖКТ и функции печени, а также определение чувствительности выделенного штамма микобактерий. Во время лечения следует каждые 2-4 нед контролировать 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ровень активности печеночных трансаминаз, проводить офтальмологическое обследование, пациентам с сахарным диабетом - регулярно определять уровень гликемии.</w:t>
      </w:r>
    </w:p>
    <w:p w14:paraId="008D0D6D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совместном применении с пиразинамидом необходим более частый контроль функции печени. Совместное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применение с протионамидом нецелесообразно из-за наличия перекрестной резистентности микобактерий туберкулеза к этим ЛС. Следует избегать одновременного применения с ЛС, обладающими гепатотоксическим действием. Для предупреждения побочного действия этиона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мид следует сочетать с никотинамидом (по 0,1 г 2-3 раза в сутки) и витамином В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6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(1-2 мл 5% раствора в/м).</w:t>
      </w:r>
    </w:p>
    <w:p w14:paraId="3E48C0A6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время лечения следует воздержаться от употребления алкоголя. С осторожностью применять водителям транспортных средств и людям, деятельность которых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требует повышенной концентрации внимания.</w:t>
      </w:r>
    </w:p>
    <w:p w14:paraId="08138709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</w:pPr>
    </w:p>
    <w:p w14:paraId="70302455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Заключение</w:t>
      </w:r>
    </w:p>
    <w:p w14:paraId="01EEB656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3DD5B29F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данной работе были рассмотрены производные тиоамида изоникотиновой кислоты - протионамид и этионамид, и получены следующие выводы:</w:t>
      </w:r>
    </w:p>
    <w:p w14:paraId="4A324C24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В основе химического стоения лежит скелет тиоизоникотинамида. Ле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карственные вещества отличаются только радикалом (R)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α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- положении. У этионамида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=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у протионамида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=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7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;</w:t>
      </w:r>
    </w:p>
    <w:p w14:paraId="069FCB69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Лекарственные вещества также как и производные изоникотиновой кислоты проявляют противотуберкулезную активность, что обусловлено скелетом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зоникотиновой кислоты и наличием атома серы. Оказывают бактериостатическое действие (в организме частично превращаются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сульфоксид, обладающий туберкулостатической активностью);</w:t>
      </w:r>
    </w:p>
    <w:p w14:paraId="3B4B35D0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По физическим свойствам представляют собой желтые кристаллические порошки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окраска обусловлена наличием атома серы и азота) практически нерастворимые в воде, растворимы в этаноле;</w:t>
      </w:r>
    </w:p>
    <w:p w14:paraId="4F5C4F05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Подлинность устанавливают по ИК и УФ-спектрам. Также используют химические реакции, основанные на установлении продуктов разложения, и реакции на пир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идиновый цикл;</w:t>
      </w:r>
    </w:p>
    <w:p w14:paraId="23504038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Посторонние примеси определяют методом ТСХ, проявляя пятна УФ-светом. Также проводят испытания на тяжелые металлы, сульфатную золу, потери при высушивании и кислотность, руководствуясь методиками ГФ и МФ.</w:t>
      </w:r>
    </w:p>
    <w:p w14:paraId="58BC702C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Количественное определение прово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дят методом неводного титрования, описанным в МФ. Этионамид Фармакопея США рекомендует определять спектрофотометрически, а в РФ разработан патент фотометрического определения;</w:t>
      </w:r>
    </w:p>
    <w:p w14:paraId="50281AEE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Хранят по списку Б, учитывая способность препаратов к окислению и гидролизу;</w:t>
      </w:r>
    </w:p>
    <w:p w14:paraId="2D9DF939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Этионамид и протионамид являются препаратами второго ряда при лечении туберкулеза, что связано с их токсичностью и значительными побочными эффектами. Но препараты нашли применение при лечении лекарственно-устойчивого туберкулеза в составе комплексной тера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пии. Выпускаются в основном в таблетках и драже.</w:t>
      </w:r>
    </w:p>
    <w:p w14:paraId="206ED49A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Список использованной литературы</w:t>
      </w:r>
    </w:p>
    <w:p w14:paraId="56DEEA11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тиоамид изоникотиновый производный химический</w:t>
      </w:r>
    </w:p>
    <w:p w14:paraId="40C66B03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1) Moffat A.C Clarke’s isolation and identification of drugs 2nd Edition - London: The pharmaceutical press, 1986. - 1684</w:t>
      </w:r>
    </w:p>
    <w:p w14:paraId="17042DF4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) Ter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ry Mills III and J. Conrad Roberson Instrumental Data for Drug Analysis 2nd Edition Volume 2 - New York: Elsevier, 1992. - 1577</w:t>
      </w:r>
    </w:p>
    <w:p w14:paraId="1663B7A5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3) Великородов А.В, Безуглова Т.В Руководство к лабораторным и семинарским занятиям по фармацевтической химии Астрахань 2007</w:t>
      </w:r>
    </w:p>
    <w:p w14:paraId="0A88EBCB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лущенко Н.Н, Т.В Плетнева, В.А Попков Фармацевтическая химия - М.: Издательский центр «Академия», 2004. - 384 с.</w:t>
      </w:r>
    </w:p>
    <w:p w14:paraId="41CA7CB9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Государственная Фармакопея СССР 10-е издание. - М.: Медицина, 1968.-1081 с.</w:t>
      </w:r>
    </w:p>
    <w:p w14:paraId="101FA4F8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Государственная Фармакопея СССР 11-е издание, вып. 1. - М.: Мед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ицина, 1987. - 335 с.</w:t>
      </w:r>
    </w:p>
    <w:p w14:paraId="290876D1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Джилкрист Т. Химия гетероциклических соединений: Пер. с англ. - М.: Мир, 1996. - 464 с.</w:t>
      </w:r>
    </w:p>
    <w:p w14:paraId="44C2F6A8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Логинова Н.В, Полозов Г.И Введение в фармацевтическую химию. - Мн.: БГУ, 2003. - 250 с.</w:t>
      </w:r>
    </w:p>
    <w:p w14:paraId="067D76DB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Максютина Н.П, Каган Ф.Е, Митченко Ф.А. - Киев: «Здо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ров'я», 1978. - 240 с.</w:t>
      </w:r>
    </w:p>
    <w:p w14:paraId="164571A6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Машковский М.Д Лекарственные средства 14-е издание т. 2 - М.: ООО «Издательство Новая волна»: Издатель С.Б Дивов, 2002. - 608 с.</w:t>
      </w:r>
    </w:p>
    <w:p w14:paraId="0125A8BA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Международная фармакопея 3е издание т. 1 Женева 1981</w:t>
      </w:r>
    </w:p>
    <w:p w14:paraId="1CC69C9F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Международная фармакопея 3е издание т. 3 Жене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 1990</w:t>
      </w:r>
    </w:p>
    <w:p w14:paraId="0A734A52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Мелентьева Г.А, Антонова Л.А Фармацевтическая химия - М.: Медицина, 1985. - 480 с.</w:t>
      </w:r>
    </w:p>
    <w:p w14:paraId="03F6E081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Патент Российской федерации 2027170 от 20.01.1995 г.</w:t>
      </w:r>
    </w:p>
    <w:p w14:paraId="310F733E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Халецкий А.М Фармацевтическая химия Л. - Медицина 1966. - 762 с.</w:t>
      </w:r>
    </w:p>
    <w:p w14:paraId="38C4E076" w14:textId="77777777" w:rsidR="00000000" w:rsidRDefault="00495F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Эльдерфилд Р. Гетероциклические соедин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ения т. 1 - М.: Издательство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иностранной литературы 1953. - 556 с.</w:t>
      </w:r>
    </w:p>
    <w:p w14:paraId="73E3E345" w14:textId="77777777" w:rsidR="00495FDF" w:rsidRDefault="00495F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Эшворт М.Р.Ф Титриметрические методы анализа органических соединений. - М.: Химия, 1968.-555 с.</w:t>
      </w:r>
    </w:p>
    <w:sectPr w:rsidR="00495FD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B3"/>
    <w:rsid w:val="00495FDF"/>
    <w:rsid w:val="0063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63DA8C"/>
  <w14:defaultImageDpi w14:val="0"/>
  <w15:docId w15:val="{AD450E1F-C133-441C-95CC-861EE1AC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fontTable" Target="fontTable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4476</Words>
  <Characters>25518</Characters>
  <Application>Microsoft Office Word</Application>
  <DocSecurity>0</DocSecurity>
  <Lines>212</Lines>
  <Paragraphs>59</Paragraphs>
  <ScaleCrop>false</ScaleCrop>
  <Company/>
  <LinksUpToDate>false</LinksUpToDate>
  <CharactersWithSpaces>29935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2025-01-23T22:44:00Z</dcterms:created>
  <dcterms:modified xsi:type="dcterms:W3CDTF">2025-01-23T22:44:00Z</dcterms:modified>
</cp:coreProperties>
</file>