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18F4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7C800D6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ED4F46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AB1C10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046212D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D737EB6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2D0CAE8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F0516B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1468FF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B0D531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9387B5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6E042A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4699AD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2652CE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КЛИНИЧЕСКАЯ ФАРМАКОЛОГИЯ АНТИКОАГУЛЯНТОВ ПРЯМОГО И НЕПРЯМОГО ДЕЙСТВИЯ</w:t>
      </w:r>
    </w:p>
    <w:p w14:paraId="6E785FC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AFE2DA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242B397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8481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- это внутренняя среда организма с многообразными функциями. Кровь является универсальной транспортной средой, с помощью которой в организме происходят пе</w:t>
      </w:r>
      <w:r>
        <w:rPr>
          <w:rFonts w:ascii="Times New Roman CYR" w:hAnsi="Times New Roman CYR" w:cs="Times New Roman CYR"/>
          <w:sz w:val="28"/>
          <w:szCs w:val="28"/>
        </w:rPr>
        <w:t>ремещение питательных веществ, факторов защиты организма и передача информации между отдельными клетками и органами.</w:t>
      </w:r>
    </w:p>
    <w:p w14:paraId="5503A873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крови поддерживается единство внутренней среды организма в самых различных аспектах. Плазма и форменные элементы крови участвуют </w:t>
      </w:r>
      <w:r>
        <w:rPr>
          <w:rFonts w:ascii="Times New Roman CYR" w:hAnsi="Times New Roman CYR" w:cs="Times New Roman CYR"/>
          <w:sz w:val="28"/>
          <w:szCs w:val="28"/>
        </w:rPr>
        <w:t>в процессах гемостаза. Термин «гемостаз» охватывает все процессы, направленные на остановку кровотечения из травматически поврежденных сосудов с последующим восстановлением их целостности и проходимости для циркулирующей в сосудах крови. Гемостаз - физиоло</w:t>
      </w:r>
      <w:r>
        <w:rPr>
          <w:rFonts w:ascii="Times New Roman CYR" w:hAnsi="Times New Roman CYR" w:cs="Times New Roman CYR"/>
          <w:sz w:val="28"/>
          <w:szCs w:val="28"/>
        </w:rPr>
        <w:t>гическая, жизненно необходимая реакция.</w:t>
      </w:r>
    </w:p>
    <w:p w14:paraId="08621FC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систему гемостаза входят 4 основных компонента.</w:t>
      </w:r>
    </w:p>
    <w:p w14:paraId="376A645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Свертывающая система крови, представленная 13 факторами (коагуляционное звено).</w:t>
      </w:r>
    </w:p>
    <w:p w14:paraId="079772C3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Тромбоцитарное звено (тромбоциты или кровяные пластинки).</w:t>
      </w:r>
    </w:p>
    <w:p w14:paraId="581A559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Антикоагуляционная сис</w:t>
      </w:r>
      <w:r>
        <w:rPr>
          <w:rFonts w:ascii="Times New Roman CYR" w:hAnsi="Times New Roman CYR" w:cs="Times New Roman CYR"/>
          <w:sz w:val="28"/>
          <w:szCs w:val="28"/>
        </w:rPr>
        <w:t>тема.</w:t>
      </w:r>
    </w:p>
    <w:p w14:paraId="0551746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Система фибринолиза: плазминоген и его эндогенные активаторы.</w:t>
      </w:r>
    </w:p>
    <w:p w14:paraId="20EAFC9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средства, влияющие на систему гемостаза, могут предотвращать образование тромбов, угнетают свертывающую систему крови и тромбоцитарное звено. Они могут способствовать раст</w:t>
      </w:r>
      <w:r>
        <w:rPr>
          <w:rFonts w:ascii="Times New Roman CYR" w:hAnsi="Times New Roman CYR" w:cs="Times New Roman CYR"/>
          <w:sz w:val="28"/>
          <w:szCs w:val="28"/>
        </w:rPr>
        <w:t>ворению уже образовавшегося тромба, активируя фибринолитическую систему. И наконец, могут применяться при состояниях повышенной кровоточивости, когда их действие направлено на активацию свертывающей системы крови.</w:t>
      </w:r>
    </w:p>
    <w:p w14:paraId="71E8112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препараты, ингибирующие сист</w:t>
      </w:r>
      <w:r>
        <w:rPr>
          <w:rFonts w:ascii="Times New Roman CYR" w:hAnsi="Times New Roman CYR" w:cs="Times New Roman CYR"/>
          <w:sz w:val="28"/>
          <w:szCs w:val="28"/>
        </w:rPr>
        <w:t xml:space="preserve">ему свертывания крови, называют антикоагулянтами. По механизму действия выделяют антикоагулянты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прямого и непрямого типа действия.</w:t>
      </w:r>
    </w:p>
    <w:p w14:paraId="6EE6F42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АНТИКОАГУЛЯНТЫ ПРЯМОГО ТИПА ДЕЙСТВИЯ</w:t>
      </w:r>
    </w:p>
    <w:p w14:paraId="2D30BD0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FA48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Общая характеристика</w:t>
      </w:r>
    </w:p>
    <w:p w14:paraId="55E8C994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A257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Антикоагулянты прямого типа действия (инъекционные антикоагулян</w:t>
      </w:r>
      <w:r>
        <w:rPr>
          <w:rFonts w:ascii="Times New Roman CYR" w:hAnsi="Times New Roman CYR" w:cs="Times New Roman CYR"/>
          <w:sz w:val="28"/>
          <w:szCs w:val="28"/>
        </w:rPr>
        <w:t xml:space="preserve">ты). Это быстродействующие средства, продолжительность их эффекта составляет несколько часов, вводят парентерально. Они эффективны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так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4CCBD0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Гепарин - природный антикоагулянт, синтезируется в эндотелиальных клетках, депонируется в тучных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Самая сильная органическая кислота в организме. По химической природе - мукополисахарид.</w:t>
      </w:r>
    </w:p>
    <w:p w14:paraId="6D7D354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 гепарина. Активность гепарина зависит от находящегося в плазме белка - природного ингибитора сериновых протеиназ - антитромбина III. Антитромбин 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I, связываясь с активированными свертывающими факторами (в частности, с тромбином IX, XI, XII), образует комплексы, лишенные протеолитической активности. В отсутствие гепарина такие комплексы формируются медленно (в течение 10-30 мин), а в присутствии гепа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рина для их образования требуется несколько секунд.</w:t>
      </w:r>
    </w:p>
    <w:p w14:paraId="7771960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Гепарин обладает широким спектром биологического действия. При его применении нередко наблюдаются побочные эффекты. Помимо влияния на свертываемость крови он обладает гиполипидемическим, иммунодепрессивны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действием, вызывает гипогликемию, снижение АД, повышает проницаемость капилляров, приводит к тромбоцитопении. Длительное лечение гепарином иногда приводит к остеопорозу с возможными спонтанными переломами ребер и позвонков. В настоящее время на фармаколо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гическом рынке гепарин потеснил еще один природный антикоагулянт - гирудин. Он выделен из слюнных желез медицинской пиявки и впервые изучен в 1950-х гг.</w:t>
      </w:r>
    </w:p>
    <w:p w14:paraId="5B9524B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Гирудин представляет собой небольшой пептид, сходный по структуре с гормоном роста, состоит из 66 амино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кислотных остатков. К особенностям химического строения гирудина относятся:</w:t>
      </w:r>
    </w:p>
    <w:p w14:paraId="03AD8348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существование в молекуле нерасщепляемой протеазами пептидной связи лизин-пролин, которая придает ему устойчивость к гидролизу;</w:t>
      </w:r>
    </w:p>
    <w:p w14:paraId="329200A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наличие сильного отрицательного заряда, обусловле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нного С-концевым фрагментом (последними 16 аминокислотными остатками).</w:t>
      </w:r>
    </w:p>
    <w:p w14:paraId="262EDF0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механизму действия гирудин - прямой ингибитор тромбина. При взаимодействии гирудина с тромбином образуется высокоспецифический нековалентный комплекс, при этом тромбин инактивируется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F2FE94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Сравнение антикоагулянтных свойств гирудина и гепарина свидетельствует о важных преимуществах гирудина. Во-первых, действие гирудина не опосредовано каким-либо эндогенным кофактором. Во- вторых, в отличие от гепарина он является слабым иммуногеном. Фарма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кологически инертен: не влияет на клетки крови, плазменные белки и ферменты. Эффективен при недостаточности антитромбина III, может быть также использован при тромбоцитопатиях.</w:t>
      </w:r>
    </w:p>
    <w:p w14:paraId="1C148CA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Производство природного гирудина в промышленных масштабах сталкивается с трудно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стями. Начиная с 1994г. ведутся работы по получению рекомбинантного гирудина и его активных ферментов. В настоящее время в США, Франции, Германии созданы коммерческие препараты рекомбинантного гирудина, предназначенного для лечебных и диагностических целей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B63B58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антикоагулянтам прямого действия относят натрия гидроцитрат. Механизм его противосвертывающего эффекта заключается в связывании ионов кальция (образуется кальция цитрат), необходимых для превращения протромбина в тромбин. Используется натрия гидроцитра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(4-5%) для стабилизации крови при ее консервировании.</w:t>
      </w:r>
    </w:p>
    <w:p w14:paraId="1B371ED6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CA6ACB8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Низкомолекулярные гепарины (НМГ)</w:t>
      </w:r>
    </w:p>
    <w:p w14:paraId="113CD26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антикоагулянт гирудин кровь активатор</w:t>
      </w:r>
    </w:p>
    <w:p w14:paraId="656199A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клинических исследований свидетельствуют об эффективности применения гепарина при остром инфаркте миокарда, нестабил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стенокардии, тромбозе глубоких вен нижних конечностей и некоторых других состояниях. Однако невозможность с точностью предсказать выраженность антикоагулянтного эффекта требует регулярного и частого проведения лабораторных исследований для определения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времени свертывания крови или активированного частичного тромбопластинового времени. Кроме того, гепарин обладает побочными эффектами, в частности он способен вызывать остеопороз, тромбоцитопению, а также способствует агрегации тромбоцитов. В связи с этим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были разработаны низкомолекулярные гепарины (НМГ), выделенные из «нефракционированного» гепарина.</w:t>
      </w:r>
    </w:p>
    <w:p w14:paraId="6C5097B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химической точки зрения гепарин представляет собой смесь полимеров, состоящих из остатков сахаридов, молекулярная масса которых колеблется в пределах 5000-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30 000 Д. Молекулы такого полимера имеют места связывания с антитромбином плазмы крови - определенная пентасахаридная последовательность.</w:t>
      </w:r>
    </w:p>
    <w:p w14:paraId="6ADA72C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72D20D" w14:textId="0ADBED96" w:rsidR="00000000" w:rsidRDefault="00C142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A2F512" wp14:editId="75B0633C">
            <wp:extent cx="4933950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123C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Рис.1. Структурно-функциональная пентасахаридная последовательность гепаринов.</w:t>
      </w:r>
    </w:p>
    <w:p w14:paraId="51F54D3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A060B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взаимодействии гепарина с антитромбином активность последнего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резко возрастает. Это создает предпосылки для подавления каскада реакций свертывания крови, благодаря чему и реализуется антикоагулянтное действие гепарина. Необходимо отметить, что «нефракц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ионированный» гепарин содержит полимеры с различной длиной цепи. Небольшие по размеру молекулы гепаринов усиливают антикоагулянтное действие за счет подавления активности фактора Ха, однако они не способны усиливать эффект антитромбина, направленный на угн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етение фактора свертывания крови Па. В то же время гепарины с большей длиной цепи повышают активность антитромбина в отношении фактора Па. Гепарины, которые активируют антитромбин, составляют третью часть таковых, входящих в состав «нефракционированного»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епарина.</w:t>
      </w:r>
    </w:p>
    <w:p w14:paraId="05AA501A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 химической точки зрения НМГ являются гетерогенной смесью сульфатированных гликозаминогликанов. Лекарственные средства на основе НМГ имеют ряд преимуществ по сравнению с «нефракционированным» гепарином. Так, при их использовании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ожно с большей точностью предсказать дозозависимый антикоагулянтный эффект, они характеризуются повышенной биодоступностью при подкожном введении, более продолжительным периодом полураспада, низкой частотой развития тромбоцитопении, кроме того, нет необход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имости регулярно проводить определение времени свертывания крови или активированного частичного тромбопластинового времени.</w:t>
      </w:r>
    </w:p>
    <w:p w14:paraId="71CFBB33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94D97DA" w14:textId="6D95452E" w:rsidR="00000000" w:rsidRDefault="00C142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A06D9C" wp14:editId="5C8175E9">
            <wp:extent cx="4229100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757A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2. Особенности антикоагуляционного действия «нефракционированного» гепарина (НФГ) и его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изкомолекулярных производных (НМГ)</w:t>
      </w:r>
    </w:p>
    <w:p w14:paraId="3A7A196D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2E452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</w:t>
      </w:r>
    </w:p>
    <w:p w14:paraId="7F210D1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Сравнительная характеристика НФГ и НМГ[8]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8"/>
        <w:gridCol w:w="2340"/>
        <w:gridCol w:w="3139"/>
      </w:tblGrid>
      <w:tr w:rsidR="00000000" w14:paraId="3DD897A6" w14:textId="77777777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1BB8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33E4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НФГ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87B2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НМГ</w:t>
            </w:r>
          </w:p>
        </w:tc>
      </w:tr>
      <w:tr w:rsidR="00000000" w14:paraId="68D2FC45" w14:textId="77777777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8EE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Биологическая активность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F332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30%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8BBF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90%</w:t>
            </w:r>
          </w:p>
        </w:tc>
      </w:tr>
      <w:tr w:rsidR="00000000" w14:paraId="109DC584" w14:textId="77777777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D3C3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Частота введения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9A81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4-6 раз в сутки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4FAF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Максимально-2 раза в сутки</w:t>
            </w:r>
          </w:p>
        </w:tc>
      </w:tr>
      <w:tr w:rsidR="00000000" w14:paraId="4EADD8CF" w14:textId="77777777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23BC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Лабораторный контроль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A169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Обязателен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293D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обязателен</w:t>
            </w:r>
          </w:p>
        </w:tc>
      </w:tr>
      <w:tr w:rsidR="00000000" w14:paraId="2D301763" w14:textId="77777777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5A42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боцитопении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86BE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0F1A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2FAB5D3" w14:textId="77777777">
        <w:tblPrEx>
          <w:tblCellMar>
            <w:top w:w="0" w:type="dxa"/>
            <w:bottom w:w="0" w:type="dxa"/>
          </w:tblCellMar>
        </w:tblPrEx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A9F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Период полураспада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6E71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50-60 мин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C63C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1,5-4,5 часа</w:t>
            </w:r>
          </w:p>
        </w:tc>
      </w:tr>
    </w:tbl>
    <w:p w14:paraId="471E4B2D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36C9E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НМГ имеют схожий механизм действия, но различная молекулярная масса обусловливает разную их активность в отношении фактора свертывания Ха и тромбина, а также различное сродство к белкам плазм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крови.</w:t>
      </w:r>
    </w:p>
    <w:p w14:paraId="00ED550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Препараты НМГ различаются по химической структуре, методам получения, периоду полураспада, специфическому действию, и поэтому они не могут быть взаимозаменяемыми. НМГ получают путем деполимеризации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гепарина, выделенного из слизистых оболочек свинь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различными методами. Например, дальтепарин получают методом деполимеризации с использованием азотистой кислоты, эноксапарин - методом бензилирования с последующей щелочной деполимеризацией, для получения тинзапарина используют метод ферментативного расще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пления «нефракционированного» гепарина с помощью гепариназы. Применяя различные способы деполимеризации, получают НМГ различной химической структуры с различным количеством мест связывания с антитромбином, а также других функциональных химических групп,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торые принимают участие в реакциях противосвертывающей системы крови. В связи с тем что НМГ отличаются по своей химической структуре, соответствующие препараты данного ряда проявляют специфическую активность в отношении фактора свертывания Ха.</w:t>
      </w:r>
    </w:p>
    <w:p w14:paraId="2BE2BAF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также отметить, что препараты НМГ обладают различной биодоступностью, поэтому режим дозирования, способ введения и показания к применению каждого из них несколько отличаются. Иными словами, препараты НМГ не являются взаимозаменяемыми, их необходимо применя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в соответствии с утвержденными показаниями.</w:t>
      </w:r>
    </w:p>
    <w:p w14:paraId="342C5B8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BFD9F8" w14:textId="57894038" w:rsidR="00000000" w:rsidRDefault="00C142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99CABF" wp14:editId="139BB55C">
            <wp:extent cx="5248275" cy="1266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B65A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Рис.3. Химическая структура некоторых низкомолекулярных гепаринов.</w:t>
      </w:r>
    </w:p>
    <w:p w14:paraId="4875862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A96F1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217EA8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</w:t>
      </w:r>
    </w:p>
    <w:p w14:paraId="6A8BF0D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Фармакологические и клинические эффекты низкомолекулярных гепаринов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6787"/>
      </w:tblGrid>
      <w:tr w:rsidR="00000000" w14:paraId="0ECA5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2941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Мишень действия НМГ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5A5C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мбин, белки, макрофаги, тромбоциты, остеобласты</w:t>
            </w:r>
          </w:p>
        </w:tc>
      </w:tr>
      <w:tr w:rsidR="00000000" w14:paraId="0A6CC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B3B4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Фармакологические свойства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BD9B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Снижение активности фактора свертывания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а; повышенная биодоступность; предсказуемый антикоагулянтный эффект; быстрая клубочковая фильтрация; низкая частота выработки антител к НМ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Г; незначительная активация остеобластов</w:t>
            </w:r>
          </w:p>
        </w:tc>
      </w:tr>
      <w:tr w:rsidR="00000000" w14:paraId="5080D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71F8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Особенности применения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E94B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НМГ эффективны при подкожном способе введения; не требуют регулярного определения времени свертывания крови или активированного частичного тромбопласти- нового времени; продолжительный период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полураспада; терапевтический эффект проявляется при приеме 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раз в сутки; низкая частота развития тромбоцитопении, вызванной гепарином; низкая частота развития остеопороза.</w:t>
            </w:r>
          </w:p>
        </w:tc>
      </w:tr>
    </w:tbl>
    <w:p w14:paraId="79C17B7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A96CE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опосредованными антитромбином эффектами НМГ оказывают несвязанное с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титромбином действие, в частности вызывают выделение тканевого ингибитора тромбопластина, подавляют освобождение фактора фон Виллебранда (секретируется тромбоцитами и эндотелиальными клетками и вызывает агрегацию тромбоцитов), устраняют прокоагулянтную 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ивность лейкоцитов, улучшают эндотелиальную функцию и др.</w:t>
      </w:r>
    </w:p>
    <w:p w14:paraId="14C2AA84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в клинической практике с целью профилактики и лечения тромбозов используется около 10 наименований НМГ. Каждый из них имеет свой уникальный спектр антитромботического действия,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определяет профиль клинической эффективности. В таблице 3 представлена сравнительная характеристика зарегистрированных и применяемых в России препаратов данной группы [8].</w:t>
      </w:r>
    </w:p>
    <w:p w14:paraId="0B1434F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40A54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</w:t>
      </w:r>
    </w:p>
    <w:p w14:paraId="4810409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Сравнительная характеристика низкомолекулярных гепаринов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749"/>
        <w:gridCol w:w="1340"/>
        <w:gridCol w:w="2028"/>
        <w:gridCol w:w="1771"/>
      </w:tblGrid>
      <w:tr w:rsidR="00000000" w14:paraId="70B39688" w14:textId="77777777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F7D6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A6CF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1-е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околение НМГ</w:t>
            </w: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136A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2-е поколение НМГ</w:t>
            </w:r>
          </w:p>
        </w:tc>
      </w:tr>
      <w:tr w:rsidR="00000000" w14:paraId="3B1AA8C4" w14:textId="77777777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D51F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C786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дальтепарин (Фрагмин)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4188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Эноксапарин (Клексан)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0726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надропарин (Фраксипарин)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9AC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Бемипарин (Цибор)</w:t>
            </w:r>
          </w:p>
        </w:tc>
      </w:tr>
      <w:tr w:rsidR="00000000" w14:paraId="4F338669" w14:textId="77777777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35A8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Средняя молекулярная масса, дальтон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2854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DE22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4500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9FE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4300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598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3600</w:t>
            </w:r>
          </w:p>
        </w:tc>
      </w:tr>
      <w:tr w:rsidR="00000000" w14:paraId="186C12B8" w14:textId="77777777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3AD9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Период полувыведения, ч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3BFF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2,3-2,8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8313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4,0-4,4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36C9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3,7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906A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5,2-5,4</w:t>
            </w:r>
          </w:p>
        </w:tc>
      </w:tr>
      <w:tr w:rsidR="00000000" w14:paraId="0C895A12" w14:textId="77777777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D904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Соотношение анти-Ха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/ анти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 -факторной активности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1C75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2,2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A293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9/1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B4B9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F672" w14:textId="77777777" w:rsidR="00000000" w:rsidRDefault="005D0D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</w:tbl>
    <w:p w14:paraId="0C51122D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32ED3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НМГ - современные эффективные лекарственные средства для лечения и профилактики различных тромбоэмболических состояний. НМГ действуют на различные механизмы системы свертывания крови, а также 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азывают положительное влияние на клетки крови и эндотелия, ослабляя их проагрегантные свойства. Несомненное преимущество препаратов данного фармакологического ряда - отсутствие необходимости регулярного и частого взятия крови для определения времени сверты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 крови и активированного частичного тромбопластинового времени.</w:t>
      </w:r>
    </w:p>
    <w:p w14:paraId="45C3188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9163D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Препараты антикоагулянтов прямого действия</w:t>
      </w:r>
    </w:p>
    <w:p w14:paraId="2CB0E72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A1BE0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Гепарин стандартный (нефракционированный; НФГ; гепарин- натрий Браун; гепарин «биохеми»; гепарин-рихтер).</w:t>
      </w:r>
    </w:p>
    <w:p w14:paraId="6D031496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Антикоагулянтное действие гепарина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вязано со способностью ингибировать тромбин и другие факторы свертывания крови (IX, X, XI и XII); он действует в комплексе с циркулирующими в крови кофакторами, основным из которых является антитромбин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III). Индивидуальный ответ на введение НФГ 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днопредсказуем из-за особенностей фармакокинетики, а также существенных различий антитромботической активности НФГ различных производителей и партий препарата. Поэтому подбор дозы НФГ (за исключением профилактического подкожного введения в малых дозах) осу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ществляется с помощью определения активированного частичного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тромбопластинового времени, АЧТВ (через 4-6 ч после каждого изменения дозы и как минимум 1 раз в сутки при стабильных значениях показателя). При этом следует ориентироваться не на абсолютные знач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показателя, а на степень его увеличения по отношению к нормальному (контрольному) уровню для лаборатории конкретного лечебного учреждения. Для подбора дозы используют номограммы.</w:t>
      </w:r>
    </w:p>
    <w:p w14:paraId="2A39B1B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гемофилия и другие геморрагические диатезы; содержание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тромбоцитов в крови &lt; 100 000/мм3; тромбоцитопения, вызванная гепарином, в анамнезе; активные язвы желудка и кишечника; продолжающееся тяжелое кровотечение; недавнее внутричерепное кровотечение; тяжелая неконтролируемая АГ; тяжелое заболевание печени (в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числе варикозное расширение вен пищевода); тяжелая травма или недавно перенесенное хирургическое вмешательство (особенно на глазах и нервной системе); острый бактериальный эндокардит, аллегическая реакция.</w:t>
      </w:r>
    </w:p>
    <w:p w14:paraId="02643ADD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эффекты: геморрагические осложнения,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естная реакция в местах инъекции (раздражение, боль, гематома; редко некроз кожи - подозрение в отношении иммунной тромбоцитопении), тромбоцитопения (в том числе иммунная стромбозами), гиперкалиемия, остеопороз при длительном применении, аллегическая реакц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ия; редко: головная боль, озноб, гипертермия, тошнота, рвота, запор, повышение активности печеночных ферментов (обычно бессимптомное, при продолжении лечения может нормализоваться), частая или длительная эрекция, периферическая нейропатия, облысение.</w:t>
      </w:r>
    </w:p>
    <w:p w14:paraId="5A32E14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Взаим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одействие: антикоагулянтный эффект НФГ уменьшается при одновременной в/в инфузии нитроглицерина (после прекращения лечения нитроглицерином иногда следует уменьшить дозу препарата); риск геморрагических осложнений возрастает при сочетании с антиагрегантами,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непрямыми антикоагулянтами, фибринолитиками и НПВС. При сочетании с ингибиторами АПФ, блокаторами рецепторов ангиотензина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калийсберегающими диуретиками увеличивается риск гиперкалиемии.</w:t>
      </w:r>
    </w:p>
    <w:p w14:paraId="6CF9A5C8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Передозировка: при возникновении геморрагических осложнений обыч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достаточно прекратить введение НФГ. При необходимости в более быстром устранении влияния НФГ в качестве антидота следует ввести протамина сульфат (в/в инфузионно из расчета 1 мг препарата на 100 ЕД введенного НФГ).</w:t>
      </w:r>
    </w:p>
    <w:p w14:paraId="4059C89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дозирования: с лечебной целью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оводят постоянную в/в инфузию НФГ (с помощью инфузионного насоса); в отдельных случаях возможны п/к ин. в дозе, достаточной для преодоления низкой биодоступности. В обоих случаях необходим контроль АЧТВ. В профилактических целях используют п/к ин., иногда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прерывистое в/в введение (чрескожные манипуляции в просвете сосудов). Внутримышечное введение противопоказано из-за угрозы образования гематом.</w:t>
      </w:r>
    </w:p>
    <w:p w14:paraId="4F71281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1BCF06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Низкомолекулярные (фракционированные) гепарины</w:t>
      </w:r>
    </w:p>
    <w:p w14:paraId="1CE1FCC3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AA87A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НМГ (далтепарин натрия, надропарин кальция, эноксапар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 натрия) состоят из низкомолекулярных фрагментов гепарина. В отличие от НФГ, НМГ в большей степени ингибируют активированный X (Ха) ФСК, чем тромбин. Основные достоинства НМГ: способность блокировать каскад коагуляции на более ранних этапах, высокая биод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оступность при п/к введении, более длительный Т (возможность вводить 1-2 р/сут), более предсказуемый антикоагулянтный эффект. При использовании НМГ реже развиваются тромбоцитопения и остеопороз. НМГ дозируют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активности против Ха ФСК. Подбор дозы осуще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ствляют, ориентируясь на массу тела больного; при использовании стандартных профилактических и лечебных режимов достигнутый уровень анти-Ха активности в крови, как правило, не контролируют. В целом НМГ как минимум столь же эффективны и безопасны, как и НФГ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но их намного проще использовать. Препараты НМГ представляют собой отдельные, не взаимозаменяемые лекарственные средства. Поэтому определение показаний к их использованию, а также способа дозирования и длительности лечения основывается на результатах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нических исследований, выполненных с каждым конкретным препаратом в отдельности. Определение эквивалентных доз различных НМГ на основании их анти-Ха активности недопустимо.</w:t>
      </w:r>
    </w:p>
    <w:p w14:paraId="3D23D296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Противопоказания, взаимодействие, передозировка сходны с не- фракционированным гепа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рином. У больных с выраженным снижением функции почек (КК &lt; 30 мл/мин), патологическим ожирением (МТ &gt; 1 50 кг или ИМТ &gt; 50 кг/м2) и при беременности может потребоваться коррекция дозы с учетом достигнутого уровня анти-Ха активности в крови, по крайней 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при использовании достаточно высоких лечебных доз (при тяжелой почечной недостаточности повторно из-за возможности постепенного накопления препарата, при ожирении достаточно однократного определения, при беременности желательна оценка 1 раз в месяц).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тамина сульфат способен только частично устранить эффекты НМГ (&lt; 60% анти-Ха активности). За 24 ч до крупной операции с риском массивной кровопотери рекомендуют перейти на в/в инфузию НФГ, действие которого прекращается быстрее и при необходимости полность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устраняется протамина сульфатом.</w:t>
      </w:r>
    </w:p>
    <w:p w14:paraId="22529D0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вводят подкожно в переднюю брюшную стенку, иногда внутривенно болюсно. Доза НМГ зависит от выбора препарата и цели его введения. Внутримышечное введение противопоказано из-за угрозы образования гематом.</w:t>
      </w:r>
    </w:p>
    <w:p w14:paraId="566016C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55967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Показан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ия к применению антикоагулянтов прямого действия</w:t>
      </w:r>
    </w:p>
    <w:p w14:paraId="517A67D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ED77D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раннее лечение нестабильной стенокардии (НС) и ИМ;</w:t>
      </w:r>
    </w:p>
    <w:p w14:paraId="341A844A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и лечение венозного тромбоза и ТЭЛА;</w:t>
      </w:r>
    </w:p>
    <w:p w14:paraId="7851CBE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чрескожные коронарные вмешательства;</w:t>
      </w:r>
    </w:p>
    <w:p w14:paraId="7508E9A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кардиоверсия у больных с затянувшимся пароксизмом МЦА, когда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чреспищеводной ЭхоКГ не обнаружено тромбов в полости левого предсердия, неотложная кардиоверсия;</w:t>
      </w:r>
    </w:p>
    <w:p w14:paraId="71F9CD64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протезирование клапанов сердца;</w:t>
      </w:r>
    </w:p>
    <w:p w14:paraId="1749680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острая тромботическая окклюзия периферических артерий;</w:t>
      </w:r>
    </w:p>
    <w:p w14:paraId="76294B6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операции с применением искусственного кровообращения;</w:t>
      </w:r>
    </w:p>
    <w:p w14:paraId="293FA83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диализ;</w:t>
      </w:r>
    </w:p>
    <w:p w14:paraId="0A24CCCD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ДВС-синдром.</w:t>
      </w:r>
    </w:p>
    <w:p w14:paraId="40D19C4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6443E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58DCA0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АНТИКОАГУЛЯНТЫ НЕПРЯМОГО ТИПА ДЕЙСТВИЯ</w:t>
      </w:r>
    </w:p>
    <w:p w14:paraId="3B8CA24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3B0E16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Общая характеристика</w:t>
      </w:r>
    </w:p>
    <w:p w14:paraId="7D98189D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F528D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1920-е гг. в Канаде было зарегистрировано новое заболевание крупного рогатого скота. Оно проявлялось кровоточивостью, иногда развивавшейся спонтанно, но чаще после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авм. Результаты наблюдений позволили установить связь между кровоточивостью и использованием в качестве корма клевера, пораженного плесенью. Многочисленные исследования, проводившиеся в течение 20 лет, завершились выделением токсического фактора, вызывавше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кровотечение. Им оказался дикумарин.</w:t>
      </w:r>
    </w:p>
    <w:p w14:paraId="2E2C5F80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Синоним дикумарина - ратицид («крысиный яд»), используется в целях дератизации. Животные погибают от множественных кровотечений. Но чувствительность к дикумарину у крыс неодинакова. Отмечено, что у отдельных животных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существует генетически детерминированная толерантность к препарату.</w:t>
      </w:r>
    </w:p>
    <w:p w14:paraId="77588F7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 препаратов этой группы развивается приблизительно через 24 ч и продолжается в течение нескольких дней. Антикоагулянты непрямого действия эффективны только в условиях целого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они не действуют.</w:t>
      </w:r>
    </w:p>
    <w:p w14:paraId="1B84732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механизму действия непрямые антикоагулянты - антагонисты витамина К, они ингибируют работу фермента редуктазы витамина К, в результате образующаяся окисленная форма витамина К не превращается в активную восстановленную 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му. Антикоагулянты непрямого действия предназначены для перорального приема, они нарушают синтез в печени протромбина, других факторов свертывания крови (VII, IX, X), антикоагулянтных протеинов С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Контроль за эффективностью и безопасностью лечения осущ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ествляют с помощью МНО. Для развития полного эффекта антикоагулянтов непрямого действия требуется не менее 4 суток. По этой причине при необходимости быстрого антикоагулянтного действия одновременно с ними назначают гепарин в лечебной дозе.</w:t>
      </w:r>
    </w:p>
    <w:p w14:paraId="4342EF3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E1075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Препараты анти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коагулянтов непрямого типа действия</w:t>
      </w:r>
    </w:p>
    <w:p w14:paraId="48E2C0E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0F88A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химической структуры непрямые антикоагулянты подразделяют на производные монокумарина (варфарин, аценокумарол), дикумарина (этил бискумацетат) и индандионы - препарат фениндион (фенилин).</w:t>
      </w:r>
    </w:p>
    <w:p w14:paraId="74FB537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Варфарин 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ечивает наиболее стабильное антикоагулянтное действие, лучше всего изучен и является препаратом выбора. После приема внутрь препарат всасывается почти полностью, максимальное содержание в крови регистрируется через 2-12 ч. Через 36 ч после введения начальн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дозы 40-50 мг достигается терапевтический уровень протромбина, эффект сохраняется еще в течение 36 ч. Около 96% препарата связано с плазменным альбумином. Уровень варфарина в плазме более стабилен в период лечения по сравнению с другими непрямыми антико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агулянтами. После отмены препарата протромбиновое время возвращается к норме через 3 суток. Препарат обладает кумулятивными свойствами, и при его отмене необходимо постепенное уменьшение дозы.</w:t>
      </w:r>
    </w:p>
    <w:p w14:paraId="68BE481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Аценокумарол (синкумар). Дозу препарата подбирают, исходя из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менения протромбинового времени. Суточную дозу синкумара следует принимать в один прием в одно и то же время.</w:t>
      </w:r>
    </w:p>
    <w:p w14:paraId="66E13D73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Фениндион отличается высокой токсичностью, антикоагулянтный эффект этилбискумацетата неустойчив, поэтому эти непрямые антикоагулянты, по возможнос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ти, не рекомендуется использовать. Фениндион дает более выраженные побочные эффекты по сравнению с кумаринами; эффект непродолжительный, развивается быстро. После приема терапевтической дозы действие развивается через 24 ч. При прекращении лечения протромб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иновое время возвращается к норме через 48-72 часа. Может вызывать аллергические реакции и угнетать кроветворение.</w:t>
      </w:r>
    </w:p>
    <w:p w14:paraId="69FF587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для назначения непрямых антикоагулянтов (НА):</w:t>
      </w:r>
    </w:p>
    <w:p w14:paraId="03F1B87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длительная профилактика и лечение венозного тромбоза и ТЭЛА;</w:t>
      </w:r>
    </w:p>
    <w:p w14:paraId="6B3E1134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тромбоэ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мболии при мерцательной аритмии у больных высокого риска;</w:t>
      </w:r>
    </w:p>
    <w:p w14:paraId="4726FAA4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протезы клапанов сердца; вторичная профилактика инфаркта миокарда (ИМ);</w:t>
      </w:r>
    </w:p>
    <w:p w14:paraId="3D6A3E1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тромб в полости левого желудочка после недавно перенесенного ИМ;</w:t>
      </w:r>
    </w:p>
    <w:p w14:paraId="2FDBFFD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тромбозов при антифосфолипидном синдроме.</w:t>
      </w:r>
    </w:p>
    <w:p w14:paraId="25F3E4D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непрямых антикоагулянтов очень часто является причиной лекарственного взаимодействия. Действие непрямых антикоагулянтов усиливают другие противотромботические средства, амиодарон, анаболические стероиды, статины, ко-тримоксазол, эритромицин, флу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коназол, итраконазол, метронидазол, омепразол, фенилбутазон, пропафенон, морацизин, пропранолол, ципрофлокса- цин, хинидин, тамоксифен, тетрациклин, норфлоксацин, офлоксацин и др. Действие непрямых антикоагулянтов ослабляют барбитураты, карбамазепин, хлорд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иазепоксид, гризеофульвин, рифампицин, витамины К и С, а также авокадо (в больших количествах), яйца, говяжья и свиная печень, зеленый чай и покрытые листьями зеленые овощи, некоторые пищевые добавки. Алкоголь способен как усилить, так и уменьшить действие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непрямых антикоагулянтов.</w:t>
      </w:r>
    </w:p>
    <w:p w14:paraId="189F6D0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Подход к использованию непрямых антикоагулянтов при хирургических вмешательствах (целесообразность отмены лекарственных средств и нормализации МНО, необходимость гепарина и его доза в периоперационный период) зависит от риска 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мбоэмболических осложнений при уменьшении выраженности антикоагуляции и вероятности кровотечения во время вмешательства.</w:t>
      </w:r>
    </w:p>
    <w:p w14:paraId="3726FD6A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DD48ABF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Заключение</w:t>
      </w:r>
    </w:p>
    <w:p w14:paraId="0DDBA6EB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9F3DA5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антикоагулянты используют для профилактики и терапии венозного тромбоза. Опасность венозного тромбоза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еделяется возможностью эмболии сосудов легких, мозга, других жизненно важных органов. Пациенты с осложненными терапевтическими и хирургическими заболеваниями относятся к группе риска возникновения венозных тромбозов и тромбоэмболий. Применение низкомолекул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ярных гепаринов снижает риск тромбозов глубоких вен и их осложнений.</w:t>
      </w:r>
    </w:p>
    <w:p w14:paraId="7E0CA63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Антагонисты витамина К (непрямые антикоагулянты) занимают лидирующие позиции в качестве препаратов выбора для профилактики тромбоэмболических осложнений сердечно-сосудистых заболеваний.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ерапия НА остается важным и обязательным показанием у лиц с протезированными клапанами сердца. Не исключено их применение при инфаркте миокарда и в после операционном периоде при наличии противопоказаний к применению гепарина. Однако крайняя непредсказуемо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эффекта НА при фиксированном дозировании определяет необходимость коагулогического контроля при их применении. Вместе с тем, по мнению ведущих специалистов, в настоящее время НА являются безальтернативными препаратами, обладающими наибольшей доказанной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эффективностью в профилактике тромботических осложнений.</w:t>
      </w:r>
    </w:p>
    <w:p w14:paraId="4651DD4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испытаниях SPORTIF III и V (2003) первый пероральный антикоагулянт из группы прямых ингибиторов тромбина ксимелагатран (ximelagatran) показал сходную с варфарином эффективность в профилактике инсу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льтов у больных с фибрилляцией предсердий неклапанной этиологии. Однако наблюдали развитие печеночной недостаточности при долговременной терапии. В 2006г. фирмой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Zeneca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препарат был изъят с рынка и его выпуск прекращен.</w:t>
      </w:r>
    </w:p>
    <w:p w14:paraId="4DA1ECE4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Поиск альтернатив НА продолжае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тся.</w:t>
      </w:r>
    </w:p>
    <w:p w14:paraId="5809BE58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8D815C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 литературы</w:t>
      </w:r>
    </w:p>
    <w:p w14:paraId="64C93F86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96E0A8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Биохимическая фармакология: Учебное пособие / Под ред. П.В. Сергеева, Н.Л. Шимановского. - М.: ООО «Медицинское информационное агентство», 2010. - 624 с.: ил.</w:t>
      </w:r>
    </w:p>
    <w:p w14:paraId="123552D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Бокарев И.Н., Щепотин Б.М., Ена Я.М. Внутрисосудист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свертывание крови. - Киев: Здоров’я, 1989. - 240 с.</w:t>
      </w:r>
    </w:p>
    <w:p w14:paraId="22B8CD37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Клиническая фармакология и фармакотерапия: Учеб. / Под ред. В.Г. Кукеса, А.К. Стародубцева. - М.: ГЭОТАР-МЕД, 2003. -640с. - (Серия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век»).</w:t>
      </w:r>
    </w:p>
    <w:p w14:paraId="26A5842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Машковский М.Д. Лекарственные средства. - 16-е изд.,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перераб., испр. и доп. - М.: Новая волна: Издатель Умеренков, 2010. - 1216с.</w:t>
      </w:r>
    </w:p>
    <w:p w14:paraId="36CBCFD1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Метелица В.И. Справочник по клинической фармакологии сердечно-сосудистых средств. - М.: Бином, 2002; - 705с.</w:t>
      </w:r>
    </w:p>
    <w:p w14:paraId="43F0643C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Сидоренко Б.А., Преображенский Д.В. Низкомолекулярные гепарины: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зможности применения. Кардиология. 1995; 10: 86-90.</w:t>
      </w:r>
    </w:p>
    <w:p w14:paraId="78422D6E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Фармакология: Учебное пособие / Под ред. В.В. Майского. - М.: ГЭОТАР-Медиа, 2006. - 400с.</w:t>
      </w:r>
    </w:p>
    <w:p w14:paraId="1DD5DAC9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Шилов, А.М. Прямые антикоагулянты в профилактике сердечно-сосудистых осложнений в хирургической и терапевтичес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практике/ А.М. Шилов//Трудн. пациент.-2012.-Т.10.№5.-С.49-54.</w:t>
      </w:r>
    </w:p>
    <w:p w14:paraId="30371462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Шимановский Н.Л., Епинетов М.А., Мельников М.Я. Молекулярная и нанофармакология. - М.: ФИЗМАТЛИТ, 2010. - 624с.</w:t>
      </w:r>
    </w:p>
    <w:p w14:paraId="4C15B264" w14:textId="77777777" w:rsidR="00000000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Harenberg, J. Future of Anticoagulant Therapy/J. Harenberg, M. Wehling//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Cardiovascular Therapeutics. - 2011.-29. - P. 291-300.</w:t>
      </w:r>
    </w:p>
    <w:p w14:paraId="77698868" w14:textId="77777777" w:rsidR="005D0D46" w:rsidRDefault="005D0D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Fox, B.D. Efficacy and safety of novel oral anticoagulants for treatment of acute venous thromboembolism: direct and adjusted indirect meta-analysis of randomized controlled trials./ B.D. Fox, S.R 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Kahn, D. Langleben et al. // BMJ, 2012 345: e7498.</w:t>
      </w:r>
    </w:p>
    <w:sectPr w:rsidR="005D0D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77"/>
    <w:rsid w:val="005D0D46"/>
    <w:rsid w:val="00C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1F087"/>
  <w14:defaultImageDpi w14:val="0"/>
  <w15:docId w15:val="{4F311E64-02E0-44C5-9B60-C1E3B24B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3964</Words>
  <Characters>22596</Characters>
  <Application>Microsoft Office Word</Application>
  <DocSecurity>0</DocSecurity>
  <Lines>188</Lines>
  <Paragraphs>53</Paragraphs>
  <ScaleCrop>false</ScaleCrop>
  <Company/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2025-01-13T10:19:00Z</dcterms:created>
  <dcterms:modified xsi:type="dcterms:W3CDTF">2025-01-13T10:19:00Z</dcterms:modified>
</cp:coreProperties>
</file>