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08B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</w:t>
      </w:r>
    </w:p>
    <w:p w14:paraId="7A5B2E64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70FB15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Об'єкт дослідження: нирки та сеча щурів</w:t>
      </w:r>
    </w:p>
    <w:p w14:paraId="5012DF39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роботи: дослідження впливу різних способів введення протипухлинної системи Реній-Платина та її компонентів на діагностичні маркери функціонального стану нирок щурів з моделі пухлинного росту.</w:t>
      </w:r>
    </w:p>
    <w:p w14:paraId="7F0A6346" w14:textId="77777777" w:rsidR="00000000" w:rsidRDefault="00DB5205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Методи до</w:t>
      </w:r>
      <w:r>
        <w:rPr>
          <w:kern w:val="28"/>
          <w:sz w:val="28"/>
          <w:szCs w:val="28"/>
          <w:lang w:val="uk-UA"/>
        </w:rPr>
        <w:t>слідження: спектрофотометричні, колориметричні, статистичні.</w:t>
      </w:r>
    </w:p>
    <w:p w14:paraId="4C8F5EE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експерименту виявлено, що розвиток пухлини призводив до збільшення концентрації загального білку в сечі, при введенні цисплатину у розчині та ренієвої сполуки у ліпосомній формі спостер</w:t>
      </w:r>
      <w:r>
        <w:rPr>
          <w:sz w:val="28"/>
          <w:szCs w:val="28"/>
          <w:lang w:val="uk-UA"/>
        </w:rPr>
        <w:t>ігалося збільшення швикості гломерулярної фільтрації і зменшення виходу діагностичних ферментів в сечу, яким вводився тільки цисплатин: лактатдегідрогенази, гама-глутамілтранспептидази при їхній активації у нирковій тканині. При введенні наноліпосомних фор</w:t>
      </w:r>
      <w:r>
        <w:rPr>
          <w:sz w:val="28"/>
          <w:szCs w:val="28"/>
          <w:lang w:val="uk-UA"/>
        </w:rPr>
        <w:t>м комплексних сполук Ренію щурам з пухлиною відмічалось зниження біохімічних маркерів в сечі, а саме: концентрації загальних протеїнів в середньому, активності лактатдегідрогенази, активності гама-глутамілтранспептидази , при їхній активації у тканині ниро</w:t>
      </w:r>
      <w:r>
        <w:rPr>
          <w:sz w:val="28"/>
          <w:szCs w:val="28"/>
          <w:lang w:val="uk-UA"/>
        </w:rPr>
        <w:t>к.</w:t>
      </w:r>
    </w:p>
    <w:p w14:paraId="3338A21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експерименту можуть бути застосовані у діагностиці та лікувальній практиці.</w:t>
      </w:r>
    </w:p>
    <w:p w14:paraId="1EAFA5A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слова: нирки, кластерні сполуки ренію, цисплатин, протипухлинні препарати, нефротоксичність</w:t>
      </w:r>
    </w:p>
    <w:p w14:paraId="5372A1DA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FB80C2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RESUME</w:t>
      </w:r>
    </w:p>
    <w:p w14:paraId="02B6F37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graduation research of 4 th year student (DNU by Oles Gon</w:t>
      </w:r>
      <w:r>
        <w:rPr>
          <w:sz w:val="28"/>
          <w:szCs w:val="28"/>
          <w:lang w:val="uk-UA"/>
        </w:rPr>
        <w:t>char, Department of biophisics and biochemistry) deals with research antitumor the Rhenium-Platinum system to.object of research was level of diagnostie markers of the kidney foeilure in write and tissue.purpose work was examine the effect of kidney functi</w:t>
      </w:r>
      <w:r>
        <w:rPr>
          <w:sz w:val="28"/>
          <w:szCs w:val="28"/>
          <w:lang w:val="uk-UA"/>
        </w:rPr>
        <w:t>on in rats with carcinoma.of research - colorometric, spectrophotomethrick and statistic.</w:t>
      </w:r>
    </w:p>
    <w:p w14:paraId="3FA7A241" w14:textId="77777777" w:rsidR="00000000" w:rsidRDefault="00DB5205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KEY WORDS: kidney, cluster rhenium compound, cisplatin, anticancer drugs nephrotoxicity.</w:t>
      </w:r>
    </w:p>
    <w:p w14:paraId="1D08790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917AAC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ПЕРЕЛІК CКОРОЧЕНЬ</w:t>
      </w:r>
    </w:p>
    <w:p w14:paraId="4BFE843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E22B3C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ШКФ-швидкість клубочкової фільтрації</w:t>
      </w:r>
    </w:p>
    <w:p w14:paraId="1457C0E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ЛЗ-лікарські засоби</w:t>
      </w:r>
    </w:p>
    <w:p w14:paraId="0590D94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ГГТП-гама-глутамілтранспептидаза</w:t>
      </w:r>
    </w:p>
    <w:p w14:paraId="20ED485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АСТ-аспартатамінотрансфераза</w:t>
      </w:r>
    </w:p>
    <w:p w14:paraId="49FC5A7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АЛТ-аланінамінотрансфераза</w:t>
      </w:r>
    </w:p>
    <w:p w14:paraId="7127578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ЛДГ-лактатдегідрогеназа</w:t>
      </w:r>
    </w:p>
    <w:p w14:paraId="0D56B1A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Т8- тварини з карциномою Герена</w:t>
      </w:r>
    </w:p>
    <w:p w14:paraId="51E985F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сPt- цисплатин</w:t>
      </w:r>
    </w:p>
    <w:p w14:paraId="06C5471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[cpt]nl- цисплатин у наноліпосомах- сполуки ренію</w:t>
      </w:r>
    </w:p>
    <w:p w14:paraId="59445E6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[Re]nl- наноліпосомну форма ренію</w:t>
      </w:r>
    </w:p>
    <w:p w14:paraId="2EE729C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[Re+cpt]np-</w:t>
      </w:r>
      <w:r>
        <w:rPr>
          <w:sz w:val="28"/>
          <w:szCs w:val="28"/>
          <w:lang w:val="uk-UA"/>
        </w:rPr>
        <w:t xml:space="preserve"> реній та цисплатин у системі наночасток</w:t>
      </w:r>
    </w:p>
    <w:p w14:paraId="7539A6C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BF2B8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lastRenderedPageBreak/>
        <w:t>Вступ</w:t>
      </w:r>
    </w:p>
    <w:p w14:paraId="23F6C0B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C4C66C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Нефротоксичність - це властивість хімічних речовин, діючи на організм немеханічним способом, викликати структурно-функціональні порушення нирок. Нефротоксичність може бути наслідком прямої дії хімічних реч</w:t>
      </w:r>
      <w:r>
        <w:rPr>
          <w:sz w:val="28"/>
          <w:szCs w:val="28"/>
          <w:lang w:val="uk-UA"/>
        </w:rPr>
        <w:t>овин чи їхніх метаболітів на нирки або опосередкованої дії - через вплив на гемодинаміку, кислотно-основний стан, масивне утворення продуктів руйнування клітинних елементів (гемоліз, рабдоміоліз), які блокують канальцевий апарат нирок.</w:t>
      </w:r>
    </w:p>
    <w:p w14:paraId="2A0EC30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деякими даними, б</w:t>
      </w:r>
      <w:r>
        <w:rPr>
          <w:sz w:val="28"/>
          <w:szCs w:val="28"/>
          <w:lang w:val="uk-UA"/>
        </w:rPr>
        <w:t>лизько 20-30% зареєстрованих випадків гострої ниркової недостатності та близько третини випадків хронічної ниркової недостатності є наслідком дії хімічних чинників , зокрема, приблизно 18-27% випадків є наслідком фармакотерапії.</w:t>
      </w:r>
    </w:p>
    <w:p w14:paraId="135C668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Найбільшим нефротоксичним е</w:t>
      </w:r>
      <w:r>
        <w:rPr>
          <w:sz w:val="28"/>
          <w:szCs w:val="28"/>
          <w:lang w:val="uk-UA"/>
        </w:rPr>
        <w:t>фектом характеризуються препарати платини. Ці сполуки, маючи цитотоксичну дію, викликають цитоліз епітеліальних клітин канальців нирок, фібропроліферацію та запалення органу [36,16]. Тому існує необхідність пошуку нових або корекції існуючих схем протипухл</w:t>
      </w:r>
      <w:r>
        <w:rPr>
          <w:sz w:val="28"/>
          <w:szCs w:val="28"/>
          <w:lang w:val="uk-UA"/>
        </w:rPr>
        <w:t>инної терапії, з менш токсичними побічними ефектами та посиленням лікувального ефекту.</w:t>
      </w:r>
    </w:p>
    <w:p w14:paraId="5AD6A02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попередніх роботах нашої наукової групи було описано нову протипухлинну систему Re-Pt, в якій токсична дія цисплатину була знижена за наявністю комплексів диренію (III</w:t>
      </w:r>
      <w:r>
        <w:rPr>
          <w:sz w:val="28"/>
          <w:szCs w:val="28"/>
          <w:lang w:val="uk-UA"/>
        </w:rPr>
        <w:t>), а лікувальний ефект підвищувався [21]. Така система була використана в якості ефективних препаратів проти розвитку карциноми Герена Т8 у щурів [21].</w:t>
      </w:r>
    </w:p>
    <w:p w14:paraId="76CB318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нових протипухлинних препаратів вимагає дослідження їх антиоксидантних та антирадикальних в</w:t>
      </w:r>
      <w:r>
        <w:rPr>
          <w:sz w:val="28"/>
          <w:szCs w:val="28"/>
          <w:lang w:val="uk-UA"/>
        </w:rPr>
        <w:t>ластивостей в природніх умовах.</w:t>
      </w:r>
    </w:p>
    <w:p w14:paraId="6C38638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даної роботи було дослідити вплив різних способів введення протипухлинної системи Реній-Платина та її компонентів на діагностичні </w:t>
      </w:r>
      <w:r>
        <w:rPr>
          <w:sz w:val="28"/>
          <w:szCs w:val="28"/>
          <w:lang w:val="uk-UA"/>
        </w:rPr>
        <w:lastRenderedPageBreak/>
        <w:t>маркери функціонального стану нирок.</w:t>
      </w:r>
    </w:p>
    <w:p w14:paraId="4A4E4D1D" w14:textId="77777777" w:rsidR="00000000" w:rsidRDefault="00DB5205">
      <w:pPr>
        <w:tabs>
          <w:tab w:val="left" w:pos="0"/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lastRenderedPageBreak/>
        <w:t>1.1 Основні клінічні прояви ураження нирок</w:t>
      </w:r>
    </w:p>
    <w:p w14:paraId="38F1381D" w14:textId="77777777" w:rsidR="00000000" w:rsidRDefault="00DB5205">
      <w:pPr>
        <w:tabs>
          <w:tab w:val="left" w:pos="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027D90" w14:textId="77777777" w:rsidR="00000000" w:rsidRDefault="00DB5205">
      <w:pPr>
        <w:tabs>
          <w:tab w:val="left" w:pos="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</w:t>
      </w:r>
      <w:r>
        <w:rPr>
          <w:sz w:val="28"/>
          <w:szCs w:val="28"/>
          <w:lang w:val="uk-UA"/>
        </w:rPr>
        <w:t>ими клінічними та лабораторними проявами токсичного ураження нирок є [3, 9] поява в сечі невластивих для неї молекул внаслідок пошкодження стінки клубочкових капілярів і зростання вмісту білка в сечі. Протеїнурія може мати: а) гломерулярне походження (в се</w:t>
      </w:r>
      <w:r>
        <w:rPr>
          <w:sz w:val="28"/>
          <w:szCs w:val="28"/>
          <w:lang w:val="uk-UA"/>
        </w:rPr>
        <w:t xml:space="preserve">чі виявляються переважно високомолекулярні білки - з молекулярною масою понад 40 000 Да); б) канальцеве походження (в сечі виявляються переважно низькомолекулярні білки). Гломерулярна протеїнурія вказує на руйнування клубочків, канальцева - на пошкодження </w:t>
      </w:r>
      <w:r>
        <w:rPr>
          <w:sz w:val="28"/>
          <w:szCs w:val="28"/>
          <w:lang w:val="uk-UA"/>
        </w:rPr>
        <w:t>проксимальних відділів канальців;</w:t>
      </w:r>
    </w:p>
    <w:p w14:paraId="0F97CCA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зменшення кількості виділеної сечі (олігурія);</w:t>
      </w:r>
    </w:p>
    <w:p w14:paraId="4D9356F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в плазмі крові рівня азотовмісних низькомолекулярних речовин (азотемія), таких як сечовина, креатинін, сечова кислота та ін.;</w:t>
      </w:r>
    </w:p>
    <w:p w14:paraId="287B5CC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набряки, що в разі відсутності серце</w:t>
      </w:r>
      <w:r>
        <w:rPr>
          <w:sz w:val="28"/>
          <w:szCs w:val="28"/>
          <w:lang w:val="uk-UA"/>
        </w:rPr>
        <w:t>вої недостатності чи цирозу печінки вказує на різке зниження вмісту альбуміну та інших білків у крові;</w:t>
      </w:r>
    </w:p>
    <w:p w14:paraId="1FA40AF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електролітного обміну;</w:t>
      </w:r>
    </w:p>
    <w:p w14:paraId="7345DEE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артеріальна гіпертензія, що розвивається внаслідок гломерулосклерозу.</w:t>
      </w:r>
    </w:p>
    <w:p w14:paraId="5A84313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Токсичні ураження нирок різняться за механізмами в</w:t>
      </w:r>
      <w:r>
        <w:rPr>
          <w:sz w:val="28"/>
          <w:szCs w:val="28"/>
          <w:lang w:val="uk-UA"/>
        </w:rPr>
        <w:t>иникнення, морфологічними проявами і тяжкістю перебігу. Вважається, що токсичні ураження нирок можна звести до 4-5 синдромів, які мають більш-менш чітко окреслені клінічну картину та лабораторні прояви [3, 9, 18].</w:t>
      </w:r>
    </w:p>
    <w:p w14:paraId="1C60A59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Ксенобіотики викликають:</w:t>
      </w:r>
    </w:p>
    <w:p w14:paraId="42BD0B1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гостру ниркову </w:t>
      </w:r>
      <w:r>
        <w:rPr>
          <w:sz w:val="28"/>
          <w:szCs w:val="28"/>
          <w:lang w:val="uk-UA"/>
        </w:rPr>
        <w:t>недостатність, яка характеризується пригніченням функції нирок з азотемією та олігурією;</w:t>
      </w:r>
    </w:p>
    <w:p w14:paraId="6960240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нефротичний синдром, що характеризується тяжкою протеїнурією, гіпопротеїнемією, набряками, гіперліпідемією та іншими проявами;</w:t>
      </w:r>
    </w:p>
    <w:p w14:paraId="2853589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тубулярну дисфункцію, яка проявляєть</w:t>
      </w:r>
      <w:r>
        <w:rPr>
          <w:sz w:val="28"/>
          <w:szCs w:val="28"/>
          <w:lang w:val="uk-UA"/>
        </w:rPr>
        <w:t xml:space="preserve">ся дисфункцією канальців (протеїнурія канальцевого типу, ацидоз сечі, втрата солей, зниження </w:t>
      </w:r>
      <w:r>
        <w:rPr>
          <w:sz w:val="28"/>
          <w:szCs w:val="28"/>
          <w:lang w:val="uk-UA"/>
        </w:rPr>
        <w:lastRenderedPageBreak/>
        <w:t>осмолярності сечі та ін.);</w:t>
      </w:r>
    </w:p>
    <w:p w14:paraId="207990B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хронічна ниркова недостатність - перманентне порушення функції нирок з азотемією, ацидозом, анемією, артеріальною гіпертензією та низк</w:t>
      </w:r>
      <w:r>
        <w:rPr>
          <w:sz w:val="28"/>
          <w:szCs w:val="28"/>
          <w:lang w:val="uk-UA"/>
        </w:rPr>
        <w:t>ою інших порушень;</w:t>
      </w:r>
    </w:p>
    <w:p w14:paraId="72B16E6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швидкопрогресуючий гломерулонефрит, що проявляється гематурією та олігурією і призводить до швидкого розвитку ниркової недостатності.</w:t>
      </w:r>
    </w:p>
    <w:p w14:paraId="1BE47E6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перебігом розрізняють гострі та хронічні ураження нирок. Останні розвиваються внаслідок тривалого </w:t>
      </w:r>
      <w:r>
        <w:rPr>
          <w:sz w:val="28"/>
          <w:szCs w:val="28"/>
          <w:lang w:val="uk-UA"/>
        </w:rPr>
        <w:t>надходження нефротоксичних агентів.</w:t>
      </w:r>
    </w:p>
    <w:p w14:paraId="27D1A59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Найчастіше їх пов’язують зі зловживанням нестероїдних протизапальних засобів (фенацетином, парацетамолом), кокаїном, героїном, тривалою терапією препаратами літію, імунодепресантами (циклоспорином, сиролімусом), противір</w:t>
      </w:r>
      <w:r>
        <w:rPr>
          <w:sz w:val="28"/>
          <w:szCs w:val="28"/>
          <w:lang w:val="uk-UA"/>
        </w:rPr>
        <w:t>усними лікарськими засобами (цидофовіром, ацикловіром, індинавіром) тощо [6, 19].</w:t>
      </w:r>
    </w:p>
    <w:p w14:paraId="30CB1F0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Хронічна нефротоксичність в основному має дозозалежний характер, а ступінь пошкодження нирок визначається дозою та тривалістю прийому нефротоксичного агента.</w:t>
      </w:r>
    </w:p>
    <w:p w14:paraId="7B7107D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Морфологічні зм</w:t>
      </w:r>
      <w:r>
        <w:rPr>
          <w:sz w:val="28"/>
          <w:szCs w:val="28"/>
          <w:lang w:val="uk-UA"/>
        </w:rPr>
        <w:t>іни в нирках при хронічних ураженнях унаслідок дії анальгетиків характеризуються розвитком вогнищевих ішемічних, некротичних та фіброзних змін, атрофією канальцевого апарату нирок.Сиролімус викликає в нирках фіброзні зміни, що розвиваються на фоні облітеру</w:t>
      </w:r>
      <w:r>
        <w:rPr>
          <w:sz w:val="28"/>
          <w:szCs w:val="28"/>
          <w:lang w:val="uk-UA"/>
        </w:rPr>
        <w:t>ючої артеріолопатії та колапсу ниркових канальців. Під впливом препаратів літію розвиваються інтерстиціальний фіброз і нефрогенний нецукровий діабет, із появою в корковому та мозковому шарах нирок тубулярних кіст, ділянок гломерулосклерозу і тубулоінтерсти</w:t>
      </w:r>
      <w:r>
        <w:rPr>
          <w:sz w:val="28"/>
          <w:szCs w:val="28"/>
          <w:lang w:val="uk-UA"/>
        </w:rPr>
        <w:t>ціальних пошкоджень. Ці зміни носять незворотний характер і призводять до формування хронічної ниркової недостатності, а в разі дії анальгетиків - і до злоякісних новоутворень нирок та сечових шляхів. Хронічне ураження нирок супроводжується стерильною піур</w:t>
      </w:r>
      <w:r>
        <w:rPr>
          <w:sz w:val="28"/>
          <w:szCs w:val="28"/>
          <w:lang w:val="uk-UA"/>
        </w:rPr>
        <w:t xml:space="preserve">ією, помірною протеїнурією, а в пацієнтів із папілярними некрозами може </w:t>
      </w:r>
      <w:r>
        <w:rPr>
          <w:sz w:val="28"/>
          <w:szCs w:val="28"/>
          <w:lang w:val="uk-UA"/>
        </w:rPr>
        <w:lastRenderedPageBreak/>
        <w:t>спостерігатися гематурія. Виявляються порушення азотовидільної та концентраційної функцій нирок, у частини хворих розвивається ниркова артеріальна гіпертензія.</w:t>
      </w:r>
    </w:p>
    <w:p w14:paraId="3A4759F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1.2. Преренальні порушен</w:t>
      </w:r>
      <w:r>
        <w:rPr>
          <w:caps/>
          <w:sz w:val="28"/>
          <w:szCs w:val="28"/>
          <w:lang w:val="uk-UA"/>
        </w:rPr>
        <w:t>ня</w:t>
      </w:r>
    </w:p>
    <w:p w14:paraId="5E541B7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BADCAC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Преренальна азотемія гострої ниркової недостатності є наслідком суттєвого зменшення кровотоку через нирки. Тому патологічні стани чи лікарські засоби, які здатні зменшувати абсолютний чи відносний об’єм циркулюючої крові та знижувати артеріальний тиск,</w:t>
      </w:r>
      <w:r>
        <w:rPr>
          <w:sz w:val="28"/>
          <w:szCs w:val="28"/>
          <w:lang w:val="uk-UA"/>
        </w:rPr>
        <w:t xml:space="preserve"> можуть викликати послаблення фільтраційної функції нирок і підвищення концентрації сечовини та креатиніну в крові [15, 26, 27].</w:t>
      </w:r>
    </w:p>
    <w:p w14:paraId="35489FB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порушення викликають діуретики, високоосмолярні рентгеноконтрастні засоби, циклоспорин і такролімус, не стероїдні протизап</w:t>
      </w:r>
      <w:r>
        <w:rPr>
          <w:sz w:val="28"/>
          <w:szCs w:val="28"/>
          <w:lang w:val="uk-UA"/>
        </w:rPr>
        <w:t>альні засоби, інтерлейкін-2, інгібітори ангіотензинперетворювального ферменту.</w:t>
      </w:r>
    </w:p>
    <w:p w14:paraId="3E22FEA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функціональна здатність нирок залишається збереженою, а погіршується лише їх кровопостачання, то нирка реагує на зниження перфузії більш інтенсивною реабсорбцією води т</w:t>
      </w:r>
      <w:r>
        <w:rPr>
          <w:sz w:val="28"/>
          <w:szCs w:val="28"/>
          <w:lang w:val="uk-UA"/>
        </w:rPr>
        <w:t>а іонів натрію в канальцях, що призводить до затримки води і зростання. Такий тип порушень супроводжується зменшенням об’єму виділеної сечі та зниженням елімінації натрію із сечею (фракційна екскреція натрію менше 1%) при високому осмотичному тиску сечі (п</w:t>
      </w:r>
      <w:r>
        <w:rPr>
          <w:sz w:val="28"/>
          <w:szCs w:val="28"/>
          <w:lang w:val="uk-UA"/>
        </w:rPr>
        <w:t>онад 450 мОсм/кг).</w:t>
      </w:r>
    </w:p>
    <w:p w14:paraId="5F900CB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Сечовий осад - без циліндрів, еритроцитів, лейкоцитів і білка. У сироватці крові зростає рівень залишкового азоту, переважно за рахунок сечовини. При цьому співвідношення азоту сечовини до азоту креатиніну перевищує 20:1 (у нормі - 10:1)</w:t>
      </w:r>
      <w:r>
        <w:rPr>
          <w:sz w:val="28"/>
          <w:szCs w:val="28"/>
          <w:lang w:val="uk-UA"/>
        </w:rPr>
        <w:t xml:space="preserve">. Більш значне підвищення рівня сечовини порівняно з креатиніном зумовлене не лише зниженням швидкості клубочкової фільтрації, але й посиленням канальцевої реабсорбції сечовини, яка спряжена з реабсорбцією </w:t>
      </w:r>
      <w:r>
        <w:rPr>
          <w:sz w:val="28"/>
          <w:szCs w:val="28"/>
          <w:lang w:val="uk-UA"/>
        </w:rPr>
        <w:lastRenderedPageBreak/>
        <w:t>натрію (на відміну від креатиніну).</w:t>
      </w:r>
    </w:p>
    <w:p w14:paraId="3445476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типових лік</w:t>
      </w:r>
      <w:r>
        <w:rPr>
          <w:sz w:val="28"/>
          <w:szCs w:val="28"/>
          <w:lang w:val="uk-UA"/>
        </w:rPr>
        <w:t>арських засобів , здатних викликати преренальні порушення ниркової функції, належать не стероїдні протизапальні засоби , які блокують синтез простагландинів з арахідонової кислоти, пригнічуючи активність циклооксигенази [16, 17, 26].</w:t>
      </w:r>
    </w:p>
    <w:p w14:paraId="60D0788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Гемодинамічна ниркова </w:t>
      </w:r>
      <w:r>
        <w:rPr>
          <w:sz w:val="28"/>
          <w:szCs w:val="28"/>
          <w:lang w:val="uk-UA"/>
        </w:rPr>
        <w:t xml:space="preserve">недостатність може виникати і при застосуванні інгібіторів ангіотензинперетворювального ферменту та блокаторів рецепторів ангіотензину ІІ [4, 13]. Ці лікарські засоби знижують системний артеріальний тиск, за рахунок чого зменшується перфузія нирок кров’ю, </w:t>
      </w:r>
      <w:r>
        <w:rPr>
          <w:sz w:val="28"/>
          <w:szCs w:val="28"/>
          <w:lang w:val="uk-UA"/>
        </w:rPr>
        <w:t>а відтак і їхня фільтраційна здатність.</w:t>
      </w:r>
    </w:p>
    <w:p w14:paraId="38ADC66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Преренальна гемодинамічна ниркова недостатність може виникати і при поєднанні діуретиків різних класів (наприклад, петльових та осмолярних чи калійзберігаючих) чи при їх комбінуванні з інгібіторами ангіотензинперетво</w:t>
      </w:r>
      <w:r>
        <w:rPr>
          <w:sz w:val="28"/>
          <w:szCs w:val="28"/>
          <w:lang w:val="uk-UA"/>
        </w:rPr>
        <w:t>рювального ферменту або блокаторами рецепторів ангіотензину ІІ.</w:t>
      </w:r>
    </w:p>
    <w:p w14:paraId="7DA0A5E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Преренальні гемодинамічні порушення є потенційно зворотними, і в більшості випадків для їх корекції достатньо припинення прийому лікарських засобів, що їх викликають, однак вчасно нерозпізнана</w:t>
      </w:r>
      <w:r>
        <w:rPr>
          <w:sz w:val="28"/>
          <w:szCs w:val="28"/>
          <w:lang w:val="uk-UA"/>
        </w:rPr>
        <w:t xml:space="preserve"> преренальна ниркова недостатність може призвести до тяжкого пошкодження тубулярного апарату нирок і навіть до тубулярних некрозів.</w:t>
      </w:r>
    </w:p>
    <w:p w14:paraId="17092B8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D835F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1.3 Васкулярні та тубулярні ушкодження нирок</w:t>
      </w:r>
    </w:p>
    <w:p w14:paraId="629AD64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91AB58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Васкулярні порушення проявляються тромботичною мікроангіопатією та оклюзією с</w:t>
      </w:r>
      <w:r>
        <w:rPr>
          <w:sz w:val="28"/>
          <w:szCs w:val="28"/>
          <w:lang w:val="uk-UA"/>
        </w:rPr>
        <w:t>удин нирок частинками холестеринових бляшок. При сильних порушеннях судин нирок відмічається наявність еритроцитів в сечі (гематурія). Гематурія може бути наслідком ушкодження будь-якої ділянки нефроциту, а у випадку ушкодження гломерул еритроцити в сечі м</w:t>
      </w:r>
      <w:r>
        <w:rPr>
          <w:sz w:val="28"/>
          <w:szCs w:val="28"/>
          <w:lang w:val="uk-UA"/>
        </w:rPr>
        <w:t>ають аномальну форму [12].</w:t>
      </w:r>
    </w:p>
    <w:p w14:paraId="40B22F0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Холестеринові емболи. Антикоагулянти (варфарин та гепарин) і тромболітики (стрептокіназа і тканинний активатор плазміногену) можуть викликати руйнування холестеринових бляшок, а утворені емболи - оклюзію невеликих артерій нирок (</w:t>
      </w:r>
      <w:r>
        <w:rPr>
          <w:sz w:val="28"/>
          <w:szCs w:val="28"/>
          <w:lang w:val="uk-UA"/>
        </w:rPr>
        <w:t>дугових, міжчасточкових, термінальних артеріол, гломерулярних капілярів). Це спричиняє ішемію та некротизацію тканин нирок із розвитком запальної реакції в інтерстиціальній тканині та порушенням функціонального стану нирок [11,20].</w:t>
      </w:r>
    </w:p>
    <w:p w14:paraId="0EC290C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порушення виникають т</w:t>
      </w:r>
      <w:r>
        <w:rPr>
          <w:sz w:val="28"/>
          <w:szCs w:val="28"/>
          <w:lang w:val="uk-UA"/>
        </w:rPr>
        <w:t>оді, коли первинною мішенню стають клітини тубулярного епітелію [6, 12, 17]. Найчастішою причиною гострого тубулярного некрозу, не пов’язаного з дією токсичних субстанцій, є тривала ішемія нирок, яка виникає при тяжких септичних станах, дихальних та циркул</w:t>
      </w:r>
      <w:r>
        <w:rPr>
          <w:sz w:val="28"/>
          <w:szCs w:val="28"/>
          <w:lang w:val="uk-UA"/>
        </w:rPr>
        <w:t>яторних розладах. Токсичні форми гострого тубулярного некрозу пов’язують з ендогенними речовинами (міоглобіном, гемоглобіном, легкими ланцюгами мієломних білків) та численними лікарськими засобами.</w:t>
      </w:r>
    </w:p>
    <w:p w14:paraId="59392AD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Гострий тубулярний некроз проявляється раптовим зниженням </w:t>
      </w:r>
      <w:r>
        <w:rPr>
          <w:sz w:val="28"/>
          <w:szCs w:val="28"/>
          <w:lang w:val="uk-UA"/>
        </w:rPr>
        <w:t>швидкості клубочкової фільтрації, виникненням азотемії, нездатністю нирок регулювати гомеостаз води, натрію та інших електролітів, підтримувати кислотно-основний баланс. Морфологічними ознаками гострого тубулярного некрозу є альтерація та деструкція тубуля</w:t>
      </w:r>
      <w:r>
        <w:rPr>
          <w:sz w:val="28"/>
          <w:szCs w:val="28"/>
          <w:lang w:val="uk-UA"/>
        </w:rPr>
        <w:t>рного епітелію [1].</w:t>
      </w:r>
    </w:p>
    <w:p w14:paraId="012C457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Гострий інтерстиціальний нефрит виникає внаслідок індукованого лікарського засобу та токсикантами імунного ураження нирок [24,2,10].</w:t>
      </w:r>
    </w:p>
    <w:p w14:paraId="1A714F7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Доведено, що гострий інерстиціальний нефрит здатний викликати як ниркові антигени (білки базальної мемб</w:t>
      </w:r>
      <w:r>
        <w:rPr>
          <w:sz w:val="28"/>
          <w:szCs w:val="28"/>
          <w:lang w:val="uk-UA"/>
        </w:rPr>
        <w:t>рани канальців та білки, що секретуються ними), так і екстраренальні, а лікарські засоби та їх метаболіти можуть виступати в ролі гаптенів чи імітувати (молекулярна мімікрія) ниркові антигени. Модифіковані екстраренальні білки (альбумін, агреговані гамагло</w:t>
      </w:r>
      <w:r>
        <w:rPr>
          <w:sz w:val="28"/>
          <w:szCs w:val="28"/>
          <w:lang w:val="uk-UA"/>
        </w:rPr>
        <w:t xml:space="preserve">буліни) також можуть ставати антигенами, якщо вони затримуються в нирках. Імовірно, аутоімунне ураження нирок опосередковується </w:t>
      </w:r>
      <w:r>
        <w:rPr>
          <w:sz w:val="28"/>
          <w:szCs w:val="28"/>
          <w:lang w:val="uk-UA"/>
        </w:rPr>
        <w:lastRenderedPageBreak/>
        <w:t>Т-лімфоцитами, котрі продукують прозапальні та профібротичні цитокіни, які й ушкоджують клітинні елементи нирок.</w:t>
      </w:r>
    </w:p>
    <w:p w14:paraId="0801E69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Морфологічно го</w:t>
      </w:r>
      <w:r>
        <w:rPr>
          <w:sz w:val="28"/>
          <w:szCs w:val="28"/>
          <w:lang w:val="uk-UA"/>
        </w:rPr>
        <w:t>стрий інерстиціальний нефрит проявляється інтенсивним набряком та інфільтрацією запальних клітин, включаючи лімфоцити, плазматичні клітини, макрофаги, еозинофіли і поліморфноядерні лейкоцити [12].</w:t>
      </w:r>
    </w:p>
    <w:p w14:paraId="4BF7FED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Клінічно тубулоінстерстиціальні пошкодження спочатку проявл</w:t>
      </w:r>
      <w:r>
        <w:rPr>
          <w:sz w:val="28"/>
          <w:szCs w:val="28"/>
          <w:lang w:val="uk-UA"/>
        </w:rPr>
        <w:t>яються лише незначними порушеннями функції нирок, і першою їх ознакою можуть стати артеріальна гіпертензія та поступово прогресуючі явища ниркової недостатності.</w:t>
      </w:r>
    </w:p>
    <w:p w14:paraId="03F8675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нефротоксикантів, які найчастіше асоціюються з розвитком хронічного тубулоінтерстиціальн</w:t>
      </w:r>
      <w:r>
        <w:rPr>
          <w:sz w:val="28"/>
          <w:szCs w:val="28"/>
          <w:lang w:val="uk-UA"/>
        </w:rPr>
        <w:t>ого пошкодження нирок, фігурують токсичні метали (свинець, кадмій, золото, платина, ртуть, літій, срібло, мідь, залізо), анальгетики та нестероїдні протизапальні засоби. Із мікотоксинами, такими як охратоксин, пов’язують розвиток ендемічної балканської неф</w:t>
      </w:r>
      <w:r>
        <w:rPr>
          <w:sz w:val="28"/>
          <w:szCs w:val="28"/>
          <w:lang w:val="uk-UA"/>
        </w:rPr>
        <w:t>ропатії - варіанта тубулоінтерстиціального нефриту.</w:t>
      </w:r>
    </w:p>
    <w:p w14:paraId="6BA1660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Характеризується тяжким ураженням нирок унаслідок ішемії їхнього мозкового шару і сосочків чи прямої токсичної дії нефротоксинів на ці структури. Таке ураження нирок спричиняється анальгетиками, зокрема ф</w:t>
      </w:r>
      <w:r>
        <w:rPr>
          <w:sz w:val="28"/>
          <w:szCs w:val="28"/>
          <w:lang w:val="uk-UA"/>
        </w:rPr>
        <w:t>енацетином та парацетамолом, метаболіти яких накопичуються в папілярній тканині [4, 24], а також нестероїдні протизапальні засоби , котрі, блокуючи синтез вазодилататорних PG у нирці, викликають ішемічні ниркові некрози [28,6].</w:t>
      </w:r>
    </w:p>
    <w:p w14:paraId="29D4B45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Пряму гломерулярну токсичніс</w:t>
      </w:r>
      <w:r>
        <w:rPr>
          <w:sz w:val="28"/>
          <w:szCs w:val="28"/>
          <w:lang w:val="uk-UA"/>
        </w:rPr>
        <w:t>ть викликають речовини, що можуть затримуватися базальною мембраною клубочків чи накопичуватись у мезангіальних клітинах (наприклад, частинки золота чи кремнезему).</w:t>
      </w:r>
    </w:p>
    <w:p w14:paraId="60179A0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золота та кремнезему, на мембрани клубочків токсично впливають також пеніциламін, інг</w:t>
      </w:r>
      <w:r>
        <w:rPr>
          <w:sz w:val="28"/>
          <w:szCs w:val="28"/>
          <w:lang w:val="uk-UA"/>
        </w:rPr>
        <w:t xml:space="preserve">ібітори ангіотензинперетворювального ферменту, </w:t>
      </w:r>
      <w:r>
        <w:rPr>
          <w:sz w:val="28"/>
          <w:szCs w:val="28"/>
          <w:lang w:val="uk-UA"/>
        </w:rPr>
        <w:lastRenderedPageBreak/>
        <w:t xml:space="preserve">фоскарнет,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sz w:val="28"/>
          <w:szCs w:val="28"/>
          <w:lang w:val="uk-UA"/>
        </w:rPr>
        <w:t>-інтерферон, нестероїдні протизапальні засоби [10,23,7]. Зокрема, мефенамінат та фенопрофен здатні ініціювати запальні зміни в капілярах клубочків, оскільки вони блокують циклооксигеназний шлях мет</w:t>
      </w:r>
      <w:r>
        <w:rPr>
          <w:sz w:val="28"/>
          <w:szCs w:val="28"/>
          <w:lang w:val="uk-UA"/>
        </w:rPr>
        <w:t>аболізму арахідонової кислоти і спрямовують його по ліпоксигеназному шляху, що призводить до утворення прозапальних лейкотрієнів. Кокаїн та героїн також викликають запалення в клубочках, яке проявляється тромбозом капілярів, руйнуванням їх стінок, зменшенн</w:t>
      </w:r>
      <w:r>
        <w:rPr>
          <w:sz w:val="28"/>
          <w:szCs w:val="28"/>
          <w:lang w:val="uk-UA"/>
        </w:rPr>
        <w:t>ям кількості епітеліоцитів, проліферацією мезангіальних клітин, що відповідає картині мембранопроліферативного гломерулонефриту.</w:t>
      </w:r>
    </w:p>
    <w:p w14:paraId="047C639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зміни можуть завершуватися розвитком вогнищевого гломерулосклерозу та амілоїдозу нирок [15].</w:t>
      </w:r>
    </w:p>
    <w:p w14:paraId="3304A2E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3E9F04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1.4 Постренальні ураження нир</w:t>
      </w:r>
      <w:r>
        <w:rPr>
          <w:caps/>
          <w:sz w:val="28"/>
          <w:szCs w:val="28"/>
          <w:lang w:val="uk-UA"/>
        </w:rPr>
        <w:t>ок</w:t>
      </w:r>
    </w:p>
    <w:p w14:paraId="50B3996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10D47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Постренальні токсичні ушкодження нирок частіше виникають унаслідок випадіння кристалів лікарських засобів і сечових каменів у просвіті дистальних канальців, що створює механічні перешкоди руху сечі [3,22,7]. Осадження кристалів у паренхімі нирок здатне</w:t>
      </w:r>
      <w:r>
        <w:rPr>
          <w:sz w:val="28"/>
          <w:szCs w:val="28"/>
          <w:lang w:val="uk-UA"/>
        </w:rPr>
        <w:t xml:space="preserve"> пошкоджувати судинну мережу і викликати порушення ниркового кровотоку.</w:t>
      </w:r>
    </w:p>
    <w:p w14:paraId="41B2CC9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Менш частою причиною постренальних токсичних уражень нирок є механічна обструкція сечоводів унаслідок індукованих лікарських засобів ретроперитонеального фіброзу.</w:t>
      </w:r>
    </w:p>
    <w:p w14:paraId="035F990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7E185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1.5. Хвороби, виклик</w:t>
      </w:r>
      <w:r>
        <w:rPr>
          <w:caps/>
          <w:sz w:val="28"/>
          <w:szCs w:val="28"/>
          <w:lang w:val="uk-UA"/>
        </w:rPr>
        <w:t>ані електролітними порушеннями</w:t>
      </w:r>
    </w:p>
    <w:p w14:paraId="51781B3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7B9F35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Гіпонатріємія розвивається при використанні тіазидних діуретиків, які посилюють сечову екскрецію натрію, стимулюють продукцію антидіуретичного гормона та альдостерону, збільшують реабсорбцію вільної води.</w:t>
      </w:r>
    </w:p>
    <w:p w14:paraId="03BA087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Гіпернатріємія розв</w:t>
      </w:r>
      <w:r>
        <w:rPr>
          <w:sz w:val="28"/>
          <w:szCs w:val="28"/>
          <w:lang w:val="uk-UA"/>
        </w:rPr>
        <w:t>ивається при тривалому застосуванні манітолу, при нефрогенному нецукровому діабеті, викликаному літієм та демеклоцикліном.</w:t>
      </w:r>
    </w:p>
    <w:p w14:paraId="12E349E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Гіпокаліємія часто поєднується з гіпомагніємією і виникає при лікуванні тіазидними та тіазидоподібними діуретиками (гідрохлоротіазидо</w:t>
      </w:r>
      <w:r>
        <w:rPr>
          <w:sz w:val="28"/>
          <w:szCs w:val="28"/>
          <w:lang w:val="uk-UA"/>
        </w:rPr>
        <w:t>м, циклометіазидом, хлорталідоном, клопамідом, індапамідом), а також лікарських засобів, що токсично діють на тубулярний апарат нирок (гентаміцином, цисплатином і карбоплатином). Ці електролітні розлади здебільшого є наслідком підвищеної екскреції із сечею</w:t>
      </w:r>
      <w:r>
        <w:rPr>
          <w:sz w:val="28"/>
          <w:szCs w:val="28"/>
          <w:lang w:val="uk-UA"/>
        </w:rPr>
        <w:t xml:space="preserve"> калію та магнію, а їх частота та вираженість прямо пропорційні дозі діуретика чи нефротоксину.</w:t>
      </w:r>
    </w:p>
    <w:p w14:paraId="3496A46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Гіперкаліємія найчастіше є наслідком застосування калій зберігаючих діуретиків та лікарських засобів, що впливають на ренін-ангіотензин-альдостеронову систему ч</w:t>
      </w:r>
      <w:r>
        <w:rPr>
          <w:sz w:val="28"/>
          <w:szCs w:val="28"/>
          <w:lang w:val="uk-UA"/>
        </w:rPr>
        <w:t>и обмежують реабсорбцію натрію .</w:t>
      </w:r>
    </w:p>
    <w:p w14:paraId="122E68A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Проксимальний тубулярний ацидоз розвивається внаслідок зменшення реабсорбції нирками бікарбонату під впливом ацетазоламіду, дорзоламіду (інгібіторів карбоангідрази). Іншими причинами метаболічного ацидозу є зниження екскрец</w:t>
      </w:r>
      <w:r>
        <w:rPr>
          <w:sz w:val="28"/>
          <w:szCs w:val="28"/>
          <w:lang w:val="uk-UA"/>
        </w:rPr>
        <w:t>ії нирками іонів водню, що викликається амфотерицином, літієм, анальгетиками, високими дозами вітаміну D, та зменшення продукції альдостерону або чутливості до нього, що спричиняється циклоспорином і такролімусом [2,28,5].</w:t>
      </w:r>
    </w:p>
    <w:p w14:paraId="19708E1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Метаболічний алкалоз виникає при </w:t>
      </w:r>
      <w:r>
        <w:rPr>
          <w:sz w:val="28"/>
          <w:szCs w:val="28"/>
          <w:lang w:val="uk-UA"/>
        </w:rPr>
        <w:t>застосуванні петльових та тіазидних діуретиків і пов’язаний із посиленням екскреції з сечею іонів водню та калію.</w:t>
      </w:r>
    </w:p>
    <w:p w14:paraId="0E085C5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CAD70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1.6 Біохімічні маркери ушкодження нирок</w:t>
      </w:r>
    </w:p>
    <w:p w14:paraId="0DA849E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0C28612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.6.1 Креатинін. Кліренс креатиніну</w:t>
      </w:r>
    </w:p>
    <w:p w14:paraId="042442D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Методи, засновані на дослідженні очисної функції нирки (кліренс) </w:t>
      </w:r>
      <w:r>
        <w:rPr>
          <w:sz w:val="28"/>
          <w:szCs w:val="28"/>
          <w:lang w:val="uk-UA"/>
        </w:rPr>
        <w:t>вважаються найбільш надійними. Кліренс, як метод дослідження функції нирок, введений Rehberg (кліренс креатиніну, 1926 р.) і Molly McJntoch і Van Slyke (кліренс сечовини, 1928 р.). Під нирковим кліренсом мається на увазі те кількість сироватки (плазми) кро</w:t>
      </w:r>
      <w:r>
        <w:rPr>
          <w:sz w:val="28"/>
          <w:szCs w:val="28"/>
          <w:lang w:val="uk-UA"/>
        </w:rPr>
        <w:t>ві (в мл), яке очищується цілком за одиницю часу від якогось екзогенного або ендогенного речовини [27,11,2].</w:t>
      </w:r>
    </w:p>
    <w:p w14:paraId="7E2580A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Розрізняють такі види кліренсу:</w:t>
      </w:r>
    </w:p>
    <w:p w14:paraId="7FC68B1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Фільтраційний кліренс, коли речовина виділяється в результаті фільтрації і не реабсорбується в канальцях. Такий к</w:t>
      </w:r>
      <w:r>
        <w:rPr>
          <w:sz w:val="28"/>
          <w:szCs w:val="28"/>
          <w:lang w:val="uk-UA"/>
        </w:rPr>
        <w:t>ліренс має креатинін. Він визначає величину клубочковой фільтрації.</w:t>
      </w:r>
    </w:p>
    <w:p w14:paraId="7ED3098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Екскреціонний кліренс, коли речовина виділяється фільтрацією або канальцевої екскрецією, без реабсорбції. Цей кліренс визначає кількість пройшла через нирку плазми.</w:t>
      </w:r>
    </w:p>
    <w:p w14:paraId="0121A35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Реабсорбційну кліре</w:t>
      </w:r>
      <w:r>
        <w:rPr>
          <w:sz w:val="28"/>
          <w:szCs w:val="28"/>
          <w:lang w:val="uk-UA"/>
        </w:rPr>
        <w:t>нс, при якому речовина виділяється фільтрацією і повністю реабсорбується в канальцях.</w:t>
      </w:r>
    </w:p>
    <w:p w14:paraId="0283061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Змішаний кліренс спостерігається при здатності фільтруючого речовини до часткової реабсорбції. Таким кліренсом володіє сечовина.</w:t>
      </w:r>
    </w:p>
    <w:p w14:paraId="778E360A" w14:textId="77777777" w:rsidR="00000000" w:rsidRDefault="00DB5205">
      <w:pPr>
        <w:pStyle w:val="1"/>
        <w:tabs>
          <w:tab w:val="left" w:pos="9356"/>
        </w:tabs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 xml:space="preserve">Кожна речовина має свій кліренс, тобто </w:t>
      </w:r>
      <w:r>
        <w:rPr>
          <w:kern w:val="32"/>
          <w:sz w:val="28"/>
          <w:szCs w:val="28"/>
          <w:lang w:val="uk-UA"/>
        </w:rPr>
        <w:t>концентраційна здатність нирки різна для різних речовин і може варіювати залежно його концентрації в плазмі [1,9,28].</w:t>
      </w:r>
    </w:p>
    <w:p w14:paraId="25BC091E" w14:textId="77777777" w:rsidR="00000000" w:rsidRDefault="00DB5205">
      <w:pPr>
        <w:pStyle w:val="1"/>
        <w:tabs>
          <w:tab w:val="left" w:pos="9356"/>
        </w:tabs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kern w:val="32"/>
          <w:sz w:val="28"/>
          <w:szCs w:val="28"/>
          <w:lang w:val="uk-UA"/>
        </w:rPr>
        <w:t>Кліренс можна охарактеризувати як коефіцієнт очищення плазми (крові). Кліренс визначається речовини відповідає різниці між вмістом цієї р</w:t>
      </w:r>
      <w:r>
        <w:rPr>
          <w:kern w:val="32"/>
          <w:sz w:val="28"/>
          <w:szCs w:val="28"/>
          <w:lang w:val="uk-UA"/>
        </w:rPr>
        <w:t>ечовини в сечі і в плазмі хв.</w:t>
      </w:r>
    </w:p>
    <w:p w14:paraId="39B6893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часто для виявлення дисфункції нирок (функціональної здатності клубочків і канальців), а також з метою диференціальної діагностики нефропатій використовують креатинін і сечовину. Підвищення концентрації в крові креати</w:t>
      </w:r>
      <w:r>
        <w:rPr>
          <w:sz w:val="28"/>
          <w:szCs w:val="28"/>
          <w:lang w:val="uk-UA"/>
        </w:rPr>
        <w:t>ніну і сечовини, супутніх нирковій дисфункції - ознака патогномонічної ниркової недостатності, однак концентрація креатиніну в крові підвищується раніше, ніж сечовини. Визначення його для ідентифікації ниркової дисфункції більш показово [18].</w:t>
      </w:r>
    </w:p>
    <w:p w14:paraId="2ABA90C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Креатинін - к</w:t>
      </w:r>
      <w:r>
        <w:rPr>
          <w:sz w:val="28"/>
          <w:szCs w:val="28"/>
          <w:lang w:val="uk-UA"/>
        </w:rPr>
        <w:t>інцевий продукт обміну креатину. Креатинін утворюється в організмі з креатину, який міститься в основному в м'язовій тканині, де його похідне - фосфокреатин служить резервом, витрачається при скороченні м'язів [9,22,30].</w:t>
      </w:r>
    </w:p>
    <w:p w14:paraId="5250993A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91320BB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1.6.2 Протеїнурія</w:t>
      </w:r>
    </w:p>
    <w:p w14:paraId="6DDB9DE4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Обов'язковим і в</w:t>
      </w:r>
      <w:r>
        <w:rPr>
          <w:sz w:val="28"/>
          <w:szCs w:val="28"/>
          <w:lang w:val="uk-UA"/>
        </w:rPr>
        <w:t>ажливим елементом дослідження сечі є визначення білка. У сечі здорової людини білок можна виявити методами дослідження, якими користуються для його виявлення при загальному аналізі (проба з сульфосаліциловою кислотою - для якісного, біуретовая реакція - дл</w:t>
      </w:r>
      <w:r>
        <w:rPr>
          <w:sz w:val="28"/>
          <w:szCs w:val="28"/>
          <w:lang w:val="uk-UA"/>
        </w:rPr>
        <w:t>я кількісного аналізу), хоча в добовому об'ємі сечі в нормі його міститься від 10 до 50 мг , а за деякими даними до 100 мг[47].</w:t>
      </w:r>
    </w:p>
    <w:p w14:paraId="1D452CB1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в сечі виявлено залишки білку або концентрація його становить 0,033 г / л, необхідно повторити аналіз, оскільки наявність б</w:t>
      </w:r>
      <w:r>
        <w:rPr>
          <w:sz w:val="28"/>
          <w:szCs w:val="28"/>
          <w:lang w:val="uk-UA"/>
        </w:rPr>
        <w:t>ілку навіть у мінімальних кількостях може свідчити про можливе захворювання нирок або сечових шляхів. У сумнівних випадках слід визначити добову кількість білка,який екскретується з сечею [51,23].</w:t>
      </w:r>
    </w:p>
    <w:p w14:paraId="01D0355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Якісна проба (з сульфосаліциловою кислотою) на білок стає п</w:t>
      </w:r>
      <w:r>
        <w:rPr>
          <w:sz w:val="28"/>
          <w:szCs w:val="28"/>
          <w:lang w:val="uk-UA"/>
        </w:rPr>
        <w:t>озитивною, якщо концентрація його становить не менше 10 мг/100 мл сечі.</w:t>
      </w:r>
    </w:p>
    <w:p w14:paraId="2B9AA5B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білку в сечі має важливе значення не тільки в діагностиці багатьох первинних і вторинних захворювань нирок, а є одним з головних ознак протеїнурії [32,18].</w:t>
      </w:r>
    </w:p>
    <w:p w14:paraId="66D535C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C7CF64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1.7 Ферментативн</w:t>
      </w:r>
      <w:r>
        <w:rPr>
          <w:caps/>
          <w:sz w:val="28"/>
          <w:szCs w:val="28"/>
          <w:lang w:val="uk-UA"/>
        </w:rPr>
        <w:t>і маркери сечі</w:t>
      </w:r>
    </w:p>
    <w:p w14:paraId="0100B34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12E94D3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.7.1 Гама-глутамілтранспептидаза</w:t>
      </w:r>
    </w:p>
    <w:p w14:paraId="1B44A60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Гама-глутаміттранспептидаза (ГГТП) каталізує перенесення </w:t>
      </w: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sz w:val="28"/>
          <w:szCs w:val="28"/>
          <w:lang w:val="uk-UA"/>
        </w:rPr>
        <w:t>-глутаміл з глутатіону на амінокислоту або пептид.</w:t>
      </w:r>
    </w:p>
    <w:p w14:paraId="33A143F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нирках фермент відіграє головну роль в реабсорбції амінокислот з первинної сечі[3,16].</w:t>
      </w:r>
    </w:p>
    <w:p w14:paraId="4CB9943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Розташову</w:t>
      </w:r>
      <w:r>
        <w:rPr>
          <w:sz w:val="28"/>
          <w:szCs w:val="28"/>
          <w:lang w:val="uk-UA"/>
        </w:rPr>
        <w:t>ється в основному на мембранах клітин, що володіють високою секреторною активністю, в епітеліальних клітинах, що вистилають жовчні шляхи, печінкових канальцях , проксимальних канальцях нефрона, панкреатичній екзокринній тканині, вивідних протоках , ворсинч</w:t>
      </w:r>
      <w:r>
        <w:rPr>
          <w:sz w:val="28"/>
          <w:szCs w:val="28"/>
          <w:lang w:val="uk-UA"/>
        </w:rPr>
        <w:t>астих клітинах тонкої кишки [25,7,3].</w:t>
      </w:r>
    </w:p>
    <w:p w14:paraId="0677E1A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Припускають, що в печінці гамаглутаматтранспепдидаза зв'язує молекули речовин, які необхідно екскретуватися.</w:t>
      </w:r>
    </w:p>
    <w:p w14:paraId="40179EF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активності ГГТП супроводжує захворювання печінки. Найбільш часто збільшення активності ГГТП при за</w:t>
      </w:r>
      <w:r>
        <w:rPr>
          <w:sz w:val="28"/>
          <w:szCs w:val="28"/>
          <w:lang w:val="uk-UA"/>
        </w:rPr>
        <w:t>хворюваннях печінки і жовчовивідних шляхів вважають результатом порушення відтоку жовчі і підвищення вмісту ГГТП в гепатоцитах. Регургітація жовчі, надходження її в кровотік, з одного боку, звільняє ГГТП з мембран епітелію, що вистилає жовчні шляхи, з іншо</w:t>
      </w:r>
      <w:r>
        <w:rPr>
          <w:sz w:val="28"/>
          <w:szCs w:val="28"/>
          <w:lang w:val="uk-UA"/>
        </w:rPr>
        <w:t>го - підвищує активність ферменту в крові.</w:t>
      </w:r>
    </w:p>
    <w:p w14:paraId="653AAD3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активності ГГТП завжди супроводжується внутрішньо поза печінковою обтурацією жовчних проток, а також вторинним залученням печінки в онкологічні процеси організму шляхом метастазування.</w:t>
      </w:r>
    </w:p>
    <w:p w14:paraId="1714135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Жовтяниця завжди </w:t>
      </w:r>
      <w:r>
        <w:rPr>
          <w:sz w:val="28"/>
          <w:szCs w:val="28"/>
          <w:lang w:val="uk-UA"/>
        </w:rPr>
        <w:t>супроводжується збільшенням активності ГГТП. Висока активність ферменту пов'язана з порушенням прохідності жовчних проток, менш висока відповідає гострого гепатоцелюлярній поразці [19,4,8].</w:t>
      </w:r>
    </w:p>
    <w:p w14:paraId="78379E5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гострому вірусному гепатиті багаторазове дослідження активност</w:t>
      </w:r>
      <w:r>
        <w:rPr>
          <w:sz w:val="28"/>
          <w:szCs w:val="28"/>
          <w:lang w:val="uk-UA"/>
        </w:rPr>
        <w:t>і ГГТП дозволяє стежити за перебігом хвороби, постійне підвищення активності ГГТП свідчить про розвиток хронічної форми захворювання[5].</w:t>
      </w:r>
    </w:p>
    <w:p w14:paraId="08C25B5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високу активність ГГТП (в 5-30 разів вище референтного інтервалу) спостерігають при внутрішньо і поза печінков</w:t>
      </w:r>
      <w:r>
        <w:rPr>
          <w:sz w:val="28"/>
          <w:szCs w:val="28"/>
          <w:lang w:val="uk-UA"/>
        </w:rPr>
        <w:t>ому холестазі. Дещо менші значення активності ферменту реєструють при первинних пухлинах печінки. При злоякісних пухлинах іншої локалізації поступове збільшення активності ГГТП вказує на наявність метастазів у печінку. Активність ГГТП може бути використана</w:t>
      </w:r>
      <w:r>
        <w:rPr>
          <w:sz w:val="28"/>
          <w:szCs w:val="28"/>
          <w:lang w:val="uk-UA"/>
        </w:rPr>
        <w:t xml:space="preserve"> в якості маркера раку підшлункової та передміхурової залози, так як відображає ремісії і рецидиви.</w:t>
      </w:r>
    </w:p>
    <w:p w14:paraId="23376D5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Активність ферменту визначається в сечі експериментальних тварин з різними нефропатіями навіть при відсутності гіпоперфузії нирки, тому відображає навіть не</w:t>
      </w:r>
      <w:r>
        <w:rPr>
          <w:sz w:val="28"/>
          <w:szCs w:val="28"/>
          <w:lang w:val="uk-UA"/>
        </w:rPr>
        <w:t>значні зміни у канальцевих клітинах.</w:t>
      </w:r>
    </w:p>
    <w:p w14:paraId="2069FCF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ще раз зауважити, що ГГТП багатозначна в діагностичному відношенні [21,30].</w:t>
      </w:r>
    </w:p>
    <w:p w14:paraId="1D1B6F1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080D45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1.7.2 Лактатдегідрогеназа</w:t>
      </w:r>
    </w:p>
    <w:p w14:paraId="295FD0E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Активна сечова лактат дегідрогеназа у людини була широко вивчена при нормальних і патологічних станах. Ак</w:t>
      </w:r>
      <w:r>
        <w:rPr>
          <w:sz w:val="28"/>
          <w:szCs w:val="28"/>
          <w:lang w:val="uk-UA"/>
        </w:rPr>
        <w:t>тивна сечова лактат дегідрогеназа може виникати з декількох джерел, що показує її поділ на ізоферменти. Лактатдегідрогеназна активність виникає із сироватки крові, клітини нирок, клітини крові або з секрету передміхурової залози.</w:t>
      </w:r>
    </w:p>
    <w:p w14:paraId="5BDEBF1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напрямів досліджен</w:t>
      </w:r>
      <w:r>
        <w:rPr>
          <w:sz w:val="28"/>
          <w:szCs w:val="28"/>
          <w:lang w:val="uk-UA"/>
        </w:rPr>
        <w:t>ня локального ушкодження нирок є дослідження екскреції ензимів з сечею (ензимурія) [36,31]. Пропонується велика кількість ензиматичних маркерів для відображення ураження нирок. Але найбільш часто використовуються ГГТП і ЛДГ, що у великих кількостях містять</w:t>
      </w:r>
      <w:r>
        <w:rPr>
          <w:sz w:val="28"/>
          <w:szCs w:val="28"/>
          <w:lang w:val="uk-UA"/>
        </w:rPr>
        <w:t>ся в нирках і не фільтруються з крові [31]. Збільшення активності цих ферментів у сечі при нефропатіях виявляється вже в перші години, задовго до розвитку клінічно значимих змін у екскреції протеїнів з сечею, креатиніну в плазмі крові та інших ниркових мар</w:t>
      </w:r>
      <w:r>
        <w:rPr>
          <w:sz w:val="28"/>
          <w:szCs w:val="28"/>
          <w:lang w:val="uk-UA"/>
        </w:rPr>
        <w:t>керів [36].</w:t>
      </w:r>
    </w:p>
    <w:p w14:paraId="0B5652B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ЛДГ є цитозольним ензимом, який розподілений впродовж всього нефрону, але переважна кількість його знаходиться у дистальному канальці [36]. Оскільки пряма взаємодія cPt з ЛДГ відсутня [49], то є можливим його використання у якості маркера нефро</w:t>
      </w:r>
      <w:r>
        <w:rPr>
          <w:sz w:val="28"/>
          <w:szCs w:val="28"/>
          <w:lang w:val="uk-UA"/>
        </w:rPr>
        <w:t>токсичної дії cPt [46,31].</w:t>
      </w:r>
    </w:p>
    <w:p w14:paraId="09AF08A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Збільшення сечової лактатдегідрогенази не паралельно сумарній протеїнурії або гематурії , оскільки в більшості випадків залучаються інші патологічні фактори, що задіюють інші джерела виникнення сечової лактатдегідрогенази [2,22].</w:t>
      </w:r>
    </w:p>
    <w:p w14:paraId="1AEB929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Опущення нирки може бути діагностовано за допомогою порівняння активності лактатдегідрогенази в сечі, що продукується при вертикальному положенні пацієнта, з сечею, що продукується в лежачому стані; при опущенні, утворена сеча містить набагато більшу ферм</w:t>
      </w:r>
      <w:r>
        <w:rPr>
          <w:sz w:val="28"/>
          <w:szCs w:val="28"/>
          <w:lang w:val="uk-UA"/>
        </w:rPr>
        <w:t>ентативну активність.</w:t>
      </w:r>
    </w:p>
    <w:p w14:paraId="5A62520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Виключно висока активність сечової лактатдегідрогенази зустрічається у хворих зі злоякісними пухлинами урогенітального тракту - рак нирки, рак сечового міхура , а також рак шийки матки і рак передміхурової залози . Ці результати говор</w:t>
      </w:r>
      <w:r>
        <w:rPr>
          <w:sz w:val="28"/>
          <w:szCs w:val="28"/>
          <w:lang w:val="uk-UA"/>
        </w:rPr>
        <w:t xml:space="preserve">ять про великий серії досліджень для визначення наявності активності сечової лактат дегідрогенази, що може бути використана як маркер злоякісних пухлин сечостатевої системи, а в деяких випадках, навіть при скритих карциномах (без патологічних змін в сечі) </w:t>
      </w:r>
      <w:r>
        <w:rPr>
          <w:sz w:val="28"/>
          <w:szCs w:val="28"/>
          <w:lang w:val="uk-UA"/>
        </w:rPr>
        <w:t>свідчили про підвищення активності сечової лактат дегідрогенази [10,2,7].</w:t>
      </w:r>
    </w:p>
    <w:p w14:paraId="08F123A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 ці результати не можуть ствреджувати про діагностичну цінність визначення сечової лактатдегідрагенази для злоякісних новоутворень в урогенітального тракту:</w:t>
      </w:r>
    </w:p>
    <w:p w14:paraId="25F2242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Лактатдегідрогеназна</w:t>
      </w:r>
      <w:r>
        <w:rPr>
          <w:sz w:val="28"/>
          <w:szCs w:val="28"/>
          <w:lang w:val="uk-UA"/>
        </w:rPr>
        <w:t xml:space="preserve"> активність в сечі не підвищується в кожному конкретному випадку, а в деяких серіях, відсоток був нижче за 75% ;</w:t>
      </w:r>
    </w:p>
    <w:p w14:paraId="5561952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Відсутність істотної різниці у рівні активності сечової лактат дегідрогенази при злоякісних і доброякісних утвореннях в урогенітальному тракті;</w:t>
      </w:r>
    </w:p>
    <w:p w14:paraId="1BA3E0B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Збільшення активності сечової лактат дегідрогенази у хворих на злоякісні новоутворення урогенітального тракту обумовлено насамперед неспецифічними факторами (запалення, клітини крові в сечі, прискорений обміну в нормальних клітинах) і лише в малому ступен</w:t>
      </w:r>
      <w:r>
        <w:rPr>
          <w:sz w:val="28"/>
          <w:szCs w:val="28"/>
          <w:lang w:val="uk-UA"/>
        </w:rPr>
        <w:t>і підвищенням виділенням в сечу лактатдегідрогенази з пухлинних клітин , що було підтверджено комбінованими біохімічними і цитологічними дослідженнями [19,8,21].</w:t>
      </w:r>
    </w:p>
    <w:p w14:paraId="78F0CDB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Сьогодні, визначення активності сечовогї лактатдегідрогенази здається цінним скринінг-тестом н</w:t>
      </w:r>
      <w:r>
        <w:rPr>
          <w:sz w:val="28"/>
          <w:szCs w:val="28"/>
          <w:lang w:val="uk-UA"/>
        </w:rPr>
        <w:t>а виявлення наявності злоякісних пухлини сечостатевого тракту, але тільки за відсутністю піурії (наявність гною в сечі при запальних процесах, наприклад запалення легень, нирок і т.д.).</w:t>
      </w:r>
    </w:p>
    <w:p w14:paraId="4911656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B6D3FB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1.8 Профілактика та лікування нефротоксичної дії</w:t>
      </w:r>
    </w:p>
    <w:p w14:paraId="693355D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7199B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зниження ри</w:t>
      </w:r>
      <w:r>
        <w:rPr>
          <w:sz w:val="28"/>
          <w:szCs w:val="28"/>
          <w:lang w:val="uk-UA"/>
        </w:rPr>
        <w:t>зику розвитку медикаментозної нефротоксичності лікар має бути добре поінформований про небажані впливи лікарських засобів на функцію видільних органів, уникати призначення потенційно небезпечних лікарських засобів без очевидної потреби (у разі ж необхіднос</w:t>
      </w:r>
      <w:r>
        <w:rPr>
          <w:sz w:val="28"/>
          <w:szCs w:val="28"/>
          <w:lang w:val="uk-UA"/>
        </w:rPr>
        <w:t>ті - призначати на якнайкоротший строк) [13,24,4].</w:t>
      </w:r>
    </w:p>
    <w:p w14:paraId="2E239FB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Лікувальна тактика в разі виникнення ураження нирок здебільшого полягає у припиненні введення відповідного підозрюваного лікарського засобу. Преренальні ушкодження потребують обов’язкового відновлення об`є</w:t>
      </w:r>
      <w:r>
        <w:rPr>
          <w:sz w:val="28"/>
          <w:szCs w:val="28"/>
          <w:lang w:val="uk-UA"/>
        </w:rPr>
        <w:t>му циркулюючої крові. Внутрішньониркові ушкодження (наприклад, тромботична мікроангіопатія, холестеринові емболи, тубулярний некроз, рабдоміоліз) поряд із припиненням уведення підозрюваного лікарського засобу та підтримувальною терапією передбачають провед</w:t>
      </w:r>
      <w:r>
        <w:rPr>
          <w:sz w:val="28"/>
          <w:szCs w:val="28"/>
          <w:lang w:val="uk-UA"/>
        </w:rPr>
        <w:t>ення плазмоферезу за показаннями. У частині випадків для компенсації функції нирок відміна лікарських засобів виявляється недостатньою і хворі потребують проведення гемодіалізу.</w:t>
      </w:r>
    </w:p>
    <w:p w14:paraId="27B2B78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обструктивних ураженнях нирок (кристалурії, нефролітіазі) поряд зі зниженн</w:t>
      </w:r>
      <w:r>
        <w:rPr>
          <w:sz w:val="28"/>
          <w:szCs w:val="28"/>
          <w:lang w:val="uk-UA"/>
        </w:rPr>
        <w:t xml:space="preserve">ям дози або повною відміною лікарських засобів слід проводити залуження сечі (особливо в разі використання сульфаніламідів). Хронічні ураження нирок, зокрема облітеруючу артеріопатію і фіброз сечоводів, лікують, за можливості, зниженням дози підозрюваного </w:t>
      </w:r>
      <w:r>
        <w:rPr>
          <w:sz w:val="28"/>
          <w:szCs w:val="28"/>
          <w:lang w:val="uk-UA"/>
        </w:rPr>
        <w:t>лікарського засобу та підтримувальною терапією [2,7].</w:t>
      </w:r>
    </w:p>
    <w:p w14:paraId="0E366DB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порушеннях електролітного балансу та нефрогенному нецукровому діабеті, крім припинення вживання нефротоксиканта, на фоні підтримувальної та відновлювальної терапії необхідна корекція вмісту калію та</w:t>
      </w:r>
      <w:r>
        <w:rPr>
          <w:sz w:val="28"/>
          <w:szCs w:val="28"/>
          <w:lang w:val="uk-UA"/>
        </w:rPr>
        <w:t xml:space="preserve"> натрію: обмеження вживання рідини в разі гіпонатріємії, призначення препаратів калію та магнію при дефіциті останніх, низькокалійна дієта в разі гіперкаліємії. Метаболічний алкалоз потребує відновлення об’єму циркулюючої крові, тубулярний ацидоз - заміщен</w:t>
      </w:r>
      <w:r>
        <w:rPr>
          <w:sz w:val="28"/>
          <w:szCs w:val="28"/>
          <w:lang w:val="uk-UA"/>
        </w:rPr>
        <w:t>ня HCO3-.</w:t>
      </w:r>
    </w:p>
    <w:p w14:paraId="591AB7A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 слід зазначити, що наразі в арсеналі лікаря практично відсутні специфічні ЛЗ, які б запобігали побічним нефротоксичним реакціям або лікували їх (пошуки в цій галузі ще не вийшли за межі експериментальних досліджень). Такий підхід (підтримув</w:t>
      </w:r>
      <w:r>
        <w:rPr>
          <w:sz w:val="28"/>
          <w:szCs w:val="28"/>
          <w:lang w:val="uk-UA"/>
        </w:rPr>
        <w:t>альна терапія) з успіхом використовується в онкологічній практиці при застосуванні високотоксичних засобів хіміотерапії [26,13].</w:t>
      </w:r>
    </w:p>
    <w:p w14:paraId="71045CC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небажана та токсична дія ксенобіотиків на функцію видільних органів залишається досить серйозною проблемою, що пов</w:t>
      </w:r>
      <w:r>
        <w:rPr>
          <w:sz w:val="28"/>
          <w:szCs w:val="28"/>
          <w:lang w:val="uk-UA"/>
        </w:rPr>
        <w:t xml:space="preserve">’язано з різноманітністю проявів та відсутністю дієвих засобів терапії цієї патології. Тому сьогодні основним шляхом розв’язання вказаної проблеми є раціональне використання потенційних нефротоксикантів, у тому числі й медикаментозного походження, а також </w:t>
      </w:r>
      <w:r>
        <w:rPr>
          <w:sz w:val="28"/>
          <w:szCs w:val="28"/>
          <w:lang w:val="uk-UA"/>
        </w:rPr>
        <w:t>пошук лікарських засобів для зменшення або усунення нефротоксичності.</w:t>
      </w:r>
    </w:p>
    <w:p w14:paraId="4F6839B3" w14:textId="77777777" w:rsidR="00000000" w:rsidRDefault="00DB5205">
      <w:pPr>
        <w:tabs>
          <w:tab w:val="left" w:pos="9356"/>
        </w:tabs>
        <w:spacing w:line="360" w:lineRule="auto"/>
        <w:ind w:firstLine="709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нефротоксичний маркер пухлинний нирка</w:t>
      </w:r>
    </w:p>
    <w:p w14:paraId="6C7A682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Розділ II. Матеріали та методи</w:t>
      </w:r>
    </w:p>
    <w:p w14:paraId="2EFAC87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65E9092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.1 Збір сечі у дослідних тварин</w:t>
      </w:r>
    </w:p>
    <w:p w14:paraId="3810A5B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B205B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сечі у дослідних тварин проводили вранці, натще, в умовах індукованого діуре</w:t>
      </w:r>
      <w:r>
        <w:rPr>
          <w:sz w:val="28"/>
          <w:szCs w:val="28"/>
          <w:lang w:val="uk-UA"/>
        </w:rPr>
        <w:t>зу із використанням 1% водного навантаження відповідно до методики описаної Берхіним Є. Б. та Івановим Ю. І. у 1972 році [29].</w:t>
      </w:r>
    </w:p>
    <w:p w14:paraId="55922C1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B1B2A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2.2 Приготування плазми крові</w:t>
      </w:r>
    </w:p>
    <w:p w14:paraId="331EF9F9" w14:textId="77777777" w:rsidR="00000000" w:rsidRDefault="00DB5205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668885E" w14:textId="77777777" w:rsidR="00000000" w:rsidRDefault="00DB5205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Одержання плазми крові.</w:t>
      </w:r>
    </w:p>
    <w:p w14:paraId="33445FDB" w14:textId="77777777" w:rsidR="00000000" w:rsidRDefault="00DB5205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Кров беруть натщесерце з вени гострою сухою голкою з широким діаметром, б</w:t>
      </w:r>
      <w:r>
        <w:rPr>
          <w:sz w:val="28"/>
          <w:szCs w:val="28"/>
          <w:lang w:val="uk-UA"/>
        </w:rPr>
        <w:t>ез шприца (для запобігання гемолізу). При заборі крові перші 5-6 крапель відкидають.</w:t>
      </w:r>
    </w:p>
    <w:p w14:paraId="611E290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цілей отримання плазми крові в пробірки додають літієву або натрієву сіль гепарину в пропорції до що забирається в пробірку кров'ю 15-20 МО/1 мл, що є гарантією повної</w:t>
      </w:r>
      <w:r>
        <w:rPr>
          <w:sz w:val="28"/>
          <w:szCs w:val="28"/>
          <w:lang w:val="uk-UA"/>
        </w:rPr>
        <w:t xml:space="preserve"> інактивації згортання крові і не спотворює досліджувані параметри. Еритроцити зберігаються в зразку крові до 8 годин. Не можна використовувати для проведення аналізів зразки крові, що зберігався більше 48 годин навіть в умовах холодильника (+4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sz w:val="28"/>
          <w:szCs w:val="28"/>
          <w:lang w:val="uk-UA"/>
        </w:rPr>
        <w:t>С). Для отр</w:t>
      </w:r>
      <w:r>
        <w:rPr>
          <w:sz w:val="28"/>
          <w:szCs w:val="28"/>
          <w:lang w:val="uk-UA"/>
        </w:rPr>
        <w:t>имання якісного результату аналізу необхідно: негайно після взяття крові обережно перевернути пробірку 5-7 разів для кращого перемішування крові і гепарину. Плазма відділяється після центрифугування. Нормальні швидкості центрифугирования - 1000-1500G (2000</w:t>
      </w:r>
      <w:r>
        <w:rPr>
          <w:sz w:val="28"/>
          <w:szCs w:val="28"/>
          <w:lang w:val="uk-UA"/>
        </w:rPr>
        <w:t>-3000 про/хв). При необхідності допускається центрифугування з прискоренням 4000G c кришечкою та до 12000G без кришки [2,30].</w:t>
      </w:r>
    </w:p>
    <w:p w14:paraId="5D17DA0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1480D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br w:type="page"/>
        <w:t>2.3 Метод визначення концентрації загального білку у сечі щурів</w:t>
      </w:r>
    </w:p>
    <w:p w14:paraId="689F44F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26A76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концентрації загального білку проводили за допомогою</w:t>
      </w:r>
      <w:r>
        <w:rPr>
          <w:sz w:val="28"/>
          <w:szCs w:val="28"/>
          <w:lang w:val="uk-UA"/>
        </w:rPr>
        <w:t xml:space="preserve"> діагностичних наборів реактивів виробництва «Філісіт-Діагностика» (Україна, Дніпропетровськ). Принцип методу полягає у реакції білків з пірогалоловим червоним/молібдатом забарвлений комплекс. Інтенсивність забарвлення реакційного розчину прямо пропорційна</w:t>
      </w:r>
      <w:r>
        <w:rPr>
          <w:sz w:val="28"/>
          <w:szCs w:val="28"/>
          <w:lang w:val="uk-UA"/>
        </w:rPr>
        <w:t xml:space="preserve"> концентрації білків в аналізуємому розчині [5].</w:t>
      </w:r>
    </w:p>
    <w:p w14:paraId="02F1002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Реактиви:</w:t>
      </w:r>
    </w:p>
    <w:p w14:paraId="72A0651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Монореагент:</w:t>
      </w:r>
    </w:p>
    <w:p w14:paraId="0E52D35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,0 ммоль/л пірогалолового червоного</w:t>
      </w:r>
    </w:p>
    <w:p w14:paraId="1A81783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,040 ммоль/л молібдату натрію</w:t>
      </w:r>
    </w:p>
    <w:p w14:paraId="73ED626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Калібрувальний розчин альбуміну 1 г/л</w:t>
      </w:r>
    </w:p>
    <w:p w14:paraId="74E5828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Хлорид натрію 0,9%</w:t>
      </w:r>
    </w:p>
    <w:p w14:paraId="23CE59C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визначення:</w:t>
      </w:r>
    </w:p>
    <w:p w14:paraId="3E56F93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аналізом зразки свіжозібраної сечі цент</w:t>
      </w:r>
      <w:r>
        <w:rPr>
          <w:sz w:val="28"/>
          <w:szCs w:val="28"/>
          <w:lang w:val="uk-UA"/>
        </w:rPr>
        <w:t>рифугували при 900 g і перевіряли рН. Визначення концентрації білку проводили згідно схеми, представленої в таблиці 2.1.</w:t>
      </w:r>
    </w:p>
    <w:p w14:paraId="29A294B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D30B22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2.1 Схема визначення білку в сечі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2"/>
        <w:gridCol w:w="2297"/>
        <w:gridCol w:w="2004"/>
        <w:gridCol w:w="2098"/>
      </w:tblGrid>
      <w:tr w:rsidR="00000000" w14:paraId="3EEF2959" w14:textId="77777777">
        <w:tblPrEx>
          <w:tblCellMar>
            <w:top w:w="0" w:type="dxa"/>
            <w:bottom w:w="0" w:type="dxa"/>
          </w:tblCellMar>
        </w:tblPrEx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9BC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Відміряємий розчин, мл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BC5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Дослідна проба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456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Калібрувальна проба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43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Холоста проба</w:t>
            </w:r>
          </w:p>
        </w:tc>
      </w:tr>
      <w:tr w:rsidR="00000000" w14:paraId="6F1E2A39" w14:textId="77777777">
        <w:tblPrEx>
          <w:tblCellMar>
            <w:top w:w="0" w:type="dxa"/>
            <w:bottom w:w="0" w:type="dxa"/>
          </w:tblCellMar>
        </w:tblPrEx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043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Монореагент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67E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2D2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37A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</w:t>
            </w:r>
          </w:p>
        </w:tc>
      </w:tr>
      <w:tr w:rsidR="00000000" w14:paraId="67A7917A" w14:textId="77777777">
        <w:tblPrEx>
          <w:tblCellMar>
            <w:top w:w="0" w:type="dxa"/>
            <w:bottom w:w="0" w:type="dxa"/>
          </w:tblCellMar>
        </w:tblPrEx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CDE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Аналізуємий розчин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36A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D57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36B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776B89B3" w14:textId="77777777">
        <w:tblPrEx>
          <w:tblCellMar>
            <w:top w:w="0" w:type="dxa"/>
            <w:bottom w:w="0" w:type="dxa"/>
          </w:tblCellMar>
        </w:tblPrEx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E49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Калібрувальний розчин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449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C5C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E96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484FAD8E" w14:textId="77777777">
        <w:tblPrEx>
          <w:tblCellMar>
            <w:top w:w="0" w:type="dxa"/>
            <w:bottom w:w="0" w:type="dxa"/>
          </w:tblCellMar>
        </w:tblPrEx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993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Дистильована вода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3F6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02D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3F4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</w:t>
            </w:r>
          </w:p>
        </w:tc>
      </w:tr>
      <w:tr w:rsidR="00000000" w14:paraId="31C56F63" w14:textId="77777777">
        <w:tblPrEx>
          <w:tblCellMar>
            <w:top w:w="0" w:type="dxa"/>
            <w:bottom w:w="0" w:type="dxa"/>
          </w:tblCellMar>
        </w:tblPrEx>
        <w:tc>
          <w:tcPr>
            <w:tcW w:w="8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ED9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Перемішати, витримати 10 хв при кімнатній температурі, фотометрувати проти холостої проби при довжині хвилі 540 нм. Забарвлення стабільне протягом</w:t>
            </w:r>
            <w:r>
              <w:rPr>
                <w:sz w:val="20"/>
                <w:szCs w:val="20"/>
                <w:lang w:val="uk-UA"/>
              </w:rPr>
              <w:t xml:space="preserve"> 30 хв.</w:t>
            </w:r>
          </w:p>
        </w:tc>
      </w:tr>
    </w:tbl>
    <w:p w14:paraId="7E4EEA2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479B50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концентрації глюкози проводили за формулою:</w:t>
      </w:r>
    </w:p>
    <w:p w14:paraId="3C23C0A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С=1000</w:t>
      </w:r>
      <w:r>
        <w:rPr>
          <w:rFonts w:ascii="Times New Roman" w:hAnsi="Times New Roman" w:cs="Times New Roman"/>
          <w:sz w:val="28"/>
          <w:szCs w:val="28"/>
          <w:lang w:val="uk-UA"/>
        </w:rPr>
        <w:t>×</w:t>
      </w:r>
      <w:r>
        <w:rPr>
          <w:sz w:val="28"/>
          <w:szCs w:val="28"/>
          <w:lang w:val="uk-UA"/>
        </w:rPr>
        <w:t xml:space="preserve"> Еоп/Екал (мг/л)</w:t>
      </w:r>
    </w:p>
    <w:p w14:paraId="42A306C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481C5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С - концентрація білку у дослідній пробі, мг/л;</w:t>
      </w:r>
    </w:p>
    <w:p w14:paraId="007529B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концентрація білку в калібрувальному розчині, мг/л;</w:t>
      </w:r>
    </w:p>
    <w:p w14:paraId="29CD92E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Еоп - оптична щільність дослідної проби, од. опт.щільності;</w:t>
      </w:r>
    </w:p>
    <w:p w14:paraId="4E8A188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Екал - оптична щільність калібрувальної проби, од. опт.щільності;</w:t>
      </w:r>
    </w:p>
    <w:p w14:paraId="22DB037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Достовірність отриманих результатів контролювали за допомогою атестованої контрольної сироватки «Філісіт-КГБС» (Україна).</w:t>
      </w:r>
    </w:p>
    <w:p w14:paraId="471FB78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26CFA53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.4 Метод визначення концентрації креатиніну в плазмі крові та сечі</w:t>
      </w:r>
      <w:r>
        <w:rPr>
          <w:caps/>
          <w:sz w:val="28"/>
          <w:szCs w:val="28"/>
          <w:lang w:val="uk-UA"/>
        </w:rPr>
        <w:t xml:space="preserve"> щурів</w:t>
      </w:r>
    </w:p>
    <w:p w14:paraId="0701B7D3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F5DDC3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креатиніну проводили за допомогою діагностичних наборів реактивів виробництва «Філісіт-Діагностика» (Україна, Дніпропетровськ). Принцип методу полягає у реакції пікринової кислоти з креатиніном і утворенні у лужному середовищі продукт жо</w:t>
      </w:r>
      <w:r>
        <w:rPr>
          <w:sz w:val="28"/>
          <w:szCs w:val="28"/>
          <w:lang w:val="uk-UA"/>
        </w:rPr>
        <w:t>втого-червоного кольору (похідне 2,4,6-три-нітроциклогексадієну). Інтенсивність забарвлення дослідного розчину прямо пропорційна концентрації креатиніну у пробі. У сироватці крові креатинін досліджується після депротеїнування розчином три хлороцтової кисло</w:t>
      </w:r>
      <w:r>
        <w:rPr>
          <w:sz w:val="28"/>
          <w:szCs w:val="28"/>
          <w:lang w:val="uk-UA"/>
        </w:rPr>
        <w:t>ти, у сечі - після розведення [5,8].</w:t>
      </w:r>
    </w:p>
    <w:p w14:paraId="5E495FF3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Реактиви:</w:t>
      </w:r>
    </w:p>
    <w:p w14:paraId="3FF2CC83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,04 моль/л розчин пікринової кислоти</w:t>
      </w:r>
    </w:p>
    <w:p w14:paraId="609C9242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,22 моль/л розчин три хлороцтової кислоти</w:t>
      </w:r>
    </w:p>
    <w:p w14:paraId="71A3D18E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,15 Н гідроокис натрію</w:t>
      </w:r>
    </w:p>
    <w:p w14:paraId="34AB1DC9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 4 мкмоль/л калібрувальний розчин креатиніну</w:t>
      </w:r>
    </w:p>
    <w:p w14:paraId="23A282C2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концентрації креатиніну проводили згідно з таблице</w:t>
      </w:r>
      <w:r>
        <w:rPr>
          <w:sz w:val="28"/>
          <w:szCs w:val="28"/>
          <w:lang w:val="uk-UA"/>
        </w:rPr>
        <w:t>ю 2.2.</w:t>
      </w:r>
    </w:p>
    <w:p w14:paraId="2C7F250B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BCE54C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Таблиця 2.2 Схема проведення аналізу в плазмі крові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670"/>
        <w:gridCol w:w="1473"/>
        <w:gridCol w:w="24"/>
        <w:gridCol w:w="1537"/>
      </w:tblGrid>
      <w:tr w:rsidR="00000000" w14:paraId="095A3D6D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675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Відміряємий розчин, мл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EFB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Дослідна проба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E0A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Калібрувальна проба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587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Холоста проба</w:t>
            </w:r>
          </w:p>
        </w:tc>
      </w:tr>
      <w:tr w:rsidR="00000000" w14:paraId="75F95696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258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Сироватка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CA2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D10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BC1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58DA66A7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9F3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Дистильована вода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026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37C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ABE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</w:tr>
      <w:tr w:rsidR="00000000" w14:paraId="56790C0A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54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Калібрувальний розчин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774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051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A66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3FF246D5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C0E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ТХО кислоти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80D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A73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C1DD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00000" w14:paraId="6972C010" w14:textId="77777777">
        <w:tblPrEx>
          <w:tblCellMar>
            <w:top w:w="0" w:type="dxa"/>
            <w:bottom w:w="0" w:type="dxa"/>
          </w:tblCellMar>
        </w:tblPrEx>
        <w:tc>
          <w:tcPr>
            <w:tcW w:w="8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1EE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Переміша</w:t>
            </w:r>
            <w:r>
              <w:rPr>
                <w:sz w:val="20"/>
                <w:szCs w:val="20"/>
                <w:lang w:val="uk-UA"/>
              </w:rPr>
              <w:t>ти, центрифугувати 5 хв при 3000об/хв</w:t>
            </w:r>
          </w:p>
        </w:tc>
      </w:tr>
      <w:tr w:rsidR="00000000" w14:paraId="6F53689D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037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Надосадова рідина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14B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AA7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8C2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</w:tr>
      <w:tr w:rsidR="00000000" w14:paraId="239D1495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54E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гідроокису натрію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1F1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1C6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890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00000" w14:paraId="52B58760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6AB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пікринової к-ти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355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013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D1C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00000" w14:paraId="2BA5DA7C" w14:textId="77777777">
        <w:tblPrEx>
          <w:tblCellMar>
            <w:top w:w="0" w:type="dxa"/>
            <w:bottom w:w="0" w:type="dxa"/>
          </w:tblCellMar>
        </w:tblPrEx>
        <w:tc>
          <w:tcPr>
            <w:tcW w:w="86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3DA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Перемішати, витримати 20 хв при кімнатній температурі, фотометрувати проти холостої проби. Забарвлення стабільн</w:t>
            </w:r>
            <w:r>
              <w:rPr>
                <w:sz w:val="20"/>
                <w:szCs w:val="20"/>
                <w:lang w:val="uk-UA"/>
              </w:rPr>
              <w:t>е протягом 20 хв.</w:t>
            </w:r>
          </w:p>
        </w:tc>
      </w:tr>
    </w:tbl>
    <w:p w14:paraId="14BB8936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98B9F00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концентрації креатиніну в сечі проводили згідно з таблицею 2.3.</w:t>
      </w:r>
    </w:p>
    <w:p w14:paraId="7C5FC0A7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6EB80A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2.3 Схема проведення аналізу в сечі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1818"/>
        <w:gridCol w:w="2233"/>
        <w:gridCol w:w="1635"/>
      </w:tblGrid>
      <w:tr w:rsidR="00000000" w14:paraId="0F4ADB81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045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Відміряємий розчин, мл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4E7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Дослідна проба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2C33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Калібрувальна проба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D1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Холоста проба</w:t>
            </w:r>
          </w:p>
        </w:tc>
      </w:tr>
      <w:tr w:rsidR="00000000" w14:paraId="7FD60E55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46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Дистильована вода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9B5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797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F06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56180BD1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C33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Калібрувальний </w:t>
            </w:r>
            <w:r>
              <w:rPr>
                <w:sz w:val="20"/>
                <w:szCs w:val="20"/>
                <w:lang w:val="uk-UA"/>
              </w:rPr>
              <w:t>розчин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39C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F86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C1E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7F9542B8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3AA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ТХО кислоти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D77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85B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5C2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195544DF" w14:textId="77777777">
        <w:tblPrEx>
          <w:tblCellMar>
            <w:top w:w="0" w:type="dxa"/>
            <w:bottom w:w="0" w:type="dxa"/>
          </w:tblCellMar>
        </w:tblPrEx>
        <w:tc>
          <w:tcPr>
            <w:tcW w:w="8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50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Перемішати, центрифугувати 5 хв при 3000об/хв.. Перед аналізом розвести сечу у 100 разів (до 1 мл сечі додати 99 мл дистильованої води).</w:t>
            </w:r>
          </w:p>
        </w:tc>
      </w:tr>
      <w:tr w:rsidR="00000000" w14:paraId="42B5A7C8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E4F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Надосадова рідина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D72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51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420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6F834A0F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7CD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Розведена сеча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63F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1F9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154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4350239D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0D6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ТХО кислоти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B85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756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2F0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00000" w14:paraId="2D6E0887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073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Дистильована вода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9AC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D80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260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</w:tr>
      <w:tr w:rsidR="00000000" w14:paraId="11976BAB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F40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гідроокису натрію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0B0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253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41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</w:tr>
      <w:tr w:rsidR="00000000" w14:paraId="2D9128D2" w14:textId="77777777">
        <w:tblPrEx>
          <w:tblCellMar>
            <w:top w:w="0" w:type="dxa"/>
            <w:bottom w:w="0" w:type="dxa"/>
          </w:tblCellMar>
        </w:tblPrEx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334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пікринової кислоти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C81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F51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724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</w:tr>
      <w:tr w:rsidR="00000000" w14:paraId="56C6E1F2" w14:textId="77777777">
        <w:tblPrEx>
          <w:tblCellMar>
            <w:top w:w="0" w:type="dxa"/>
            <w:bottom w:w="0" w:type="dxa"/>
          </w:tblCellMar>
        </w:tblPrEx>
        <w:tc>
          <w:tcPr>
            <w:tcW w:w="8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D30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Перемішати, витримати 20 хв при кімнатній температурі, фотометрувати проти холостої проби при 440 нм. Забарвлення стабільне протягом</w:t>
            </w:r>
            <w:r>
              <w:rPr>
                <w:sz w:val="20"/>
                <w:szCs w:val="20"/>
                <w:lang w:val="uk-UA"/>
              </w:rPr>
              <w:t xml:space="preserve"> 20 хв.</w:t>
            </w:r>
          </w:p>
        </w:tc>
      </w:tr>
    </w:tbl>
    <w:p w14:paraId="26D6E22C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CAF82FC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концентрації креатиніну у пробі проводять за формулою:</w:t>
      </w:r>
    </w:p>
    <w:p w14:paraId="1440BE96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2DC4D72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С= Едос/Екал *442</w:t>
      </w:r>
    </w:p>
    <w:p w14:paraId="2893D6CC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Де С - концентрація креатиніну в пробі, мкмоль/л</w:t>
      </w:r>
    </w:p>
    <w:p w14:paraId="4AA4156B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калібрувальна концентрація креатиніну, мкмоль/л</w:t>
      </w:r>
    </w:p>
    <w:p w14:paraId="13D68463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Едос - оптична щільність дослідної проби, од. опт. щільності</w:t>
      </w:r>
    </w:p>
    <w:p w14:paraId="27A18DA0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Екал - оптична щільність калібрувальної проби, од. опт. Щільності</w:t>
      </w:r>
    </w:p>
    <w:p w14:paraId="7BC30DC9" w14:textId="77777777" w:rsidR="00000000" w:rsidRDefault="00DB5205">
      <w:pPr>
        <w:tabs>
          <w:tab w:val="left" w:leader="dot" w:pos="878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4F4CFF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2.5 Метод визначення загальної активності лактатдегідрогенази в гомогенаті та сечі щурів</w:t>
      </w:r>
    </w:p>
    <w:p w14:paraId="3EDBA2A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AFCC68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активності лактатдегідрогенази проводили за допомогою діагностичних наборів реактивів в</w:t>
      </w:r>
      <w:r>
        <w:rPr>
          <w:sz w:val="28"/>
          <w:szCs w:val="28"/>
          <w:lang w:val="uk-UA"/>
        </w:rPr>
        <w:t>иробництва «Філісіт-Діагностика» (Україна, Дніпропетровськ).</w:t>
      </w:r>
    </w:p>
    <w:p w14:paraId="1E58F04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 методу базується на оптимізованому стандартному методі відповідно до вимог DGKS ( Німецького Товариства Клінічної Хімії ) і модифікований відповідно до рекомендацій SCE ( Скандинавського </w:t>
      </w:r>
      <w:r>
        <w:rPr>
          <w:sz w:val="28"/>
          <w:szCs w:val="28"/>
          <w:lang w:val="uk-UA"/>
        </w:rPr>
        <w:t>комітету по ензимам) [5,8].</w:t>
      </w:r>
    </w:p>
    <w:p w14:paraId="550789D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40157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Піруват+НАДН+Н</w:t>
      </w:r>
      <w:r>
        <w:rPr>
          <w:rFonts w:ascii="Times New Roman" w:hAnsi="Times New Roman" w:cs="Times New Roman"/>
          <w:sz w:val="28"/>
          <w:szCs w:val="28"/>
          <w:lang w:val="uk-UA"/>
        </w:rPr>
        <w:t>←→</w:t>
      </w:r>
      <w:r>
        <w:rPr>
          <w:sz w:val="28"/>
          <w:szCs w:val="28"/>
          <w:lang w:val="uk-UA"/>
        </w:rPr>
        <w:t>Лактат+НАD+</w:t>
      </w:r>
    </w:p>
    <w:p w14:paraId="3E8327B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897F3B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НАДН та NAD- дві форми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sz w:val="28"/>
          <w:szCs w:val="28"/>
          <w:lang w:val="uk-UA"/>
        </w:rPr>
        <w:t>-нікотинамін аденін дінуклеотиду</w:t>
      </w:r>
    </w:p>
    <w:p w14:paraId="086CC77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Піруват перетворюється в лактат з одночасним окислюванням НАДН.Швидість зменшення абсорбції при 340 нм,що зв`язана з окислюванням НАДН,прямо </w:t>
      </w:r>
      <w:r>
        <w:rPr>
          <w:sz w:val="28"/>
          <w:szCs w:val="28"/>
          <w:lang w:val="uk-UA"/>
        </w:rPr>
        <w:t>пропорційна активності ЛДГ у пробі [5].</w:t>
      </w:r>
    </w:p>
    <w:p w14:paraId="502BCA0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Реактиви:</w:t>
      </w:r>
    </w:p>
    <w:p w14:paraId="3AF1A30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.Буферний розчин ЛДГ (P1) ph ( 7,4 ± 0,2) - 4 флакони з ( 20±1) мл</w:t>
      </w:r>
    </w:p>
    <w:p w14:paraId="6307A6B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ТРІС( 62,5± 3,125) ммоль/л;</w:t>
      </w:r>
    </w:p>
    <w:p w14:paraId="3792D72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Піруват ( 1,5±0,075) ммольл;</w:t>
      </w:r>
    </w:p>
    <w:p w14:paraId="1753C60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ЕДТО ( 6,25 ±0,3125) ммольл; 1 флакон з (20±1)мл;</w:t>
      </w:r>
    </w:p>
    <w:p w14:paraId="03E01D5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.Стабілізуючий розчин</w:t>
      </w:r>
    </w:p>
    <w:p w14:paraId="47D2213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гідроокис</w:t>
      </w:r>
      <w:r>
        <w:rPr>
          <w:sz w:val="28"/>
          <w:szCs w:val="28"/>
          <w:lang w:val="uk-UA"/>
        </w:rPr>
        <w:t xml:space="preserve"> натрію 0,01 Н</w:t>
      </w:r>
    </w:p>
    <w:p w14:paraId="635124E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.Субстрат НАДН 1 мікропробірка з ( 16±2)мг</w:t>
      </w:r>
    </w:p>
    <w:p w14:paraId="3B02922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аналізу:</w:t>
      </w:r>
    </w:p>
    <w:p w14:paraId="6CADDE3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реакції кювету і розчини нагріти до необхідної температури протягом 5 хв.При вимірюванні оптичної щільності потрібно підтримувати постійну температуру ( ±0,5</w:t>
      </w:r>
      <w:r>
        <w:rPr>
          <w:rFonts w:ascii="Times New Roman" w:hAnsi="Times New Roman" w:cs="Times New Roman"/>
          <w:sz w:val="28"/>
          <w:szCs w:val="28"/>
          <w:lang w:val="uk-UA"/>
        </w:rPr>
        <w:t>º</w:t>
      </w:r>
      <w:r>
        <w:rPr>
          <w:sz w:val="28"/>
          <w:szCs w:val="28"/>
          <w:lang w:val="uk-UA"/>
        </w:rPr>
        <w:t>С).</w:t>
      </w:r>
    </w:p>
    <w:p w14:paraId="65340F4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ослідження проводили за схемами,що представлені в таблицях 2.4., 2.5, 2.6.</w:t>
      </w:r>
    </w:p>
    <w:p w14:paraId="193BAC8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157842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2.4 Запуск реакції з субстратом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5"/>
        <w:gridCol w:w="1245"/>
        <w:gridCol w:w="15"/>
        <w:gridCol w:w="1335"/>
        <w:gridCol w:w="45"/>
        <w:gridCol w:w="1050"/>
        <w:gridCol w:w="30"/>
        <w:gridCol w:w="1125"/>
      </w:tblGrid>
      <w:tr w:rsidR="00000000" w14:paraId="7B972C55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7BD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</w:t>
            </w:r>
          </w:p>
        </w:tc>
        <w:tc>
          <w:tcPr>
            <w:tcW w:w="2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3B4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 чи плюс 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E26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плюс 37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17DAD5DC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AB9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Піпетувати,мкл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C3A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CAF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264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278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</w:tr>
      <w:tr w:rsidR="00000000" w14:paraId="0B2234A7" w14:textId="77777777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29C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Буферний розчин ( Р1) Зразок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440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4000 100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C1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1000 20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F92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4000 50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207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1000 10</w:t>
            </w:r>
          </w:p>
        </w:tc>
      </w:tr>
      <w:tr w:rsidR="00000000" w14:paraId="5D8D4CFF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AAF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Перемішати,інкубувати 1 хв,потім додати</w:t>
            </w:r>
          </w:p>
        </w:tc>
      </w:tr>
      <w:tr w:rsidR="00000000" w14:paraId="4BD7F329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C43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Розчин субстрату (Р2)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CD0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2A0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3A4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E45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</w:t>
            </w:r>
          </w:p>
        </w:tc>
      </w:tr>
    </w:tbl>
    <w:p w14:paraId="36985B0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E86A3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2.5 Запуск реакції зразком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105"/>
        <w:gridCol w:w="1020"/>
        <w:gridCol w:w="45"/>
        <w:gridCol w:w="1395"/>
        <w:gridCol w:w="120"/>
        <w:gridCol w:w="1005"/>
        <w:gridCol w:w="105"/>
        <w:gridCol w:w="2385"/>
      </w:tblGrid>
      <w:tr w:rsidR="00000000" w14:paraId="2EC4CD7B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926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71D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 чи плюс 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3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CDF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16D351A1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C37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Піпетувати,мкл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BFF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2E3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D87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16B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</w:tr>
      <w:tr w:rsidR="00000000" w14:paraId="711F1FF7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525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Монореактив ( Р1)+(Р2) Зразок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F76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5000 100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E07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1000 20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277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5000 50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E6F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1000 10</w:t>
            </w:r>
          </w:p>
        </w:tc>
      </w:tr>
      <w:tr w:rsidR="00000000" w14:paraId="525170E7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343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обох випадках перемішати,визначити абсорбцію інкубаційної суміші 1,2 і 3 хв проти повітря або дистильованої води. Обчислити швидкість зміни оптичної щільності реакційного розчину-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ΔΕ</w:t>
            </w:r>
            <w:r>
              <w:rPr>
                <w:sz w:val="20"/>
                <w:szCs w:val="20"/>
                <w:lang w:val="uk-UA"/>
              </w:rPr>
              <w:t>/хв.</w:t>
            </w:r>
          </w:p>
        </w:tc>
      </w:tr>
      <w:tr w:rsidR="00000000" w14:paraId="63FCA506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28B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Запуск реакції субстратом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6D7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</w:t>
            </w:r>
            <w:r>
              <w:rPr>
                <w:sz w:val="20"/>
                <w:szCs w:val="20"/>
                <w:lang w:val="uk-UA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 або 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5EC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28983746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C1E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Довжина хвилі,нм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B86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4A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D27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22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</w:tr>
      <w:tr w:rsidR="00000000" w14:paraId="6FC6E670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2F8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340 334 365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2EB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8095 8250 15000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28E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10080 10275 18675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09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16030 16345 29705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B4B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20000 20390 37060</w:t>
            </w:r>
          </w:p>
        </w:tc>
      </w:tr>
      <w:tr w:rsidR="00000000" w14:paraId="367F2554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B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Запуск реакції зразком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F20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 або 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468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23A5FF31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D16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Довжина хвилі,нм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ED4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 або мікро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919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 або мікро</w:t>
            </w:r>
          </w:p>
        </w:tc>
      </w:tr>
      <w:tr w:rsidR="00000000" w14:paraId="2355DE40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B56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340 334 365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BF2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8095 8250 15000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193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16030 16345 29705</w:t>
            </w:r>
          </w:p>
        </w:tc>
      </w:tr>
    </w:tbl>
    <w:p w14:paraId="303C13B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BCD44D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Таблиця 2.6 Схема проведення аналізу з субстратом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1065"/>
        <w:gridCol w:w="1305"/>
        <w:gridCol w:w="15"/>
        <w:gridCol w:w="1215"/>
        <w:gridCol w:w="1185"/>
        <w:gridCol w:w="15"/>
      </w:tblGrid>
      <w:tr w:rsidR="00000000" w14:paraId="749A76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0BD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Запуск реації субстратом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DE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 або 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DD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117DC3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328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Довжина хвилі,нм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C5C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4CF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518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F31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Мікро</w:t>
            </w:r>
          </w:p>
        </w:tc>
      </w:tr>
      <w:tr w:rsidR="00000000" w14:paraId="4A1C65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FDB8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328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134,92 137,50 250,00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C8E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168,0 171,25 311,25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07A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267,17 272,42 495,08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90D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333,33 339,83 617,67</w:t>
            </w:r>
          </w:p>
        </w:tc>
      </w:tr>
      <w:tr w:rsidR="00000000" w14:paraId="28D7535D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F2F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Запуск реакції зразком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B57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25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 або 30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831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Плюс 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5EF84FE7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E53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Довжина хвилі,нм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0F7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 або мікро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BB1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 або мікро</w:t>
            </w:r>
          </w:p>
        </w:tc>
      </w:tr>
      <w:tr w:rsidR="00000000" w14:paraId="6E855DF5" w14:textId="77777777">
        <w:tblPrEx>
          <w:tblCellMar>
            <w:top w:w="0" w:type="dxa"/>
            <w:bottom w:w="0" w:type="dxa"/>
          </w:tblCellMar>
        </w:tblPrEx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413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340 334 365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7F5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134,92 168,0 137,50 171,25 250,00 311,25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708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267,17 333,33 272,42 339,83 495,08 617,67</w:t>
            </w:r>
          </w:p>
        </w:tc>
      </w:tr>
    </w:tbl>
    <w:p w14:paraId="0D727B9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BFB0B0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2.6 Метод визначення активності гама-глутамілтранспептидази в гомогенаті та сечі щурів</w:t>
      </w:r>
    </w:p>
    <w:p w14:paraId="68E2922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0D21F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активності гама-глутамілтранспептидази проводили за допомогою діагностичних наборів реактивів виробництва «Філісі</w:t>
      </w:r>
      <w:r>
        <w:rPr>
          <w:sz w:val="28"/>
          <w:szCs w:val="28"/>
          <w:lang w:val="uk-UA"/>
        </w:rPr>
        <w:t>т-Діагностика» (Україна, Дніпропетровськ).</w:t>
      </w:r>
    </w:p>
    <w:p w14:paraId="2DDC744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Принцип методу: під дією гамма-глутамілтранспептидази глютаміновий залишок з </w:t>
      </w: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sz w:val="28"/>
          <w:szCs w:val="28"/>
          <w:lang w:val="uk-UA"/>
        </w:rPr>
        <w:t xml:space="preserve"> L(+)-глутаміл-4-нітроаніліда переходить на діпептидний акцептор-гліцилгліцин. При цьому вилучається хромоген 4-нітроаналін.</w:t>
      </w:r>
    </w:p>
    <w:p w14:paraId="7D66353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Оптичну щі</w:t>
      </w:r>
      <w:r>
        <w:rPr>
          <w:sz w:val="28"/>
          <w:szCs w:val="28"/>
          <w:lang w:val="uk-UA"/>
        </w:rPr>
        <w:t>льність реакційного розчину вимірюють після гальмування ферментативної реакції оцтовою кислотою.</w:t>
      </w:r>
    </w:p>
    <w:p w14:paraId="551556C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Реактиви:</w:t>
      </w:r>
    </w:p>
    <w:p w14:paraId="2EADEBA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.Буферний розчин рН ( 8,0-8,3) 1 флакон з ( 50±2) мл</w:t>
      </w:r>
    </w:p>
    <w:p w14:paraId="6137233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гліцилгліцин (0,5±0,005) ммоль/л</w:t>
      </w:r>
    </w:p>
    <w:p w14:paraId="1B4EC6E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тріс(гідроксиметил)мінометан( 0,5±0,05) моль/л</w:t>
      </w:r>
    </w:p>
    <w:p w14:paraId="38306DA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.Оцтова кислота </w:t>
      </w:r>
      <w:r>
        <w:rPr>
          <w:sz w:val="28"/>
          <w:szCs w:val="28"/>
          <w:lang w:val="uk-UA"/>
        </w:rPr>
        <w:t>2 флакони по ( 50±2) мл</w:t>
      </w:r>
    </w:p>
    <w:p w14:paraId="34EC215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.Калібратор</w:t>
      </w:r>
    </w:p>
    <w:p w14:paraId="61C8203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П-нітроанілін ( 5,4±0,06) ммоль/л 1 ампула (5,1±0,5) мл</w:t>
      </w:r>
    </w:p>
    <w:p w14:paraId="5588790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.Субстрат наважкою або у розчині ( 10±0,5) мл 4 мікропробірки</w:t>
      </w:r>
    </w:p>
    <w:p w14:paraId="6F97F15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sz w:val="28"/>
          <w:szCs w:val="28"/>
          <w:lang w:val="uk-UA"/>
        </w:rPr>
        <w:t>-L-глутамілнітроанілід ( 240±5) 1 флакон</w:t>
      </w:r>
    </w:p>
    <w:p w14:paraId="33124A6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аналізу проводили за схемою,описана в табл</w:t>
      </w:r>
      <w:r>
        <w:rPr>
          <w:sz w:val="28"/>
          <w:szCs w:val="28"/>
          <w:lang w:val="uk-UA"/>
        </w:rPr>
        <w:t>.2.7.</w:t>
      </w:r>
    </w:p>
    <w:p w14:paraId="5FBC58D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A9BFC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2.7 Схема проведення аналізу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25"/>
        <w:gridCol w:w="9"/>
        <w:gridCol w:w="36"/>
        <w:gridCol w:w="743"/>
        <w:gridCol w:w="67"/>
        <w:gridCol w:w="855"/>
        <w:gridCol w:w="16"/>
        <w:gridCol w:w="14"/>
        <w:gridCol w:w="915"/>
        <w:gridCol w:w="30"/>
        <w:gridCol w:w="21"/>
        <w:gridCol w:w="665"/>
        <w:gridCol w:w="31"/>
        <w:gridCol w:w="95"/>
        <w:gridCol w:w="35"/>
        <w:gridCol w:w="406"/>
        <w:gridCol w:w="108"/>
        <w:gridCol w:w="175"/>
        <w:gridCol w:w="322"/>
        <w:gridCol w:w="588"/>
        <w:gridCol w:w="65"/>
        <w:gridCol w:w="75"/>
        <w:gridCol w:w="165"/>
        <w:gridCol w:w="969"/>
      </w:tblGrid>
      <w:tr w:rsidR="00000000" w14:paraId="726F97D1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C0B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Відміряти у пробірку,мл</w:t>
            </w:r>
          </w:p>
        </w:tc>
        <w:tc>
          <w:tcPr>
            <w:tcW w:w="35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EA8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Макро аналіз</w:t>
            </w:r>
          </w:p>
        </w:tc>
        <w:tc>
          <w:tcPr>
            <w:tcW w:w="36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D97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Напів мікро аналіз</w:t>
            </w:r>
          </w:p>
        </w:tc>
      </w:tr>
      <w:tr w:rsidR="00000000" w14:paraId="69A94F0F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3020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178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Дослідна проба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C44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Холоста проба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D76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Калібрувальна проба</w:t>
            </w:r>
          </w:p>
        </w:tc>
        <w:tc>
          <w:tcPr>
            <w:tcW w:w="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245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Проба порівняння</w:t>
            </w:r>
          </w:p>
        </w:tc>
        <w:tc>
          <w:tcPr>
            <w:tcW w:w="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17F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Дослідна проба</w:t>
            </w:r>
          </w:p>
        </w:tc>
        <w:tc>
          <w:tcPr>
            <w:tcW w:w="1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29F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Холоста проба</w:t>
            </w:r>
          </w:p>
        </w:tc>
        <w:tc>
          <w:tcPr>
            <w:tcW w:w="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3E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Калібрувальна проба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18D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Проба порівняння</w:t>
            </w:r>
          </w:p>
        </w:tc>
      </w:tr>
      <w:tr w:rsidR="00000000" w14:paraId="6861FC34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EEA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Робочий субстрат ний</w:t>
            </w:r>
            <w:r>
              <w:rPr>
                <w:sz w:val="20"/>
                <w:szCs w:val="20"/>
                <w:lang w:val="uk-UA"/>
              </w:rPr>
              <w:t xml:space="preserve"> розчин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779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57F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411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2A6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EA6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D06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EE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656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</w:tr>
      <w:tr w:rsidR="00000000" w14:paraId="54E985DA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444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Інкубують 5 хв при температурі плюс 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71548776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D42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Сироватка крові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0C2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E7A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9CB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2D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2EA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7B5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7FE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F10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 w14:paraId="1C2759AB" w14:textId="77777777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A59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Інкубують точно 15 хвилин притемпературі плюс 37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º</w:t>
            </w:r>
            <w:r>
              <w:rPr>
                <w:sz w:val="20"/>
                <w:szCs w:val="20"/>
                <w:lang w:val="uk-UA"/>
              </w:rPr>
              <w:t>С</w:t>
            </w:r>
          </w:p>
        </w:tc>
      </w:tr>
      <w:tr w:rsidR="00000000" w14:paraId="2DBDEB42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C29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Калібратор Розчин оцтової кислоти Сироватка крові Дистильована вода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3A6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 6,00  -  -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6A0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 6,00  0,10  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C4F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  6,00  -  0,05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6FB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 6,00  -  0,1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F70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 3,00  -  -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AEA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  3,00  -  0,025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ED7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 3,00  -  0,05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37D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 3,00  0,05  0,05</w:t>
            </w:r>
          </w:p>
        </w:tc>
      </w:tr>
    </w:tbl>
    <w:p w14:paraId="69F711E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675A27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Витримують 5 хв при кімнатній температурі.Вимірюють оптичну щільність дослідної проби Едосл- проти холостої проби.</w:t>
      </w:r>
      <w:r>
        <w:rPr>
          <w:sz w:val="28"/>
          <w:szCs w:val="28"/>
          <w:lang w:val="uk-UA"/>
        </w:rPr>
        <w:t>Оптичну щільність калібрувальної проби-проти проби порівняння.Забарвлення стабільне протягом 30 хв.</w:t>
      </w:r>
    </w:p>
    <w:p w14:paraId="29E715F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результатів:</w:t>
      </w:r>
    </w:p>
    <w:p w14:paraId="2141561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результатів ведуть за формулою:</w:t>
      </w:r>
    </w:p>
    <w:p w14:paraId="6290187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06F62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С= Едосл/Екал · 3,0 мккат/л</w:t>
      </w:r>
    </w:p>
    <w:p w14:paraId="1F1E121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FA96AC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С-активність гамма-глутамілтранспептидази,мкат/л</w:t>
      </w:r>
    </w:p>
    <w:p w14:paraId="01722D6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,0-факт</w:t>
      </w:r>
      <w:r>
        <w:rPr>
          <w:sz w:val="28"/>
          <w:szCs w:val="28"/>
          <w:lang w:val="uk-UA"/>
        </w:rPr>
        <w:t>ор перерахування,мкат/л</w:t>
      </w:r>
    </w:p>
    <w:p w14:paraId="1443E15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Едосл-оптична щільність дослідної проби,од.оптичної щільності</w:t>
      </w:r>
    </w:p>
    <w:p w14:paraId="0B27BCA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Екал-оптична щільність калібрувальної проби,од.опт.щільності</w:t>
      </w:r>
    </w:p>
    <w:p w14:paraId="0E7D9BB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мкмоль( с ·л)=мкат/л=60 Мод/л( U/L)=3,6мкмоль/(год·мл)</w:t>
      </w:r>
    </w:p>
    <w:p w14:paraId="03CC78E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64783A2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2.7 Статистична обробка результатів</w:t>
      </w:r>
    </w:p>
    <w:p w14:paraId="1091BF2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25ED624" w14:textId="1EA5F16A" w:rsidR="00000000" w:rsidRDefault="00DB520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Статистичну обр</w:t>
      </w:r>
      <w:r>
        <w:rPr>
          <w:sz w:val="28"/>
          <w:szCs w:val="28"/>
          <w:lang w:val="uk-UA"/>
        </w:rPr>
        <w:t xml:space="preserve">обку проводили з використанням програми Microsoft Exel з використанням методів математичної статистики, які розроблено для малих вибірок. Визначали середнє арифметичне </w:t>
      </w:r>
      <w:r w:rsidR="00F72A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C1344" wp14:editId="3B6EA468">
            <wp:extent cx="20002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, як більш вірогідне значення вимірюваної величини за</w:t>
      </w:r>
      <w:r>
        <w:rPr>
          <w:sz w:val="28"/>
          <w:szCs w:val="28"/>
          <w:lang w:val="uk-UA"/>
        </w:rPr>
        <w:t xml:space="preserve"> формулою</w:t>
      </w:r>
    </w:p>
    <w:p w14:paraId="4B4A0BE7" w14:textId="77777777" w:rsidR="00000000" w:rsidRDefault="00DB5205">
      <w:pPr>
        <w:ind w:firstLine="709"/>
        <w:rPr>
          <w:sz w:val="28"/>
          <w:szCs w:val="28"/>
          <w:lang w:val="uk-UA"/>
        </w:rPr>
      </w:pPr>
    </w:p>
    <w:p w14:paraId="72B77B2D" w14:textId="262A4C73" w:rsidR="00000000" w:rsidRDefault="00F72A5A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7BEE18" wp14:editId="2207F40D">
            <wp:extent cx="723900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D5A86" w14:textId="77777777" w:rsidR="00000000" w:rsidRDefault="00DB5205">
      <w:pPr>
        <w:ind w:firstLine="709"/>
        <w:rPr>
          <w:sz w:val="28"/>
          <w:szCs w:val="28"/>
          <w:lang w:val="uk-UA"/>
        </w:rPr>
      </w:pPr>
    </w:p>
    <w:p w14:paraId="29866CD2" w14:textId="77777777" w:rsidR="00000000" w:rsidRDefault="00DB520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>Σ</w:t>
      </w:r>
      <w:r>
        <w:rPr>
          <w:sz w:val="28"/>
          <w:szCs w:val="28"/>
          <w:lang w:val="uk-UA"/>
        </w:rPr>
        <w:t>- знак суми, Хi - результати окремого спостереженя, n - число варіанту.</w:t>
      </w:r>
    </w:p>
    <w:p w14:paraId="2509793A" w14:textId="77777777" w:rsidR="00000000" w:rsidRDefault="00DB520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кількісної оцінки мінливості розраховували середнє квадратичне відхилення</w:t>
      </w:r>
    </w:p>
    <w:p w14:paraId="777C5DBD" w14:textId="77777777" w:rsidR="00000000" w:rsidRDefault="00DB5205">
      <w:pPr>
        <w:ind w:firstLine="709"/>
        <w:rPr>
          <w:sz w:val="28"/>
          <w:szCs w:val="28"/>
          <w:lang w:val="uk-UA"/>
        </w:rPr>
      </w:pPr>
    </w:p>
    <w:p w14:paraId="79251A49" w14:textId="13ABB3A2" w:rsidR="00000000" w:rsidRDefault="00F72A5A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69F91D" wp14:editId="55F784BA">
            <wp:extent cx="1333500" cy="485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61D3" w14:textId="77777777" w:rsidR="00000000" w:rsidRDefault="00DB5205">
      <w:pPr>
        <w:ind w:firstLine="709"/>
        <w:rPr>
          <w:sz w:val="28"/>
          <w:szCs w:val="28"/>
          <w:lang w:val="uk-UA"/>
        </w:rPr>
      </w:pPr>
    </w:p>
    <w:p w14:paraId="68ABA681" w14:textId="77777777" w:rsidR="00000000" w:rsidRDefault="00DB520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sz w:val="28"/>
          <w:szCs w:val="28"/>
          <w:lang w:val="uk-UA"/>
        </w:rPr>
        <w:t xml:space="preserve"> - сере</w:t>
      </w:r>
      <w:r>
        <w:rPr>
          <w:sz w:val="28"/>
          <w:szCs w:val="28"/>
          <w:lang w:val="uk-UA"/>
        </w:rPr>
        <w:t>днє квадратичне відхилення, Хi - результати окремого спостереженя, n - число спостережень.</w:t>
      </w:r>
    </w:p>
    <w:p w14:paraId="1C1F8E50" w14:textId="77777777" w:rsidR="00000000" w:rsidRDefault="00DB520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Середню квадратичну похибку сердньох арифметичної визначали за формулою</w:t>
      </w:r>
    </w:p>
    <w:p w14:paraId="01A358AD" w14:textId="77777777" w:rsidR="00000000" w:rsidRDefault="00DB5205">
      <w:pPr>
        <w:ind w:firstLine="709"/>
        <w:rPr>
          <w:sz w:val="28"/>
          <w:szCs w:val="28"/>
          <w:lang w:val="uk-UA"/>
        </w:rPr>
      </w:pPr>
    </w:p>
    <w:p w14:paraId="728D8E81" w14:textId="2A0429F4" w:rsidR="00000000" w:rsidRDefault="00F72A5A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6CB0A" wp14:editId="71FA4A60">
            <wp:extent cx="542925" cy="676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EAC5" w14:textId="77777777" w:rsidR="00000000" w:rsidRDefault="00DB5205">
      <w:pPr>
        <w:ind w:firstLine="709"/>
        <w:rPr>
          <w:sz w:val="28"/>
          <w:szCs w:val="28"/>
          <w:lang w:val="uk-UA"/>
        </w:rPr>
      </w:pPr>
    </w:p>
    <w:p w14:paraId="275B48FB" w14:textId="77777777" w:rsidR="00000000" w:rsidRDefault="00DB520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m - середня похибка, </w:t>
      </w:r>
      <w:r>
        <w:rPr>
          <w:rFonts w:ascii="Times New Roman" w:hAnsi="Times New Roman" w:cs="Times New Roman"/>
          <w:sz w:val="28"/>
          <w:szCs w:val="28"/>
          <w:lang w:val="uk-UA"/>
        </w:rPr>
        <w:t>δ</w:t>
      </w:r>
      <w:r>
        <w:rPr>
          <w:sz w:val="28"/>
          <w:szCs w:val="28"/>
          <w:lang w:val="uk-UA"/>
        </w:rPr>
        <w:t xml:space="preserve"> - середнє квадратичне відхил</w:t>
      </w:r>
      <w:r>
        <w:rPr>
          <w:sz w:val="28"/>
          <w:szCs w:val="28"/>
          <w:lang w:val="uk-UA"/>
        </w:rPr>
        <w:t>ення, n - число варіантів [26].</w:t>
      </w:r>
    </w:p>
    <w:p w14:paraId="740B8E9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III. РЕЗУЛЬТАТИ ТА ОБГОВОРЕННЯ</w:t>
      </w:r>
    </w:p>
    <w:p w14:paraId="7A6AF72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499409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3.1 Зміна функціонального стану нирок при розвитку пухлини</w:t>
      </w:r>
    </w:p>
    <w:p w14:paraId="36504A4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3D989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було встановлено, що розвиток пухлини призводив до збільшення ваги нирок відносно ваги тіла щурів</w:t>
      </w:r>
      <w:r>
        <w:rPr>
          <w:sz w:val="28"/>
          <w:szCs w:val="28"/>
          <w:lang w:val="uk-UA"/>
        </w:rPr>
        <w:t xml:space="preserve"> на 20% (в 1,2 рази) (рис.3.1).</w:t>
      </w:r>
    </w:p>
    <w:p w14:paraId="7314F30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BB9F79" w14:textId="419794BC" w:rsidR="00000000" w:rsidRDefault="00F72A5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282211" wp14:editId="1466AA15">
            <wp:extent cx="4133850" cy="272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8F4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- Р&lt;0,05, відносно контрольної групи</w:t>
      </w:r>
    </w:p>
    <w:p w14:paraId="2D42FBC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Рис.3.1. Відносна вага нирок щурів, %</w:t>
      </w:r>
    </w:p>
    <w:p w14:paraId="7DC1B85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BCAB50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Введення всіх дослідних сполук зберігало цей показник на рівні групи Т8, а введення змішаних наночасток збі</w:t>
      </w:r>
      <w:r>
        <w:rPr>
          <w:sz w:val="28"/>
          <w:szCs w:val="28"/>
          <w:lang w:val="uk-UA"/>
        </w:rPr>
        <w:t>льшувало відносну вагу нирок на 175% (в 2,75 рази), порівняно з контролем.</w:t>
      </w:r>
    </w:p>
    <w:p w14:paraId="7A8FC77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зміни підтверджуються результатами досліджень, що вказують на збільшення відносної ваги нирок в 1,3 рази на десятий день після одноразового введення cPt щурам [52]. Це явище де</w:t>
      </w:r>
      <w:r>
        <w:rPr>
          <w:sz w:val="28"/>
          <w:szCs w:val="28"/>
          <w:lang w:val="uk-UA"/>
        </w:rPr>
        <w:t>тально описано у сучасній нефрології і має назву компенсаторної гіпертрофії нирок [46]. Вважають, що збільшення ваги нирок пов’язане із адаптивним збільшенням розмірів нефрону, яке відбувається у відповідь на часткову втрату функціонуючих нефронів. Цей про</w:t>
      </w:r>
      <w:r>
        <w:rPr>
          <w:sz w:val="28"/>
          <w:szCs w:val="28"/>
          <w:lang w:val="uk-UA"/>
        </w:rPr>
        <w:t>цес активується при дії токсичних речовин і ліків, метаболічних розладах організму, а також захворюваннях (цукровий діабет, пухлини, хвороби нирок) [29].</w:t>
      </w:r>
    </w:p>
    <w:p w14:paraId="78E374E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думка, що головним механізмом ниркової гіпертрофії є прискорення синтезу протеїнів (структурні к</w:t>
      </w:r>
      <w:r>
        <w:rPr>
          <w:sz w:val="28"/>
          <w:szCs w:val="28"/>
          <w:lang w:val="uk-UA"/>
        </w:rPr>
        <w:t>омпоненти, сполучна тканина, ензими, стресові білки) та/або зниженням швидкості їхньої деградації [54]. Це є основною адаптивною відповіддю клітин на ушкодження, яка розвивається вже на 3 день після введення різних нефротоксикантів такі як протипухлинні сп</w:t>
      </w:r>
      <w:r>
        <w:rPr>
          <w:sz w:val="28"/>
          <w:szCs w:val="28"/>
          <w:lang w:val="uk-UA"/>
        </w:rPr>
        <w:t>олуки, антибіотики, солі важких металів та інші [46].</w:t>
      </w:r>
    </w:p>
    <w:p w14:paraId="49095C2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Активація компенсаторних механізмів при токсичному ушкодженні нирок проявляються у прискоренні швидкості потоку плазми в гломерулах і підвищенням гломерулярного гідравлічного тиску [33,29]. Це має довго</w:t>
      </w:r>
      <w:r>
        <w:rPr>
          <w:sz w:val="28"/>
          <w:szCs w:val="28"/>
          <w:lang w:val="uk-UA"/>
        </w:rPr>
        <w:t>тривалі шкідливі наслідки для нефронів, що зберегли свою цілісність, оскільки в кожному окремому нефроні відбувається зростання швидкості фільтрації, а також реабсорбції води і розчинених речовин [34]. Як наслідок, змінюється проникність плазматичних мембр</w:t>
      </w:r>
      <w:r>
        <w:rPr>
          <w:sz w:val="28"/>
          <w:szCs w:val="28"/>
          <w:lang w:val="uk-UA"/>
        </w:rPr>
        <w:t>ан, швидкість біохімічних процесів і хімічний склад внутрішньоклітинного і позаклітинного середовищ. Однією з найбільш достовірних ознак ураження паренхіми нирок є екскреція протеїнів з сечею (протеїнурія). За вираженістю протеїнурії оцінюють ступінь актив</w:t>
      </w:r>
      <w:r>
        <w:rPr>
          <w:sz w:val="28"/>
          <w:szCs w:val="28"/>
          <w:lang w:val="uk-UA"/>
        </w:rPr>
        <w:t>ності ураження нирок [46,51].</w:t>
      </w:r>
    </w:p>
    <w:p w14:paraId="0721E71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було встановлено, що розвиток пухлини призводив до збільшення концентрації загального білку в сечі на 145,7% (в 2,5 рази), порівняно з контролем (рис.3.2).</w:t>
      </w:r>
    </w:p>
    <w:p w14:paraId="3AAC294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9B8C8FB" w14:textId="5BC2D46C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72A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AF9B14" wp14:editId="2F47422F">
            <wp:extent cx="4152900" cy="2524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41D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</w:t>
      </w:r>
      <w:r>
        <w:rPr>
          <w:sz w:val="28"/>
          <w:szCs w:val="28"/>
          <w:lang w:val="uk-UA"/>
        </w:rPr>
        <w:t>3.2.Зміна концентрації загального білку в сечі, мк/л</w:t>
      </w:r>
    </w:p>
    <w:p w14:paraId="35029EB7" w14:textId="77777777" w:rsidR="00000000" w:rsidRDefault="00DB5205">
      <w:pPr>
        <w:tabs>
          <w:tab w:val="left" w:pos="0"/>
          <w:tab w:val="left" w:pos="8820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- P&lt;0,05, відносно групи Т8</w:t>
      </w:r>
    </w:p>
    <w:p w14:paraId="408FADB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309350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було встановлено, що розвиток пухлини призводив до збільшення концентрації загального білку в сечі на 145,7% (в 2,5 рази), порівняно з контролем</w:t>
      </w:r>
      <w:r>
        <w:rPr>
          <w:sz w:val="28"/>
          <w:szCs w:val="28"/>
          <w:lang w:val="uk-UA"/>
        </w:rPr>
        <w:t>.</w:t>
      </w:r>
    </w:p>
    <w:p w14:paraId="73433F2D" w14:textId="77777777" w:rsidR="00000000" w:rsidRDefault="00DB5205">
      <w:pPr>
        <w:tabs>
          <w:tab w:val="left" w:pos="2864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Хоча, за літературними даними введення cPt щурам у терапевтичній дозі викликає збільшення концентрації протеїнів у сечі в 2 рази [51], нами не було знайдено даних щодо зміни цього показника. Нефротоксична дія cPt перш за все пов’язана зі специфічним нако</w:t>
      </w:r>
      <w:r>
        <w:rPr>
          <w:sz w:val="28"/>
          <w:szCs w:val="28"/>
          <w:lang w:val="uk-UA"/>
        </w:rPr>
        <w:t>пиченням сполук платини в нирках. Є дані щодо наявності кореляції між акумуляцією платини в корі нирок і кількістю ушкоджених клітин [35]. Цей протипухлинний засіб переважно накопичується у нирках в перші 24 години і його концентрація зберігається впродовж</w:t>
      </w:r>
      <w:r>
        <w:rPr>
          <w:sz w:val="28"/>
          <w:szCs w:val="28"/>
          <w:lang w:val="uk-UA"/>
        </w:rPr>
        <w:t xml:space="preserve"> наступних 72 годин, після чого відбувається повне виведення препарату з організму [55]. Отже, можна припустити, що по мірі виведення cPt з нирок відбувається регенерація ниркової тканини і поновлення їхнього функціонування та біохімічних процесів. Але, ме</w:t>
      </w:r>
      <w:r>
        <w:rPr>
          <w:sz w:val="28"/>
          <w:szCs w:val="28"/>
          <w:lang w:val="uk-UA"/>
        </w:rPr>
        <w:t>ханізм протеїнурії складний і має багато причин. На ранніх стадіях розвитку більшості нефропатій до сечі потрапляють переважно низькомолекулярні плазматичні білки. Це обумовлено порушенням процесів фільтрації і ушкодженням гломерул (гломерулярна протеїнурі</w:t>
      </w:r>
      <w:r>
        <w:rPr>
          <w:sz w:val="28"/>
          <w:szCs w:val="28"/>
          <w:lang w:val="uk-UA"/>
        </w:rPr>
        <w:t>я), або може бути пов’язане з канальцевим ушкодженням і змінами у процесі реабсорбції (тубулярна протеїнурія) [41,52]. Визначення ж протеїнів з високою молекулярною вагою більш характерно для вираженого ураження нирок [41]. Окрім цього, поява білків у сечі</w:t>
      </w:r>
      <w:r>
        <w:rPr>
          <w:sz w:val="28"/>
          <w:szCs w:val="28"/>
          <w:lang w:val="uk-UA"/>
        </w:rPr>
        <w:t xml:space="preserve"> можлива через збільшення концентрації низькомолекулярних білків у плазмі крові (легкі ланцюги імуноглобулінів, гемоглобіну і міоглобіну), порушення у статевих залозах [41,52].</w:t>
      </w:r>
    </w:p>
    <w:p w14:paraId="75DB9D0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Тому, хоча цей показник найпершим реагує на будь-які зміни ниркового гомеостазу</w:t>
      </w:r>
      <w:r>
        <w:rPr>
          <w:sz w:val="28"/>
          <w:szCs w:val="28"/>
          <w:lang w:val="uk-UA"/>
        </w:rPr>
        <w:t>, але може використовуватись лише у якості загального маркеру стану сечостатевої системи, оскільки не вказує ні на ступінь ушкодження, а ні на локалізацію ушкодження [39].</w:t>
      </w:r>
    </w:p>
    <w:p w14:paraId="0524F7B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Нефротоксична дія лікарських засобів та хімічних сполук часто носить локальний харак</w:t>
      </w:r>
      <w:r>
        <w:rPr>
          <w:sz w:val="28"/>
          <w:szCs w:val="28"/>
          <w:lang w:val="uk-UA"/>
        </w:rPr>
        <w:t>тер[38]. Більшість нефропатій, що супроводжуються протеїнурією асоційовані з прогресивним запаленням гломерул, що в кінцевому результаті призводить до їхнього лізису [55].</w:t>
      </w:r>
    </w:p>
    <w:p w14:paraId="76408C1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4B08F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3.2 Зміна концентрації креатиніну в плазмі та сечі щурів</w:t>
      </w:r>
    </w:p>
    <w:p w14:paraId="4AA32DE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125497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Стандартним маркером ушко</w:t>
      </w:r>
      <w:r>
        <w:rPr>
          <w:sz w:val="28"/>
          <w:szCs w:val="28"/>
          <w:lang w:val="uk-UA"/>
        </w:rPr>
        <w:t>дження гломерулярного апарату є рівень креатиніну в плазмі крові [35,46]. Ця сполука утворюється шляхом неферментативної дегідратації м’язового креатину. При цисплатиновій інтоксикації у тварин і людей концентрація цієї речовини збільшується в 2-3 рази вже</w:t>
      </w:r>
      <w:r>
        <w:rPr>
          <w:sz w:val="28"/>
          <w:szCs w:val="28"/>
          <w:lang w:val="uk-UA"/>
        </w:rPr>
        <w:t xml:space="preserve"> через 2 доби [53], а найбільша концентрація відмічається на 4-5 добу після введення cPt у дозі 7,5 мг/кг. В цей період рівень креатиніну в плазмі крові збільшений у 5 разів порівняно з контрольною групою. В подальшому відбувається компенсаторне відновленн</w:t>
      </w:r>
      <w:r>
        <w:rPr>
          <w:sz w:val="28"/>
          <w:szCs w:val="28"/>
          <w:lang w:val="uk-UA"/>
        </w:rPr>
        <w:t xml:space="preserve">я функції нирок і вже на сьому добу цей показник знижується вдвічі [41]. За результатами нашого експерименту, при розвитку пухлини і при корекції патологічного стану cPt відмічалось збільшення рівня креатиніну в плазмі крові порівняно з контрольною групою </w:t>
      </w:r>
      <w:r>
        <w:rPr>
          <w:sz w:val="28"/>
          <w:szCs w:val="28"/>
          <w:lang w:val="uk-UA"/>
        </w:rPr>
        <w:t>в 1,2 і 1,5 рази відповідно (рис.3.1).</w:t>
      </w:r>
    </w:p>
    <w:p w14:paraId="3E8043CE" w14:textId="4B949E0D" w:rsidR="00000000" w:rsidRDefault="00F72A5A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D0AE2" wp14:editId="6062DBBC">
            <wp:extent cx="3781425" cy="2352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60D2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3.1.</w:t>
      </w:r>
      <w:r>
        <w:rPr>
          <w:kern w:val="2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Концентрація ендогенного креатиніну в плазмі та сечі щурів та кліренс креатиніну, мкл/хв</w:t>
      </w:r>
    </w:p>
    <w:p w14:paraId="382275E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- Р&lt;0,05, відносно контрольної групи, # - Р&lt;0,05, відносно контрольної групи</w:t>
      </w:r>
    </w:p>
    <w:p w14:paraId="1D12846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6F0B1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Отримані дані вказують на зменшення кліренсу креатиніну при розвитку пухлини на 30%,порівняно з контролем.</w:t>
      </w:r>
    </w:p>
    <w:p w14:paraId="41091B6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Введення cPt у розчині знижувало цей показник в 2,2 рази порівняно з групою Т8. Групі якій вводили цисплатин у наноліпосомах цей показник наближався </w:t>
      </w:r>
      <w:r>
        <w:rPr>
          <w:sz w:val="28"/>
          <w:szCs w:val="28"/>
          <w:lang w:val="uk-UA"/>
        </w:rPr>
        <w:t>до значення групи тварин з пухлиною.</w:t>
      </w:r>
    </w:p>
    <w:p w14:paraId="156CA15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кліренсу ендогенного креатиніну використовують для визначення швидкості гломерулярної фільтрації. Цей показник враховує зміни концентрації креатиніну в плазмі та сечі з урахуванням об’єму утвореної сечі за пе</w:t>
      </w:r>
      <w:r>
        <w:rPr>
          <w:sz w:val="28"/>
          <w:szCs w:val="28"/>
          <w:lang w:val="uk-UA"/>
        </w:rPr>
        <w:t>вний проміжок часу [35]. Вважається, що рівень очищення крові від цієї сполуки наближається до рівня істинної фільтрації в гломерулах. Основною перевагою цього показника є те, що він не залежить від дієти, фізичного навантаження або ушкодження м’язової тка</w:t>
      </w:r>
      <w:r>
        <w:rPr>
          <w:sz w:val="28"/>
          <w:szCs w:val="28"/>
          <w:lang w:val="uk-UA"/>
        </w:rPr>
        <w:t>нини [44]. Більшість авторів при описанні захворювань нирок дотримуються думки, що при лікуванні онкологічних хворих цитостатиками відбувається зниження швидкості гломерулярної фільтрації [40,34].</w:t>
      </w:r>
    </w:p>
    <w:p w14:paraId="03769AE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нашого експерименту, при розвитку пухлини і</w:t>
      </w:r>
      <w:r>
        <w:rPr>
          <w:sz w:val="28"/>
          <w:szCs w:val="28"/>
          <w:lang w:val="uk-UA"/>
        </w:rPr>
        <w:t xml:space="preserve"> при корекції патологічного стану [cPt]nl відмічалось зниження кліренсу креатиніну порівняно з контрольною групою на 28,4% і на 67,8% (в 1,3 і 1,7 рази) відповідно, порівняно з контрольною групою. Введення протипухлинної системи, змішаних наноліпосом та на</w:t>
      </w:r>
      <w:r>
        <w:rPr>
          <w:sz w:val="28"/>
          <w:szCs w:val="28"/>
          <w:lang w:val="uk-UA"/>
        </w:rPr>
        <w:t>ночасток зберігало нормальний рівень цього показника.</w:t>
      </w:r>
    </w:p>
    <w:p w14:paraId="7820E23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зміни у співставленні з результатами дослідження структурних змін вказують на токсичне ураження органу при використанні протипухлинного препарату cPt, як в розчинній так і наноліпосомній формі [44,</w:t>
      </w:r>
      <w:r>
        <w:rPr>
          <w:sz w:val="28"/>
          <w:szCs w:val="28"/>
          <w:lang w:val="uk-UA"/>
        </w:rPr>
        <w:t xml:space="preserve">52]. А саме, гіпертрофія нирок, рання протеїнурія і зниження швидкості гломерулярної фільтрації є комплексним проявом розвитку гострої ниркової недостатності, що характеризується розвитком запальних процесів, втратою функціональних структур нирок (склероз </w:t>
      </w:r>
      <w:r>
        <w:rPr>
          <w:sz w:val="28"/>
          <w:szCs w:val="28"/>
          <w:lang w:val="uk-UA"/>
        </w:rPr>
        <w:t>тканини) і збільшенням кількості сполучної тканин (фіброз) [52].</w:t>
      </w:r>
    </w:p>
    <w:p w14:paraId="2093131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Застосування наноліпосом, навантажених комплексною сполукою ренію, змішаних наночасток та наноліпосом підтримувало нормальний рівень функціонування нирок при розвитку пухлини. Присутність Re </w:t>
      </w:r>
      <w:r>
        <w:rPr>
          <w:sz w:val="28"/>
          <w:szCs w:val="28"/>
          <w:lang w:val="uk-UA"/>
        </w:rPr>
        <w:t>у складі змішаних наноліпосом та наночасток зі співвідношенням компонентів 4:1, покращувало діяльність гломерулярного апарату нирок щурів з карциномою Герена Т8. В цій групі показники кліренсу креатиніну та відносної реабсорбції води відповідали контрольни</w:t>
      </w:r>
      <w:r>
        <w:rPr>
          <w:sz w:val="28"/>
          <w:szCs w:val="28"/>
          <w:lang w:val="uk-UA"/>
        </w:rPr>
        <w:t>м значенням.</w:t>
      </w:r>
    </w:p>
    <w:p w14:paraId="45508C0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E19FD7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3.3 Активність лактатдегідрогенази в гомогенатi нирок щурів</w:t>
      </w:r>
    </w:p>
    <w:p w14:paraId="061D3B76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7EDC0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було показазано, що в групі Т8 відбувалось незначне зменшення активності ЛДГ в порівнянні з контрольною групою (рис. 3.3)</w:t>
      </w:r>
    </w:p>
    <w:p w14:paraId="5FCCFC2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5F20955" w14:textId="661DCFED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72A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757EA" wp14:editId="64568449">
            <wp:extent cx="4286250" cy="2638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CDF5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*- Р&lt;0,05 відносно </w:t>
      </w:r>
      <w:r>
        <w:rPr>
          <w:noProof/>
          <w:sz w:val="28"/>
          <w:szCs w:val="28"/>
          <w:lang w:val="uk-UA"/>
        </w:rPr>
        <w:t>контрольної групи</w:t>
      </w:r>
    </w:p>
    <w:p w14:paraId="22EFED4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Рис.3.3. Активність лактатдегідрогенази в гомогенаті нирок щурів, мМ/год на г тканини</w:t>
      </w:r>
    </w:p>
    <w:p w14:paraId="696FC31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14:paraId="7F9C4FE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розвитку пухлини та введенні cPt, а також cPt[nl] відбувалось незначне зменшення активності ферменту, порівняно з групою</w:t>
      </w:r>
      <w:r>
        <w:rPr>
          <w:sz w:val="28"/>
          <w:szCs w:val="28"/>
          <w:lang w:val="uk-UA"/>
        </w:rPr>
        <w:t xml:space="preserve"> Т8 та контролем. У групі пухлиносіїв, яким вводили Re активність ферменту підвищилася порівняно з контрольною групою.</w:t>
      </w:r>
    </w:p>
    <w:p w14:paraId="2AB319A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Тваринам,яким вводили cPt та реній у Re[nl], [Re+cPt]np активність ферменту знизилась в 5,1 разів відповідно з контрольною групою.</w:t>
      </w:r>
    </w:p>
    <w:p w14:paraId="33EB09E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при</w:t>
      </w:r>
      <w:r>
        <w:rPr>
          <w:sz w:val="28"/>
          <w:szCs w:val="28"/>
          <w:lang w:val="uk-UA"/>
        </w:rPr>
        <w:t>чин збільшення активності ЛДГ можна віднести наступні: гіпоперфузії нирок і гіпоксії, що може викликати збільшення експресії відповідних генів і посилення синтезу ензиму у нефроні; зміни ступеню зв’язування ЛДГ з іншими протеїнами; зміни хімічного складу с</w:t>
      </w:r>
      <w:r>
        <w:rPr>
          <w:sz w:val="28"/>
          <w:szCs w:val="28"/>
          <w:lang w:val="uk-UA"/>
        </w:rPr>
        <w:t>ередовища в цитоплазмі та мітохондріях клітин (рН, співвідношення електролітів).</w:t>
      </w:r>
    </w:p>
    <w:p w14:paraId="5AE8E47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392D1B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3.3.1 Активність лактатдегідрогенази в сечі</w:t>
      </w:r>
    </w:p>
    <w:p w14:paraId="228399A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 було показазано, що активність ЛДГ в групі Т8 збільшилась в 1,71 разів в порівнянні з контрольною груп</w:t>
      </w:r>
      <w:r>
        <w:rPr>
          <w:sz w:val="28"/>
          <w:szCs w:val="28"/>
          <w:lang w:val="uk-UA"/>
        </w:rPr>
        <w:t>ою (рис.3.5).</w:t>
      </w:r>
    </w:p>
    <w:p w14:paraId="2DAA0BB6" w14:textId="386E77BB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72A5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F4A7B8" wp14:editId="59D0C04F">
            <wp:extent cx="3724275" cy="2219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048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*- Р&lt;0,05 відносно групи Т8</w:t>
      </w:r>
    </w:p>
    <w:p w14:paraId="0309BC5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Рис.3.5.Активність лактатдегідрогенази в сечі щурів з пухлиною, ммоль/год</w:t>
      </w:r>
    </w:p>
    <w:p w14:paraId="278AB8E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FE486A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групі тварин, яким вводили сРt активність ферменту збільшилась в 1,40 разів в порівнянні с Т8.</w:t>
      </w:r>
    </w:p>
    <w:p w14:paraId="4D0FAF5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</w:t>
      </w:r>
      <w:r>
        <w:rPr>
          <w:sz w:val="28"/>
          <w:szCs w:val="28"/>
          <w:lang w:val="uk-UA"/>
        </w:rPr>
        <w:t>рупах пухлиноносіїв, яким вводили [cPt]nl,[Re]nl+cPt,[Re+cPt] nl концентрація ЛДГ знизилась в середньому 3,33 рази відповідно з контрольною групою тварин.В групі [Re+cPt]np концентрація даного ферменту знизилась в порівнянні з контрольною групою в 1,26 раз</w:t>
      </w:r>
      <w:r>
        <w:rPr>
          <w:sz w:val="28"/>
          <w:szCs w:val="28"/>
          <w:lang w:val="uk-UA"/>
        </w:rPr>
        <w:t>ів.</w:t>
      </w:r>
    </w:p>
    <w:p w14:paraId="6DC7105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Токсична дія cPt проявляється в першу чергу в ушкодженні епітеліальних клітин щіткової кайми проксимальних канальців нефрона, яка відбувається внаслідок прямої цитотоксичної дії, інтраренальної вазоконстрикції та розвитку оксидативного стресу [42].</w:t>
      </w:r>
    </w:p>
    <w:p w14:paraId="08CAFB7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</w:t>
      </w:r>
      <w:r>
        <w:rPr>
          <w:sz w:val="28"/>
          <w:szCs w:val="28"/>
          <w:lang w:val="uk-UA"/>
        </w:rPr>
        <w:t>е в цьому відділі нефрона відбувається біотрансформація cPt, що обумовлено високим вмістом глутатіону та експресією ГГТП [47]. Цей ензим здійснює розщеплення кон’югатів глутатіону і платини з подальшим їх перетворенням на реактивні тіоли. З урахуванням спе</w:t>
      </w:r>
      <w:r>
        <w:rPr>
          <w:sz w:val="28"/>
          <w:szCs w:val="28"/>
          <w:lang w:val="uk-UA"/>
        </w:rPr>
        <w:t>цифічного накопичення cPt в проксимальних канальцях, такі зміни викликають виснаження пулу сірковмісних антиоксидантів і ферментів (в першу чергу в цитозолі і мітохондріях) з подальшим посиленням процесів окиснення [49,37]. При значній інтоксикації це може</w:t>
      </w:r>
      <w:r>
        <w:rPr>
          <w:sz w:val="28"/>
          <w:szCs w:val="28"/>
          <w:lang w:val="uk-UA"/>
        </w:rPr>
        <w:t xml:space="preserve"> призводити до ушкодження інших частин нефрона вже внаслідок непрямої дії ксенобіотика [49,54].</w:t>
      </w:r>
    </w:p>
    <w:p w14:paraId="6E1D51C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5D81C4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3.4 Активність гама-глутамілтранспептидази в гомогенаті нирок щурів</w:t>
      </w:r>
    </w:p>
    <w:p w14:paraId="7EC2DFD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11E63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Було показано,що активність ГГТП у групі Т8 підвищилася в 3 рази,порівняно з контрольною г</w:t>
      </w:r>
      <w:r>
        <w:rPr>
          <w:sz w:val="28"/>
          <w:szCs w:val="28"/>
          <w:lang w:val="uk-UA"/>
        </w:rPr>
        <w:t>рупою. При розвитку пухлини та введенні сРt активність ГГТП підвищилася в 3 рази порівняно з групою Т8 (рис.3.6).</w:t>
      </w:r>
    </w:p>
    <w:p w14:paraId="6AB8AA5C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6C6CFA" w14:textId="6AA66CEB" w:rsidR="00000000" w:rsidRDefault="00F72A5A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2ED0C" wp14:editId="7B4A40D7">
            <wp:extent cx="3781425" cy="2028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9FB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*-</w:t>
      </w:r>
      <w:r>
        <w:rPr>
          <w:sz w:val="28"/>
          <w:szCs w:val="28"/>
          <w:lang w:val="uk-UA"/>
        </w:rPr>
        <w:t xml:space="preserve"> P&lt;0,05,відносно контрольної групи</w:t>
      </w:r>
    </w:p>
    <w:p w14:paraId="3D042038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Рис.3.6. Активність гама-глутамілтранспептидази в гомогенаті нирок</w:t>
      </w:r>
      <w:r>
        <w:rPr>
          <w:noProof/>
          <w:sz w:val="28"/>
          <w:szCs w:val="28"/>
          <w:lang w:val="uk-UA"/>
        </w:rPr>
        <w:t xml:space="preserve"> щурів,ммоль/год на г тканини</w:t>
      </w:r>
    </w:p>
    <w:p w14:paraId="6254D2C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14:paraId="6B279667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Застосування дослідних сполук не змінювало цей показник відносно групи Т8.</w:t>
      </w:r>
    </w:p>
    <w:p w14:paraId="68C1D36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введенні [Re]nl та cPt у системі наночасток активність ферменту підвищилася в 3,6 і 3,1разів відповідно.</w:t>
      </w:r>
    </w:p>
    <w:p w14:paraId="6ED7ABC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Токсична дія cPt проявляється в першу чер</w:t>
      </w:r>
      <w:r>
        <w:rPr>
          <w:sz w:val="28"/>
          <w:szCs w:val="28"/>
          <w:lang w:val="uk-UA"/>
        </w:rPr>
        <w:t>гу в ушкодженні епітеліальних клітин щіткової кайми проксимальних канальців нефрона, яка відбувається внаслідок прямої цитотоксичної дії, інтраренальної вазоконстрикції та розвитку оксидативного стресу [42].</w:t>
      </w:r>
    </w:p>
    <w:p w14:paraId="62E59BD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в цьому відділі нефрона відбувається біотра</w:t>
      </w:r>
      <w:r>
        <w:rPr>
          <w:sz w:val="28"/>
          <w:szCs w:val="28"/>
          <w:lang w:val="uk-UA"/>
        </w:rPr>
        <w:t>нсформація cPt, що обумовлено високим вмістом глутатіону та експресією ГГТП [47]. Цей ензим здійснює розщеплення кон’югатів глутатіону і платини з подальшим їх перетворенням на реактивні тіоли. З урахуванням специфічного накопичення cPt в проксимальних кан</w:t>
      </w:r>
      <w:r>
        <w:rPr>
          <w:sz w:val="28"/>
          <w:szCs w:val="28"/>
          <w:lang w:val="uk-UA"/>
        </w:rPr>
        <w:t>альцях, такі зміни викликають виснаження пулу сірковмісних антиоксидантів і ферментів (в першу чергу в цитозолі і мітохондріях) з подальшим посиленням процесів окиснення [49,37]. При значній інтоксикації це може призводити до ушкодження інших частин нефрон</w:t>
      </w:r>
      <w:r>
        <w:rPr>
          <w:sz w:val="28"/>
          <w:szCs w:val="28"/>
          <w:lang w:val="uk-UA"/>
        </w:rPr>
        <w:t>а вже внаслідок непрямої дії ксенобіотика [49,54].</w:t>
      </w:r>
    </w:p>
    <w:p w14:paraId="1D98DAA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08239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3.4.1 Активність гама-глутамілтранспептидази в сечі щурів</w:t>
      </w:r>
    </w:p>
    <w:p w14:paraId="2F49135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сечі виявлено, що активність ГГТП в групі Т8 підвищилася в 1,63 рази порівняно з контролем (рис.3.7).</w:t>
      </w:r>
    </w:p>
    <w:p w14:paraId="2176F99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531184" w14:textId="32B0C4D1" w:rsidR="00000000" w:rsidRDefault="00F72A5A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CCFD6" wp14:editId="2BC7FFE5">
            <wp:extent cx="3771900" cy="2247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3DD1A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*-</w:t>
      </w:r>
      <w:r>
        <w:rPr>
          <w:sz w:val="28"/>
          <w:szCs w:val="28"/>
          <w:lang w:val="uk-UA"/>
        </w:rPr>
        <w:t xml:space="preserve"> P&lt;0,05,відносно контрольної групи</w:t>
      </w:r>
    </w:p>
    <w:p w14:paraId="5FD61AD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Рис.3.7. Зміна активності гама-глутамілтранспептидази в сечі щурів, ммоль/л</w:t>
      </w:r>
    </w:p>
    <w:p w14:paraId="33D18A1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8AC881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використанні сPt активність ГГТП підвищилася в 7,5 разів в порівнянні з групою Т8. Введення [cPt]nl підвищувало рівень ферменту </w:t>
      </w:r>
      <w:r>
        <w:rPr>
          <w:sz w:val="28"/>
          <w:szCs w:val="28"/>
          <w:lang w:val="uk-UA"/>
        </w:rPr>
        <w:t>в 3,9 разів порівняно з групою Т8. У групі тварин, яким вводили сполуки Re активність ферменту знизилась в 1,8 разів в порівнянні з контролем.</w:t>
      </w:r>
    </w:p>
    <w:p w14:paraId="5DED1F4F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Тваринам,яким вводили [Rе]nl активність ГГТП підвищилась порівняно з контрольною групою в 1,45 разів, при введенн</w:t>
      </w:r>
      <w:r>
        <w:rPr>
          <w:sz w:val="28"/>
          <w:szCs w:val="28"/>
          <w:lang w:val="uk-UA"/>
        </w:rPr>
        <w:t>і пухлиноносіям Re та [Re+cPt]np активність ГГТП наближалася до контрольного значення.</w:t>
      </w:r>
    </w:p>
    <w:p w14:paraId="6CD714CE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Збільшення активності ГГТП при пухлинному рості та застосуванні cPt може свідчити про активацію </w:t>
      </w: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sz w:val="28"/>
          <w:szCs w:val="28"/>
          <w:lang w:val="uk-UA"/>
        </w:rPr>
        <w:t>-глутамілового циклу та посиленні розпаду глутатіонових кон’югатів, що п</w:t>
      </w:r>
      <w:r>
        <w:rPr>
          <w:sz w:val="28"/>
          <w:szCs w:val="28"/>
          <w:lang w:val="uk-UA"/>
        </w:rPr>
        <w:t>оказано низкою авторів при розвитку нефропатій під час застосування платинових препаратів, а також викликати лізис епітеліальних клітин проксимальних канальців і вихід цього лізосомального ензиму у міжклітинний простір [46,39,31,28].</w:t>
      </w:r>
    </w:p>
    <w:p w14:paraId="12460D63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47C4DD5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Розділ IV.ОХОРОНА П</w:t>
      </w:r>
      <w:r>
        <w:rPr>
          <w:caps/>
          <w:sz w:val="28"/>
          <w:szCs w:val="28"/>
          <w:lang w:val="uk-UA"/>
        </w:rPr>
        <w:t>РАЦІ</w:t>
      </w:r>
    </w:p>
    <w:p w14:paraId="4FC2A710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</w:p>
    <w:p w14:paraId="799003F9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.1 Характкристика лабораторії, де проводився експеримент</w:t>
      </w:r>
    </w:p>
    <w:p w14:paraId="24F56EA1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A1E409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 проводився в біохімічній лабораторії, яка знаходиться в 17 корпусі Дніпропетровського національного університету ім. Олеся Гончара на кафедрі «Біохімії та біофізики» на 4 поверсі у</w:t>
      </w:r>
      <w:r>
        <w:rPr>
          <w:sz w:val="28"/>
          <w:szCs w:val="28"/>
          <w:lang w:val="uk-UA"/>
        </w:rPr>
        <w:t xml:space="preserve"> 408 кабінеті.</w:t>
      </w:r>
    </w:p>
    <w:p w14:paraId="3BB62D6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Лабораторія представляє собою приміщення прямокутної форми, площею 25 м</w:t>
      </w:r>
      <w:r>
        <w:rPr>
          <w:rFonts w:ascii="Times New Roman" w:hAnsi="Times New Roman" w:cs="Times New Roman"/>
          <w:sz w:val="28"/>
          <w:szCs w:val="28"/>
          <w:lang w:val="uk-UA"/>
        </w:rPr>
        <w:t>²</w:t>
      </w:r>
      <w:r>
        <w:rPr>
          <w:sz w:val="28"/>
          <w:szCs w:val="28"/>
          <w:lang w:val="uk-UA"/>
        </w:rPr>
        <w:t xml:space="preserve"> ,в якій знаходяться 2 великих вікна площею 16 м</w:t>
      </w:r>
      <w:r>
        <w:rPr>
          <w:rFonts w:ascii="Times New Roman" w:hAnsi="Times New Roman" w:cs="Times New Roman"/>
          <w:sz w:val="28"/>
          <w:szCs w:val="28"/>
          <w:lang w:val="uk-UA"/>
        </w:rPr>
        <w:t>²</w:t>
      </w:r>
      <w:r>
        <w:rPr>
          <w:sz w:val="28"/>
          <w:szCs w:val="28"/>
          <w:lang w:val="uk-UA"/>
        </w:rPr>
        <w:t>, які виходять на північ.</w:t>
      </w:r>
    </w:p>
    <w:p w14:paraId="56F86CE8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лабораторній кімнаті знаходяться наступні меблі:</w:t>
      </w:r>
    </w:p>
    <w:p w14:paraId="1376EBB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Лабораторні столи - 3 шт;</w:t>
      </w:r>
    </w:p>
    <w:p w14:paraId="543E2A8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Письмові столи-</w:t>
      </w:r>
      <w:r>
        <w:rPr>
          <w:sz w:val="28"/>
          <w:szCs w:val="28"/>
          <w:lang w:val="uk-UA"/>
        </w:rPr>
        <w:t xml:space="preserve"> 1 шт;</w:t>
      </w:r>
    </w:p>
    <w:p w14:paraId="6FF2E684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Стільці- 5 шт;</w:t>
      </w:r>
    </w:p>
    <w:p w14:paraId="548255D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Шафа з реактивами- 1 шт;</w:t>
      </w:r>
    </w:p>
    <w:p w14:paraId="27248EC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Шафа з посудом-1 шт;</w:t>
      </w:r>
    </w:p>
    <w:p w14:paraId="4086F29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Витяжна шафа-1 шт;</w:t>
      </w:r>
    </w:p>
    <w:p w14:paraId="1415537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Вішалка для одягу- 1 шт;</w:t>
      </w:r>
    </w:p>
    <w:p w14:paraId="112FB01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Раковина-1 шт.</w:t>
      </w:r>
    </w:p>
    <w:p w14:paraId="6D82E3C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приміщенні лабораторії знаходиться наступне діюче обладнання:</w:t>
      </w:r>
    </w:p>
    <w:p w14:paraId="51693471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Холодильник- 1 шт;</w:t>
      </w:r>
    </w:p>
    <w:p w14:paraId="4C0DA34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Комп’ютер-1 шт;</w:t>
      </w:r>
    </w:p>
    <w:p w14:paraId="423E890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Дистилятор-1 шт;</w:t>
      </w:r>
    </w:p>
    <w:p w14:paraId="741CADE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Цен</w:t>
      </w:r>
      <w:r>
        <w:rPr>
          <w:sz w:val="28"/>
          <w:szCs w:val="28"/>
          <w:lang w:val="uk-UA"/>
        </w:rPr>
        <w:t>трифуга- 1 шт;</w:t>
      </w:r>
    </w:p>
    <w:p w14:paraId="0B47A21A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рН-метр- 1 шт.</w:t>
      </w:r>
    </w:p>
    <w:p w14:paraId="5622819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Лабораторний посуд: колби, піпетки , пробірки, , циліндри, памфлети, дозатори.</w:t>
      </w:r>
    </w:p>
    <w:p w14:paraId="04D3001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лабораторії знаходиться 6 робочих місць.</w:t>
      </w:r>
    </w:p>
    <w:p w14:paraId="2DB616B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виконання експерименту я піддавалася впливу таких потенційно-небезпечних факторів як:</w:t>
      </w:r>
    </w:p>
    <w:p w14:paraId="3D9341F4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освітленн</w:t>
      </w:r>
      <w:r>
        <w:rPr>
          <w:sz w:val="28"/>
          <w:szCs w:val="28"/>
          <w:lang w:val="uk-UA"/>
        </w:rPr>
        <w:t>ю;</w:t>
      </w:r>
    </w:p>
    <w:p w14:paraId="5555F9B1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електричному струму;</w:t>
      </w:r>
    </w:p>
    <w:p w14:paraId="5E58E32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шкідливим хімічним речовинам;</w:t>
      </w:r>
    </w:p>
    <w:p w14:paraId="130F1F9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мікроклімату;</w:t>
      </w:r>
    </w:p>
    <w:p w14:paraId="463AD3B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шуму;</w:t>
      </w:r>
    </w:p>
    <w:p w14:paraId="59D81B38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пожежній безпеці.</w:t>
      </w:r>
    </w:p>
    <w:p w14:paraId="52991F1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74A96D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Схема робочого місця</w:t>
      </w:r>
    </w:p>
    <w:p w14:paraId="638975A5" w14:textId="58EB2366" w:rsidR="00000000" w:rsidRDefault="00F72A5A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DFC7D" wp14:editId="473BB713">
            <wp:extent cx="4981575" cy="4486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15FB" w14:textId="77777777" w:rsidR="00000000" w:rsidRDefault="00DB520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91F0C41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4.2 Освітлення</w:t>
      </w:r>
    </w:p>
    <w:p w14:paraId="37262428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D45E6D3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Освітлення - це отримання, розподіл та використання світлової енергії для забезпечення нормальних умов пр Лабораторія, у якій виконувалася експериментальна частина дипломної роботи, відноситься до катего</w:t>
      </w:r>
      <w:r>
        <w:rPr>
          <w:sz w:val="28"/>
          <w:szCs w:val="28"/>
          <w:lang w:val="uk-UA"/>
        </w:rPr>
        <w:t>рії В, за вибухопожежною та пожежною небезпекою, за наявності горючих матеріалів площею 10м2, питоме пожежне навантаження складало 180 мДж/м2.</w:t>
      </w:r>
    </w:p>
    <w:p w14:paraId="0DB513C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Освітлення повинне бути достатнім, тобто відповідати вимогам санітарних норм, рівномірним, не повинно осліплювати</w:t>
      </w:r>
      <w:r>
        <w:rPr>
          <w:sz w:val="28"/>
          <w:szCs w:val="28"/>
          <w:lang w:val="uk-UA"/>
        </w:rPr>
        <w:t xml:space="preserve"> очі та створювати відблиски на робочій поверхні, за спектральним складом має наближатись до сонячного світла.</w:t>
      </w:r>
    </w:p>
    <w:p w14:paraId="76C3AA8D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Державних будівельних норм (ДБН) В.2.5-28-2006 о світлення буває природним, штучним та сумісним.</w:t>
      </w:r>
    </w:p>
    <w:p w14:paraId="4B72E273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Сприятливим для організму є природне ос</w:t>
      </w:r>
      <w:r>
        <w:rPr>
          <w:sz w:val="28"/>
          <w:szCs w:val="28"/>
          <w:lang w:val="uk-UA"/>
        </w:rPr>
        <w:t>вітлення. Сумісне освітлення це таке освітлення, при якому в світлий час доби одночасно використовується природне та штучне освітлення. При цьому недостатнє за умовами зорової роботи природне освітлення постійно доповнюється штучним, яке задовольняє вимога</w:t>
      </w:r>
      <w:r>
        <w:rPr>
          <w:sz w:val="28"/>
          <w:szCs w:val="28"/>
          <w:lang w:val="uk-UA"/>
        </w:rPr>
        <w:t>м санітарних норм з проектування штучного освітлення приміщень з недостатнім природним освітленням.</w:t>
      </w:r>
    </w:p>
    <w:p w14:paraId="1166401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нормованою величиною природного освітлення є КПО, (є) - коефіцієнт природної освітленості.</w:t>
      </w:r>
    </w:p>
    <w:p w14:paraId="1AB5F59F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Одиниця виміру освітленості - люкс (лк) - освітленість п</w:t>
      </w:r>
      <w:r>
        <w:rPr>
          <w:sz w:val="28"/>
          <w:szCs w:val="28"/>
          <w:lang w:val="uk-UA"/>
        </w:rPr>
        <w:t>оверхні площею 5 = 1 м2 за умов світлового потоку Ф = 1 лм, який падає на неї.</w:t>
      </w:r>
    </w:p>
    <w:p w14:paraId="519C95E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ДБН В.2.5-28-2006 «Природне та штучне освітлення» для роботи в біохімічній лабораторії норми освітлення повинні бути 100-300лк при штучному освітленні, а при природному -</w:t>
      </w:r>
      <w:r>
        <w:rPr>
          <w:sz w:val="28"/>
          <w:szCs w:val="28"/>
          <w:lang w:val="uk-UA"/>
        </w:rPr>
        <w:t xml:space="preserve"> 0,5-1,0% (бокове освітлення). Щоб забезпечити оптимальне освітлення стабілізують напругу живлення, жорстко кріплять світильники, застосовують спеціальні пристрої для включення світильників. Для системи загального освітлення застосовується рівномірне та ло</w:t>
      </w:r>
      <w:r>
        <w:rPr>
          <w:sz w:val="28"/>
          <w:szCs w:val="28"/>
          <w:lang w:val="uk-UA"/>
        </w:rPr>
        <w:t>калізоване розміщення світильників.</w:t>
      </w:r>
    </w:p>
    <w:p w14:paraId="7F2E864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6E2D5DF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Таблиця 1.</w:t>
      </w:r>
    </w:p>
    <w:p w14:paraId="373391C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Нормативні значення мінімально допустимих рівнів освітленості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82"/>
        <w:gridCol w:w="851"/>
        <w:gridCol w:w="24"/>
        <w:gridCol w:w="1098"/>
        <w:gridCol w:w="20"/>
        <w:gridCol w:w="971"/>
        <w:gridCol w:w="20"/>
        <w:gridCol w:w="1137"/>
        <w:gridCol w:w="981"/>
        <w:gridCol w:w="20"/>
        <w:gridCol w:w="830"/>
        <w:gridCol w:w="20"/>
        <w:gridCol w:w="842"/>
      </w:tblGrid>
      <w:tr w:rsidR="00000000" w14:paraId="4CEF119B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108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зорової роботи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DC5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Найменший розмір об'єкта розрізнення, мм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D28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Розряд зорової роботи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4C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Тривалість зорової роботи,%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8CE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Штучне освітлення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312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Природ</w:t>
            </w:r>
            <w:r>
              <w:rPr>
                <w:sz w:val="20"/>
                <w:szCs w:val="20"/>
                <w:lang w:val="uk-UA"/>
              </w:rPr>
              <w:t>не освітлення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6E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Освітлення робочої поверхні, лк Кп,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70B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КПО,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B0B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 прибічному</w:t>
            </w:r>
          </w:p>
        </w:tc>
      </w:tr>
      <w:tr w:rsidR="00000000" w14:paraId="55045BA9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38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Дуже високої точності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0ED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0,15-0,3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D7D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6A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66C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500/400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2A9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F3E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24E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93A7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320BC816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551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Високої точності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F08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0,3-0,5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77AF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4C1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053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300/200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05C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D9D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130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915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</w:p>
        </w:tc>
      </w:tr>
      <w:tr w:rsidR="00000000" w14:paraId="41ED0AFF" w14:textId="7777777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D0E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Середньої точності більше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27C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D7E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7D8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B8F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150/100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ECA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34A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EC3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FC5A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DCBADA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9D2CC4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лабораторії</w:t>
      </w:r>
      <w:r>
        <w:rPr>
          <w:sz w:val="28"/>
          <w:szCs w:val="28"/>
          <w:lang w:val="uk-UA"/>
        </w:rPr>
        <w:t>, в якій здійснювався експеримент було природне та штучне освітлення. Природне освітлення було обумовлене прямими сонячними променями через світлові прорізи в зовнішніх стінах, а штучне забезпечувалося лампами розжарювання. Ефакт.=150лк, КПО=1,0%.</w:t>
      </w:r>
    </w:p>
    <w:p w14:paraId="36F347A9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E10FB02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4.3 Шкі</w:t>
      </w:r>
      <w:r>
        <w:rPr>
          <w:caps/>
          <w:sz w:val="28"/>
          <w:szCs w:val="28"/>
          <w:lang w:val="uk-UA"/>
        </w:rPr>
        <w:t>дливі хімічні речовини</w:t>
      </w:r>
    </w:p>
    <w:p w14:paraId="5C7A42AF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95D0DF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шкідливою розуміється речовина, яка при контакті з організмом людини викликає виробничі травми, професійні захворювання або відхилення в стан здоров'я. Класифікація шкідливих речовин і загальні вимоги безпеки введені ГОСТ 12.1.0</w:t>
      </w:r>
      <w:r>
        <w:rPr>
          <w:sz w:val="28"/>
          <w:szCs w:val="28"/>
          <w:lang w:val="uk-UA"/>
        </w:rPr>
        <w:t>07-76.</w:t>
      </w:r>
    </w:p>
    <w:p w14:paraId="61EC8C4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експерименту я використовувала такі речовини як оцтова кислота та їдкий натрій.</w:t>
      </w:r>
    </w:p>
    <w:p w14:paraId="4ACE3C5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оцтової кислоти характеризується сильним набряком слизової оболонки шлунка, яка має темно-червоний колір . На відміну від сірчаної та хлористоводневої кислот</w:t>
      </w:r>
      <w:r>
        <w:rPr>
          <w:sz w:val="28"/>
          <w:szCs w:val="28"/>
          <w:lang w:val="uk-UA"/>
        </w:rPr>
        <w:t>, які діють одразу дуже великою кількістю Н-іонів, оцтова кислота діє невеликими порціями. І хоча одночасна дія Н-іонів виражена менше триває вона значно довше. Тож і тяжкість ураження буде досить великою.</w:t>
      </w:r>
    </w:p>
    <w:p w14:paraId="64ED801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оцтової кислоти на шкіру проявляється появою</w:t>
      </w:r>
      <w:r>
        <w:rPr>
          <w:sz w:val="28"/>
          <w:szCs w:val="28"/>
          <w:lang w:val="uk-UA"/>
        </w:rPr>
        <w:t xml:space="preserve"> почервоніння і болю, згодом утворюються бруднувато-білі струпи. Перша допомога при опіках - рясне обмивання водою.</w:t>
      </w:r>
    </w:p>
    <w:p w14:paraId="0657CBD3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лугів на організм людини проявляється локальною дією,що викликає (омертвіння)некроз тільки тих ділянок шкірного покриву, на які вони п</w:t>
      </w:r>
      <w:r>
        <w:rPr>
          <w:sz w:val="28"/>
          <w:szCs w:val="28"/>
          <w:lang w:val="uk-UA"/>
        </w:rPr>
        <w:t>отрапили. Дія лугів, особливо концентрованих, характеризується значною глибиною проникнення, оскільки вони розчиняють білок. У зв'язку з цим дуже небезпечне потрапляння лугу в очі: при запізнілою першої допомоги воно супроводжується повною втратою зору.</w:t>
      </w:r>
    </w:p>
    <w:p w14:paraId="71330C7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Їд</w:t>
      </w:r>
      <w:r>
        <w:rPr>
          <w:sz w:val="28"/>
          <w:szCs w:val="28"/>
          <w:lang w:val="uk-UA"/>
        </w:rPr>
        <w:t>кий натрій корозійно-активна речовина,яка проявляє їдку дію.</w:t>
      </w:r>
      <w:r>
        <w:rPr>
          <w:sz w:val="28"/>
          <w:szCs w:val="28"/>
          <w:lang w:val="uk-UA"/>
        </w:rPr>
        <w:br/>
        <w:t>При попаданні на шкіру викликає хімічні опіки, а при тривалому впливі може викликати виразки та екземи. Сильно діє на слизові оболонки. Небезпечним є потрапляння їдкого натру в очі.</w:t>
      </w:r>
    </w:p>
    <w:p w14:paraId="4E72B8A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Луг змиваєтьс</w:t>
      </w:r>
      <w:r>
        <w:rPr>
          <w:sz w:val="28"/>
          <w:szCs w:val="28"/>
          <w:lang w:val="uk-UA"/>
        </w:rPr>
        <w:t>я погано, промивання повинно бути тривалим (10-15 хв.) І ретельним. Для нейтралізації лугу,що проник в пори шкіри на уражене місце після промивання накладають пов'язку з марлі або ватяний тампон, просочені 5%-м розчином оцтової кислоти. Луг змивається пога</w:t>
      </w:r>
      <w:r>
        <w:rPr>
          <w:sz w:val="28"/>
          <w:szCs w:val="28"/>
          <w:lang w:val="uk-UA"/>
        </w:rPr>
        <w:t>но, промивання повинно бути тривалим (10-15 хв.) І ретельним</w:t>
      </w:r>
    </w:p>
    <w:p w14:paraId="2223B791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10 хв. пов'язку знімають, шкіру обмивають, обережно видаляють воду фільтрувальної папером або м'якою тканиною і змащують гліцерином для зменшення больових відчуттів.</w:t>
      </w:r>
    </w:p>
    <w:p w14:paraId="4F45ECA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луг потрапив в очі</w:t>
      </w:r>
      <w:r>
        <w:rPr>
          <w:sz w:val="28"/>
          <w:szCs w:val="28"/>
          <w:lang w:val="uk-UA"/>
        </w:rPr>
        <w:t>, негайно слід промити їх проточною водою протягом 15-20 хв. Після цього очі обполіскують 2%-м розчином борної кислоти і закопують під повіки альбуцид.</w:t>
      </w:r>
    </w:p>
    <w:p w14:paraId="489568C3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Гранично допустимі концентрації (ГДК) шкідливих речовин у повітрі робочої зони встановлені ГОСТ 12.1.005</w:t>
      </w:r>
      <w:r>
        <w:rPr>
          <w:sz w:val="28"/>
          <w:szCs w:val="28"/>
          <w:lang w:val="uk-UA"/>
        </w:rPr>
        <w:t>-88, а також ГДК затверджених Головним санітарним лікарем України після 01.01.1997 р.</w:t>
      </w:r>
    </w:p>
    <w:p w14:paraId="26E0D85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Гранично допустима концентрація у повітрі робочої зони виробничих приміщень для оцтової кислоти становить 5 мг/м3 , для їдкого натру 0,5 мг/м3.</w:t>
      </w:r>
    </w:p>
    <w:p w14:paraId="1AD8FAE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приміщенні лабораторії, </w:t>
      </w:r>
      <w:r>
        <w:rPr>
          <w:sz w:val="28"/>
          <w:szCs w:val="28"/>
          <w:lang w:val="uk-UA"/>
        </w:rPr>
        <w:t>де здійснювалася експериментальна частина роботи ГДК становила для оцтової кислоти 2 мг/м3, для їдкого натру 0,3 мг/м3.</w:t>
      </w:r>
    </w:p>
    <w:p w14:paraId="111DE2E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процесі використання цих сполук усі заходи щодо дотримання правил безпеки работи з хімічними речовинами були здійснені.</w:t>
      </w:r>
    </w:p>
    <w:p w14:paraId="4295BAB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28C451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4.4 Мікроклі</w:t>
      </w:r>
      <w:r>
        <w:rPr>
          <w:caps/>
          <w:sz w:val="28"/>
          <w:szCs w:val="28"/>
          <w:lang w:val="uk-UA"/>
        </w:rPr>
        <w:t>мат</w:t>
      </w:r>
    </w:p>
    <w:p w14:paraId="080015FF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6587E74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Мікроклімат виробничих приміщень - умови внутрішнього середовища цих приміщень, що впливають на тепловий обмін працюючих з оточенням шляхом конвекції, кондукції, теплового випромінювання та випаровування вологи.</w:t>
      </w:r>
    </w:p>
    <w:p w14:paraId="0BF7DF11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Параметри мікроклімату:</w:t>
      </w:r>
    </w:p>
    <w:p w14:paraId="3F35481F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температура п</w:t>
      </w:r>
      <w:r>
        <w:rPr>
          <w:sz w:val="28"/>
          <w:szCs w:val="28"/>
          <w:lang w:val="uk-UA"/>
        </w:rPr>
        <w:t>овітря Т, 0С;</w:t>
      </w:r>
    </w:p>
    <w:p w14:paraId="7A1CA8E5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відносна вологість Y, %;</w:t>
      </w:r>
    </w:p>
    <w:p w14:paraId="38885F04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швидкість руху повітря V, м\с.</w:t>
      </w:r>
    </w:p>
    <w:p w14:paraId="62B1DFD0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Значні коливання параметром мікроклімату можуть привести до порушення терморегуляції організму (здатність організму утримувати постійну температуру), що приводить до порушення систем</w:t>
      </w:r>
      <w:r>
        <w:rPr>
          <w:sz w:val="28"/>
          <w:szCs w:val="28"/>
          <w:lang w:val="uk-UA"/>
        </w:rPr>
        <w:t>и кровообіг, загальної слабкості і т.п.</w:t>
      </w:r>
    </w:p>
    <w:p w14:paraId="5CE413B7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Нормування параметрів мікроклімату здійснюється згідно ДСН 3.3.6.042-99. Цей документ встановлює оптимальні і допустимі значення температури, відносної вологості та швидкості руху повітря, допустиму температуру внутр</w:t>
      </w:r>
      <w:r>
        <w:rPr>
          <w:sz w:val="28"/>
          <w:szCs w:val="28"/>
          <w:lang w:val="uk-UA"/>
        </w:rPr>
        <w:t>ішніх поверхонь приміщення (стіни, стеля, підлога) і зовнішніх поверхонь технологічного обладнання, а також допустиму інтенсивність теплового випромінювання нагрітих поверхонь у приміщенні та відкритих джерел тепла (нагрітий метал, скло, відкритий вогонь т</w:t>
      </w:r>
      <w:r>
        <w:rPr>
          <w:sz w:val="28"/>
          <w:szCs w:val="28"/>
          <w:lang w:val="uk-UA"/>
        </w:rPr>
        <w:t>ощо) для робочої зони - визначеного простору, в якому знаходяться робочі місця постійного або непостійного (тимчасового) перебування працівників.</w:t>
      </w:r>
    </w:p>
    <w:p w14:paraId="34D53590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Існують оптимальні умови мікроклімату для постійних робочих місць (табл. 2).</w:t>
      </w:r>
    </w:p>
    <w:p w14:paraId="7274A63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1A2C3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</w:t>
      </w:r>
    </w:p>
    <w:p w14:paraId="071FA49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Оптимальні величини п</w:t>
      </w:r>
      <w:r>
        <w:rPr>
          <w:sz w:val="28"/>
          <w:szCs w:val="28"/>
          <w:lang w:val="uk-UA"/>
        </w:rPr>
        <w:t>араметрів мікроклімату в робочій зоні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645"/>
        <w:gridCol w:w="1595"/>
        <w:gridCol w:w="1332"/>
        <w:gridCol w:w="1999"/>
      </w:tblGrid>
      <w:tr w:rsidR="00000000" w14:paraId="493B9004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B71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59E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Категорія робіт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819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повітря, °С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D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Відносна вологість, %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AAD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Швидкість руху повітря, м/с</w:t>
            </w:r>
          </w:p>
        </w:tc>
      </w:tr>
      <w:tr w:rsidR="00000000" w14:paraId="215AA179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B80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Холодний період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B95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Легка І-б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362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21-23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A5A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40-60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BA9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</w:tc>
      </w:tr>
      <w:tr w:rsidR="00000000" w14:paraId="5783C899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736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Теплий період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051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Легка І-б.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38E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22-24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68F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40-60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6EA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</w:tc>
      </w:tr>
    </w:tbl>
    <w:p w14:paraId="75B3890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39D67A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Експериментальна ч</w:t>
      </w:r>
      <w:r>
        <w:rPr>
          <w:sz w:val="28"/>
          <w:szCs w:val="28"/>
          <w:lang w:val="uk-UA"/>
        </w:rPr>
        <w:t>астина диплому відбувалася в холодний період року, робота виконувалася за категорією I-б. У лабораторії дотримувалися оптимальні параметри мікроклімату: температура повітря +21 °С, відносна вологість 54%, швидкість руху повітря 0,1 м/c.</w:t>
      </w:r>
    </w:p>
    <w:p w14:paraId="489F3B47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B1EE0F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4.5 Шум</w:t>
      </w:r>
    </w:p>
    <w:p w14:paraId="08067212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A52CDFD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Виробнич</w:t>
      </w:r>
      <w:r>
        <w:rPr>
          <w:sz w:val="28"/>
          <w:szCs w:val="28"/>
          <w:lang w:val="uk-UA"/>
        </w:rPr>
        <w:t>ий шум - це хаотична сукупність різних за силою і частотою звуків, що виникають у повітряному середовищі і безпосередньо впливають на працездатність.</w:t>
      </w:r>
    </w:p>
    <w:p w14:paraId="55B55E9E" w14:textId="77777777" w:rsidR="00000000" w:rsidRDefault="00DB5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Шум як стрес-фактор є загальнобіологічним подразником, який негативно впливає на всі органи і системи орга</w:t>
      </w:r>
      <w:r>
        <w:rPr>
          <w:sz w:val="28"/>
          <w:szCs w:val="28"/>
          <w:lang w:val="uk-UA"/>
        </w:rPr>
        <w:t>нізму. У разі тривалого систематичного впливу шуму може виникнути патологія з переважним ураженням слуху, центральної нервової і серцево-судинної систем.</w:t>
      </w:r>
    </w:p>
    <w:p w14:paraId="29FBA90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робочих місцях згідно з Державними санітарними нормами (ДСП) 3.3.6.037-99 «Санітарні норми виробнич</w:t>
      </w:r>
      <w:r>
        <w:rPr>
          <w:sz w:val="28"/>
          <w:szCs w:val="28"/>
          <w:lang w:val="uk-UA"/>
        </w:rPr>
        <w:t>ого звуку, ультразвуку та інфразвуку» шум визначають рівні звукового тиску в октавних смугах частот: 63, 125, 250, 500, . 1000,2000,4000 та 8000 Гц. Захист від шуму повинен досягатися шляхом створення шумобезпечної техніки (ГОСТ 12.1.003 -83, ДСН 3.3.6.037</w:t>
      </w:r>
      <w:r>
        <w:rPr>
          <w:sz w:val="28"/>
          <w:szCs w:val="28"/>
          <w:lang w:val="uk-UA"/>
        </w:rPr>
        <w:t>-99). Норми шуму в разі виконання розумової праці наведені в (табл. 3).</w:t>
      </w:r>
    </w:p>
    <w:p w14:paraId="3690D613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7170E4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 Норми шуму в разі виконання розумової праці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0"/>
        <w:gridCol w:w="540"/>
        <w:gridCol w:w="540"/>
        <w:gridCol w:w="540"/>
        <w:gridCol w:w="720"/>
        <w:gridCol w:w="540"/>
        <w:gridCol w:w="720"/>
        <w:gridCol w:w="720"/>
        <w:gridCol w:w="720"/>
        <w:gridCol w:w="672"/>
        <w:gridCol w:w="784"/>
      </w:tblGrid>
      <w:tr w:rsidR="00000000" w14:paraId="724F7A8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BA7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 роботи</w:t>
            </w:r>
          </w:p>
        </w:tc>
        <w:tc>
          <w:tcPr>
            <w:tcW w:w="5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2B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Середньо геометрична частота в октавній смузі, Гц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FB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ДБА</w:t>
            </w:r>
          </w:p>
        </w:tc>
      </w:tr>
      <w:tr w:rsidR="00000000" w14:paraId="158F12DC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62CA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CB0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B2A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618D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3BB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92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A62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0DB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26B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BA7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8000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220BE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</w:tr>
      <w:tr w:rsidR="00000000" w14:paraId="0457EA35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42E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Вимірювальні т</w:t>
            </w:r>
            <w:r>
              <w:rPr>
                <w:sz w:val="20"/>
                <w:szCs w:val="20"/>
                <w:lang w:val="uk-UA"/>
              </w:rPr>
              <w:t>а аналітичні роботи в лабораторії.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C47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3C4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5B1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F6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65799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3B0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9EF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FD2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BD0E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98C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</w:tr>
    </w:tbl>
    <w:p w14:paraId="3BC0938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5E946B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лабораторії в котрій виконувалась практична частина дипломної роботи рівень шуму сягав 55 дБ.</w:t>
      </w:r>
    </w:p>
    <w:p w14:paraId="414AA0B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036158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4.6 Електробезпека</w:t>
      </w:r>
    </w:p>
    <w:p w14:paraId="07BA4BE8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0FEBC1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Електробезпека - система організаційних і технічних заходів та засобів</w:t>
      </w:r>
      <w:r>
        <w:rPr>
          <w:sz w:val="28"/>
          <w:szCs w:val="28"/>
          <w:lang w:val="uk-UA"/>
        </w:rPr>
        <w:t>, що забезпечують захист людей від шкідливої і небезпечної дії електричного струму, електричної дуги, електричного поля і статичної електрики (ГОСТ 12.1.009-76).</w:t>
      </w:r>
    </w:p>
    <w:p w14:paraId="178218F8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Електротравма - травма, спричинена дією на організм людини електричного струму і (або) електри</w:t>
      </w:r>
      <w:r>
        <w:rPr>
          <w:sz w:val="28"/>
          <w:szCs w:val="28"/>
          <w:lang w:val="uk-UA"/>
        </w:rPr>
        <w:t>чної дуги (ГОСТ 12.1.009-76).</w:t>
      </w:r>
      <w:r>
        <w:rPr>
          <w:sz w:val="28"/>
          <w:szCs w:val="28"/>
          <w:lang w:val="uk-UA"/>
        </w:rPr>
        <w:br/>
        <w:t xml:space="preserve"> Електротравматизм - явище, що характеризується сукупністю електротравм.</w:t>
      </w:r>
    </w:p>
    <w:p w14:paraId="7504A36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ПУЭ, приміщення за небезпекою електротравм поділяються на три категорії:</w:t>
      </w:r>
    </w:p>
    <w:p w14:paraId="4DFE9BC9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підвищеної небезпеки;</w:t>
      </w:r>
    </w:p>
    <w:p w14:paraId="3BAB4C5B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підвищеною небезпекою;</w:t>
      </w:r>
    </w:p>
    <w:p w14:paraId="359D0CD6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 небезп</w:t>
      </w:r>
      <w:r>
        <w:rPr>
          <w:sz w:val="28"/>
          <w:szCs w:val="28"/>
          <w:lang w:val="uk-UA"/>
        </w:rPr>
        <w:t>ечні.</w:t>
      </w:r>
    </w:p>
    <w:p w14:paraId="6502360C" w14:textId="77777777" w:rsidR="00000000" w:rsidRDefault="00DB5205">
      <w:pPr>
        <w:tabs>
          <w:tab w:val="left" w:pos="10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ГОСТ 12.1.038-82 установлені норми гранично допустимих напруги дотику та струму залежно від тривалості впливу, умов виконання робіт і режиму роботи електричних мереж. У таблиці 4 наведені ці рівні під час проходження струму від однієї р</w:t>
      </w:r>
      <w:r>
        <w:rPr>
          <w:sz w:val="28"/>
          <w:szCs w:val="28"/>
          <w:lang w:val="uk-UA"/>
        </w:rPr>
        <w:t>уки до другої та від руки до ніг у разі нормального режиму роботи електроустановки для мережі до 1000 В із будь-яким режимом нейтралі і вище 1000 В з ізольованою нейтраллю.</w:t>
      </w:r>
    </w:p>
    <w:p w14:paraId="20E04F11" w14:textId="77777777" w:rsidR="00000000" w:rsidRDefault="00DB5205">
      <w:pPr>
        <w:tabs>
          <w:tab w:val="left" w:pos="10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45F772" w14:textId="77777777" w:rsidR="00000000" w:rsidRDefault="00DB5205">
      <w:pPr>
        <w:tabs>
          <w:tab w:val="left" w:pos="10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4. Норми струму та напруги дотику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7"/>
        <w:gridCol w:w="2422"/>
        <w:gridCol w:w="1261"/>
        <w:gridCol w:w="1010"/>
        <w:gridCol w:w="842"/>
        <w:gridCol w:w="743"/>
        <w:gridCol w:w="609"/>
      </w:tblGrid>
      <w:tr w:rsidR="00000000" w14:paraId="4EA671A7" w14:textId="77777777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BA1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току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D60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Нормоване значення</w:t>
            </w:r>
          </w:p>
        </w:tc>
        <w:tc>
          <w:tcPr>
            <w:tcW w:w="4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7DD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Граничнодопу</w:t>
            </w:r>
            <w:r>
              <w:rPr>
                <w:sz w:val="20"/>
                <w:szCs w:val="20"/>
                <w:lang w:val="uk-UA"/>
              </w:rPr>
              <w:t>стимі рівні за тривалості ті пилу, г.</w:t>
            </w:r>
          </w:p>
        </w:tc>
      </w:tr>
      <w:tr w:rsidR="00000000" w14:paraId="1B9CF7B1" w14:textId="77777777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F79F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7471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D93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BA8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16A5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96B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2ECC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&gt;1,0</w:t>
            </w:r>
          </w:p>
        </w:tc>
      </w:tr>
      <w:tr w:rsidR="00000000" w14:paraId="36B9232E" w14:textId="77777777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01E3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Перемінний 3 частотою 50 Гц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5156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Струм, мА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0B1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2ED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D9A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C211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D214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000000" w14:paraId="30A50C04" w14:textId="77777777">
        <w:tblPrEx>
          <w:tblCellMar>
            <w:top w:w="0" w:type="dxa"/>
            <w:bottom w:w="0" w:type="dxa"/>
          </w:tblCellMar>
        </w:tblPrEx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7459" w14:textId="77777777" w:rsidR="00000000" w:rsidRDefault="00DB52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75F7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Напруга дотику, 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537B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6BDA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5FB0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672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BF48" w14:textId="77777777" w:rsidR="00000000" w:rsidRDefault="00DB52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</w:tr>
    </w:tbl>
    <w:p w14:paraId="46CACDA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D4004C3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Лабораторія, де виконувався експеримент відноситься до приміщень з підвищеною небезпекою,тому що ст</w:t>
      </w:r>
      <w:r>
        <w:rPr>
          <w:sz w:val="28"/>
          <w:szCs w:val="28"/>
          <w:lang w:val="uk-UA"/>
        </w:rPr>
        <w:t>румопровідна підлога в приміщенні має бетону основу. Всі правила техніки безпеки були дотримані.</w:t>
      </w:r>
    </w:p>
    <w:p w14:paraId="4C03942A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057FBAE" w14:textId="77777777" w:rsidR="00000000" w:rsidRDefault="00DB5205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4.7 Пожежна безпека</w:t>
      </w:r>
    </w:p>
    <w:p w14:paraId="0A5F15AF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CCF9B6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Пожежа - неконтрольоване горіння поза спеціальним вогнищем, яке призводить до матеріальної шкоди.</w:t>
      </w:r>
    </w:p>
    <w:p w14:paraId="4389036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Пожежна безпека - стан об’єкта, при як</w:t>
      </w:r>
      <w:r>
        <w:rPr>
          <w:sz w:val="28"/>
          <w:szCs w:val="28"/>
          <w:lang w:val="uk-UA"/>
        </w:rPr>
        <w:t>ому з регламентованою ймовірністю виключається можливість виникнення та розвиток пожежі і впливу на людей її небезпечних факторів, а також забезпечується захист матеріальних цінностей. Відповідно до ГОСТ 12.1.004.-91 пожежна безпека об'єкта повинна забезпе</w:t>
      </w:r>
      <w:r>
        <w:rPr>
          <w:sz w:val="28"/>
          <w:szCs w:val="28"/>
          <w:lang w:val="uk-UA"/>
        </w:rPr>
        <w:t>чуватися системою запобігання пожежі, системою протипожежного захисту і системою організаційно-технічних заходів.</w:t>
      </w:r>
    </w:p>
    <w:p w14:paraId="7A534E9E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ОНТП 24-86 приміщення за вибухопожежною та пожежною небезпекою залежно від характеристик речовин, які використовують чи отримуют</w:t>
      </w:r>
      <w:r>
        <w:rPr>
          <w:sz w:val="28"/>
          <w:szCs w:val="28"/>
          <w:lang w:val="uk-UA"/>
        </w:rPr>
        <w:t>ь під час виробництва та їх кількості, поділяють на 5 категорій: А, Б, В, Г та Д.</w:t>
      </w:r>
    </w:p>
    <w:p w14:paraId="68FBEDF2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Категорія В (пожежонебезпечні) - виробництва, де використовують рідини, що горять та важко горять, пил і тверді матеріали й речовини, здатні горіти тільки у разі взаємодії з </w:t>
      </w:r>
      <w:r>
        <w:rPr>
          <w:sz w:val="28"/>
          <w:szCs w:val="28"/>
          <w:lang w:val="uk-UA"/>
        </w:rPr>
        <w:t>водою, киснем повітря або між собою за умови, що приміщення, в яких вони знаходяться або використовуються, не належать до категорій А та Б.</w:t>
      </w:r>
    </w:p>
    <w:p w14:paraId="23E44225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Лабораторія, у якій виконувалася експериментальна частина дипломної роботи, відноситься до категорії В, за вибухопож</w:t>
      </w:r>
      <w:r>
        <w:rPr>
          <w:sz w:val="28"/>
          <w:szCs w:val="28"/>
          <w:lang w:val="uk-UA"/>
        </w:rPr>
        <w:t>ежною та пожежною небезпекою, за наявності горючих матеріалів площею S&gt;10м2, питоме пожежне навантаження складало W &gt; 180МДж/м2.</w:t>
      </w:r>
    </w:p>
    <w:p w14:paraId="06CA4822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3DE6CB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ВИСНОВКИ</w:t>
      </w:r>
    </w:p>
    <w:p w14:paraId="76CBB430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CC8959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Вивчено вплив сполуки диренію (ІІІ) ізобутиратними лігандами і цисплатину на діагностичні показники стану нирок у м</w:t>
      </w:r>
      <w:r>
        <w:rPr>
          <w:sz w:val="28"/>
          <w:szCs w:val="28"/>
          <w:lang w:val="uk-UA"/>
        </w:rPr>
        <w:t>оделі пухлинного росту (Т8), показано вплив протипухлиної системи Реній-Платина у формі наноліпосом та наночасток на біохімічні маркери ушкодження нирок та їхнього функціонального стану, активність діагностичних ферментів у нирковому гомогенаті та сечі.</w:t>
      </w:r>
    </w:p>
    <w:p w14:paraId="64BE1B88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При одноразовому введенні пухлиноносіям цисплатину у розчині та ренієвої сполуки за схемою антиоксидантної терапії у ліпосомній формі спостерігається збільшення швикості гломерулярної фільтрації до 2,0 разів і зменшення виходу діагностичних ферментів в сеч</w:t>
      </w:r>
      <w:r>
        <w:rPr>
          <w:sz w:val="28"/>
          <w:szCs w:val="28"/>
          <w:lang w:val="uk-UA"/>
        </w:rPr>
        <w:t>у у порівнянні з групою тварин, яким вводився тільки цисплатин: лактатдегідрогенази - у 2,0-4,0 рази, гама-глутамілтранспептидази - до 6 разів при їхній активації у нирковій тканині.</w:t>
      </w:r>
    </w:p>
    <w:p w14:paraId="6C33288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 введенні наноліпосомних форм комплексних сполук Ренію за схемою ан</w:t>
      </w:r>
      <w:r>
        <w:rPr>
          <w:sz w:val="28"/>
          <w:szCs w:val="28"/>
          <w:lang w:val="uk-UA"/>
        </w:rPr>
        <w:t>тиоксидантної терапії щурам з пухлиною відмічалось зниження біохімічних маркерів в сечі, а саме: концентрації загальних протеїнів в середньому в 1,9 разів, активності лактатдегідрогенази - в 1,5 рази, активності гама-глутамілтранспептидази - в 1,6 рази, пр</w:t>
      </w:r>
      <w:r>
        <w:rPr>
          <w:sz w:val="28"/>
          <w:szCs w:val="28"/>
          <w:lang w:val="uk-UA"/>
        </w:rPr>
        <w:t>и їхній активації у тканині нирок, що підтверджує мембранопротекторну активність комплексів та відповідає результатам гістологічних досліджень.</w:t>
      </w:r>
    </w:p>
    <w:p w14:paraId="01A6305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Введення протипухлинної системи в формі наноліпосом щурам з пухлиною знижувало відносну вагу нирок до 2,0 разі</w:t>
      </w:r>
      <w:r>
        <w:rPr>
          <w:sz w:val="28"/>
          <w:szCs w:val="28"/>
          <w:lang w:val="uk-UA"/>
        </w:rPr>
        <w:t>в, рівень загального білку в нирках в середньому 2,5 рази, порівняно з групою тварин, яким вводили наноліпосомну форму цисплатину. Одночасно з цим, активність лактатдегідрогенази в сечі збільшувалась в 2,0-4,0 рази, порівняно з групою тварин, гама-глутаміл</w:t>
      </w:r>
      <w:r>
        <w:rPr>
          <w:sz w:val="28"/>
          <w:szCs w:val="28"/>
          <w:lang w:val="uk-UA"/>
        </w:rPr>
        <w:t>транспептидази - 2,0-12,0 разів, порівняно з групою щурів з пухлиною, яким вводили наноліпосомну форму цисплатину, і наближалась до контрольного рівня. При введенні змішаних наноліпосом, подібно до окремого введення протипухлинної системи, відмічалась акти</w:t>
      </w:r>
      <w:r>
        <w:rPr>
          <w:sz w:val="28"/>
          <w:szCs w:val="28"/>
          <w:lang w:val="uk-UA"/>
        </w:rPr>
        <w:t>вація цих діагностичних ензимів в нирковій тканині.</w:t>
      </w:r>
    </w:p>
    <w:p w14:paraId="5F983751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Вперше показано, що використання змішаних наноліпосом, навантажених сполуками Ренію і Платини, супроводжується значним нефропротекторним ефектом кластерних сполук ренію та дозволяє варіювати співвідноше</w:t>
      </w:r>
      <w:r>
        <w:rPr>
          <w:sz w:val="28"/>
          <w:szCs w:val="28"/>
          <w:lang w:val="uk-UA"/>
        </w:rPr>
        <w:t>нням компонентів всередині капсули без гострого негативного ефекту на біохімічні показники нирок.</w:t>
      </w:r>
    </w:p>
    <w:p w14:paraId="6D8EF87D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Проведені дослідження дають змогу рекомендувати комплексні сполуки Ренію у наноліпосомах як ефективні нефропротектори при терапії злоякісних новоутворень, а</w:t>
      </w:r>
      <w:r>
        <w:rPr>
          <w:sz w:val="28"/>
          <w:szCs w:val="28"/>
          <w:lang w:val="uk-UA"/>
        </w:rPr>
        <w:t xml:space="preserve"> подальші дослідження допоможуть з’ясувати можливі механізми їхньої дії.</w:t>
      </w:r>
    </w:p>
    <w:p w14:paraId="20DFC574" w14:textId="77777777" w:rsidR="00000000" w:rsidRDefault="00DB5205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3A6B84D" w14:textId="77777777" w:rsidR="00000000" w:rsidRDefault="00DB5205">
      <w:pPr>
        <w:tabs>
          <w:tab w:val="left" w:pos="322"/>
          <w:tab w:val="left" w:pos="709"/>
          <w:tab w:val="left" w:pos="935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ЛІТЕРАТУРИ</w:t>
      </w:r>
    </w:p>
    <w:p w14:paraId="6DF92E8C" w14:textId="77777777" w:rsidR="00000000" w:rsidRDefault="00DB52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B7BA321" w14:textId="77777777" w:rsidR="00000000" w:rsidRDefault="00DB52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Айвазян А.В. Пороки розвитку нирок і сечоводів /А.В. Айвазян //М: Наука.- 1998.- с. 447</w:t>
      </w:r>
    </w:p>
    <w:p w14:paraId="212DDC9E" w14:textId="77777777" w:rsidR="00000000" w:rsidRDefault="00DB52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Головенко М.Я. Журнал академії медичних наук / М.Я, Головенко, І. Ю. </w:t>
      </w:r>
      <w:r>
        <w:rPr>
          <w:sz w:val="28"/>
          <w:szCs w:val="28"/>
          <w:lang w:val="uk-UA"/>
        </w:rPr>
        <w:t>Борисюк //Львів . -2009.- с.50</w:t>
      </w:r>
    </w:p>
    <w:p w14:paraId="777552A4" w14:textId="77777777" w:rsidR="00000000" w:rsidRDefault="00DB520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Дударь І.Н. Інерстіціальній нефрит / І.Н. Дударь // К: Медінформ.-2001. - № 6 (10). - c. 20-22.</w:t>
      </w:r>
    </w:p>
    <w:p w14:paraId="6AF05516" w14:textId="77777777" w:rsidR="00000000" w:rsidRDefault="00DB5205">
      <w:pPr>
        <w:tabs>
          <w:tab w:val="left" w:pos="709"/>
          <w:tab w:val="left" w:pos="7704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Мекертичан Ю.І.Здорові нирки / Ю. І Мекертичан, Л. Ю Мекертичан //М: Фенікс.- 2010. - c. 144.</w:t>
      </w:r>
    </w:p>
    <w:p w14:paraId="20FD2268" w14:textId="77777777" w:rsidR="00000000" w:rsidRDefault="00DB5205">
      <w:pPr>
        <w:tabs>
          <w:tab w:val="left" w:pos="709"/>
          <w:tab w:val="left" w:pos="7704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Пірога Л.А. Клінічна нефрол</w:t>
      </w:r>
      <w:r>
        <w:rPr>
          <w:sz w:val="28"/>
          <w:szCs w:val="28"/>
          <w:lang w:val="uk-UA"/>
        </w:rPr>
        <w:t>огія / Л.А.Пірога / За ред. акад. АМН України, засл. діяча науки і техніки//К:Здоров`я.- 2004.- c.526 .</w:t>
      </w:r>
    </w:p>
    <w:p w14:paraId="2A1DBB89" w14:textId="77777777" w:rsidR="00000000" w:rsidRDefault="00DB5205">
      <w:pPr>
        <w:tabs>
          <w:tab w:val="left" w:pos="709"/>
          <w:tab w:val="left" w:pos="7704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Коен А. Захворювання нирок, токсичні ураження нирок. Heфpологія / А. Коен/// О: Астропринт -.1998 -. № 3.- c.117-142.</w:t>
      </w:r>
    </w:p>
    <w:p w14:paraId="51B042BF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Колеснік М.О. Уpaжeнням ниpок</w:t>
      </w:r>
      <w:r>
        <w:rPr>
          <w:sz w:val="28"/>
          <w:szCs w:val="28"/>
          <w:lang w:val="uk-UA"/>
        </w:rPr>
        <w:t>: Особливості пepeбігy, діагностика,</w:t>
      </w:r>
    </w:p>
    <w:p w14:paraId="71FD7A44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лікування / Український peвмaтологічний жypнaл.-2001 -. № 1 (3) - c. 3-6.</w:t>
      </w:r>
    </w:p>
    <w:p w14:paraId="24487D96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Колеснік М.О. Кpитepії пepeбігy ypaжeння ниpок у xвоpиx на</w:t>
      </w:r>
    </w:p>
    <w:p w14:paraId="0C06B924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гeмоpaгічний васкуліт/ М.О Колеснік, І.І. Латинська /Уpолоriя//К:Медінформ. -1999 -.</w:t>
      </w:r>
      <w:r>
        <w:rPr>
          <w:sz w:val="28"/>
          <w:szCs w:val="28"/>
          <w:lang w:val="uk-UA"/>
        </w:rPr>
        <w:t xml:space="preserve"> № 3.- c. 98-102.</w:t>
      </w:r>
    </w:p>
    <w:p w14:paraId="78F93ECA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Меньшиков В.В. Лабораторні методи дослідження в клініці / В.В. Меньшиков// Москва.- 1987.- с.197.</w:t>
      </w:r>
    </w:p>
    <w:p w14:paraId="0CEACBBD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Лукічев Б.Г. Гостра ниркова недостатність / Б.Г. Лукічев, І.В.Федотова //Heфpологія.-1999.-№ 1.- c. 20-39.</w:t>
      </w:r>
    </w:p>
    <w:p w14:paraId="2696CAFB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Манлик Р Б. Хвороби нирок /</w:t>
      </w:r>
      <w:r>
        <w:rPr>
          <w:sz w:val="28"/>
          <w:szCs w:val="28"/>
          <w:lang w:val="uk-UA"/>
        </w:rPr>
        <w:t xml:space="preserve"> Р. Б. Манлик// Вістник Волгоградської медицинської академії.- 1994.- c. 167 .</w:t>
      </w:r>
    </w:p>
    <w:p w14:paraId="01F5D74E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Маршалл В.Д. Клінічна біохімія/ В.Д Маршалл // Вид.Біном.- 2002.- с. 384.</w:t>
      </w:r>
    </w:p>
    <w:p w14:paraId="4F516FD3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Налик С.В. Клінічна фармакологія/ С.В. Налик // Донецьк.-1997.- c. 470.</w:t>
      </w:r>
    </w:p>
    <w:p w14:paraId="023BDD1B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Наточин Ю.В.Основи фізіол</w:t>
      </w:r>
      <w:r>
        <w:rPr>
          <w:sz w:val="28"/>
          <w:szCs w:val="28"/>
          <w:lang w:val="uk-UA"/>
        </w:rPr>
        <w:t>огії нирки. Практичний посібник / Наточин Ю.В. // Москва.- 1982.- с. 345 .</w:t>
      </w:r>
    </w:p>
    <w:p w14:paraId="4D9E0B0E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Мойсюк Я.Г. Нефрологія / Я.Г. Мойсюк, Е.С.Столяревіч, Н.А .Томіліна // Мінськ: Наука та техніка.- 2009.- c. 629 - 682 .</w:t>
      </w:r>
    </w:p>
    <w:p w14:paraId="431B0569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Понтюк О.О. Нефротоксичність лікарських засобів, клінічні</w:t>
      </w:r>
      <w:r>
        <w:rPr>
          <w:sz w:val="28"/>
          <w:szCs w:val="28"/>
          <w:lang w:val="uk-UA"/>
        </w:rPr>
        <w:t xml:space="preserve"> прояви, патофізіологія, механізми / О.О.Понтюк , Н.І.Волощук, О.В.Машевська //</w:t>
      </w:r>
    </w:p>
    <w:p w14:paraId="7EAB5825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биохим. Журн.- 2000. - Т.72. - № 3. - c.77-81.</w:t>
      </w:r>
    </w:p>
    <w:p w14:paraId="0E617CD4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Пелещук А.П. Пpaктична нeфpологія / А.П.Пелещук // Київ,Здоpов'я.- 1983. - c. 340 .</w:t>
      </w:r>
    </w:p>
    <w:p w14:paraId="4CFE8E62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Джеймс А.Н. Патофізіологія нирки / А</w:t>
      </w:r>
      <w:r>
        <w:rPr>
          <w:sz w:val="28"/>
          <w:szCs w:val="28"/>
          <w:lang w:val="uk-UA"/>
        </w:rPr>
        <w:t>. Джеймс, Шейман О.В.// Москва, Біном.- 2007 -. c. 446.</w:t>
      </w:r>
    </w:p>
    <w:p w14:paraId="5CA9165F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Петрунь Н. М. Роль ізоферментів в діагностиці захворювань нирок Ізоферменти в медицині / Н. М. Петрунь // Київ: Здоров'я.- 1982.- c. 113-165.</w:t>
      </w:r>
    </w:p>
    <w:p w14:paraId="5DCC335F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Пілотович В.С. Xpонічна ниркова недостатність / В.С. П</w:t>
      </w:r>
      <w:r>
        <w:rPr>
          <w:sz w:val="28"/>
          <w:szCs w:val="28"/>
          <w:lang w:val="uk-UA"/>
        </w:rPr>
        <w:t>ілотович -. Мінськ.- 1997.- c.44.</w:t>
      </w:r>
    </w:p>
    <w:p w14:paraId="7DDB9CD3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Подимова С.Я. Хвороби нирок / С.Я. Подимова // Москва «Медицина.-1998.-с. 1060.</w:t>
      </w:r>
    </w:p>
    <w:p w14:paraId="6D1C3845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Ратнер М.Я.Тубулоінтерстіціальний компонент хронічного гломерулонефриту: клініко-функціональна діагностика / М.Я. Ратнер, Бродський М.А., </w:t>
      </w:r>
      <w:r>
        <w:rPr>
          <w:sz w:val="28"/>
          <w:szCs w:val="28"/>
          <w:lang w:val="uk-UA"/>
        </w:rPr>
        <w:t>Зубкін М.Л.//Москва « Медицина».- 1991.- № 6.- с. 12-15.</w:t>
      </w:r>
    </w:p>
    <w:p w14:paraId="6EA7A560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Рябов С.І. Heфpотичний синдpом / С.І .Рябов// М.: «Ньюдиамед АО».- 1992.- c. 325 .</w:t>
      </w:r>
    </w:p>
    <w:p w14:paraId="30804CE3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Дpоговоз С.М.Фapмaкотepaпія захворювань сечостатевої системи / С.М. Дpоговоз - Xapків: «Основа».- 1995. - c. 238</w:t>
      </w:r>
      <w:r>
        <w:rPr>
          <w:sz w:val="28"/>
          <w:szCs w:val="28"/>
          <w:lang w:val="uk-UA"/>
        </w:rPr>
        <w:t xml:space="preserve"> .</w:t>
      </w:r>
    </w:p>
    <w:p w14:paraId="4512616D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Хашен Р. Нариси з патологічної біохімії / Р. Хашен, Д. Шейх// М.- пер. з англ. Вишщневецька П.А.- 1981.- с. 184 .</w:t>
      </w:r>
    </w:p>
    <w:p w14:paraId="6D307EF1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Хіггінс К. Клінічні лабораторниі аналізи / К. Хіггінс; пер. з англ;.під ред. проф. В. Л. Емануеля. - 3-е вид, випр.// М.:Біномю.-2008. </w:t>
      </w:r>
      <w:r>
        <w:rPr>
          <w:sz w:val="28"/>
          <w:szCs w:val="28"/>
          <w:lang w:val="uk-UA"/>
        </w:rPr>
        <w:t>- с. 376.</w:t>
      </w:r>
    </w:p>
    <w:p w14:paraId="7882D66A" w14:textId="77777777" w:rsidR="00000000" w:rsidRDefault="00DB5205">
      <w:pPr>
        <w:tabs>
          <w:tab w:val="left" w:pos="709"/>
          <w:tab w:val="left" w:pos="7371"/>
          <w:tab w:val="left" w:pos="935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Чиж А.С. Основні синдpоми пpи зaхворюванняx нирок/ Heфpологія в тepaпевтичній практиці/ А.С. Чиж //М: Вища школа.-1994.-c. 93-145.</w:t>
      </w:r>
    </w:p>
    <w:p w14:paraId="4E688BE1" w14:textId="77777777" w:rsidR="00000000" w:rsidRDefault="00DB5205">
      <w:pPr>
        <w:tabs>
          <w:tab w:val="left" w:pos="709"/>
          <w:tab w:val="left" w:pos="7371"/>
          <w:tab w:val="left" w:pos="9356"/>
          <w:tab w:val="left" w:pos="95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 Яpошeвський А. А. Клінічна нeфpологія/ А. А. Яpошeвський// Л:.Медицина</w:t>
      </w:r>
      <w:r>
        <w:rPr>
          <w:sz w:val="28"/>
          <w:szCs w:val="28"/>
          <w:lang w:val="uk-UA"/>
        </w:rPr>
        <w:t>.- 1971.- c .344-345.</w:t>
      </w:r>
    </w:p>
    <w:p w14:paraId="1BCB1BD2" w14:textId="77777777" w:rsidR="00000000" w:rsidRDefault="00DB5205">
      <w:pPr>
        <w:tabs>
          <w:tab w:val="left" w:pos="709"/>
          <w:tab w:val="left" w:pos="7371"/>
          <w:tab w:val="left" w:pos="9356"/>
          <w:tab w:val="left" w:pos="95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Coe F. L., Korty P. R. / Protein synthesis during compensatory renal hyper- trophy / Amer. J. of Pathol. -1967. - 213, №6. - Р.1585-1592</w:t>
      </w:r>
    </w:p>
    <w:p w14:paraId="59F6FC0A" w14:textId="77777777" w:rsidR="00000000" w:rsidRDefault="00DB5205">
      <w:pPr>
        <w:tabs>
          <w:tab w:val="left" w:pos="709"/>
          <w:tab w:val="left" w:pos="7371"/>
          <w:tab w:val="left" w:pos="9356"/>
          <w:tab w:val="left" w:pos="95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Chaudhury K., Das T., Chakravarty B., Bhattacharyya A. // Fertil. Steril.- 2005.- 83, №1. - P</w:t>
      </w:r>
      <w:r>
        <w:rPr>
          <w:sz w:val="28"/>
          <w:szCs w:val="28"/>
          <w:lang w:val="uk-UA"/>
        </w:rPr>
        <w:t>.104-109.</w:t>
      </w:r>
    </w:p>
    <w:p w14:paraId="732FE0AC" w14:textId="77777777" w:rsidR="00000000" w:rsidRDefault="00DB5205">
      <w:pPr>
        <w:tabs>
          <w:tab w:val="left" w:pos="709"/>
          <w:tab w:val="left" w:pos="7371"/>
          <w:tab w:val="left" w:pos="9356"/>
          <w:tab w:val="left" w:pos="95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Gasting D., Garba I. H., Adoga G. I. // Ind. J. of Clin. Biochem. - 2006. - 21, №2. - Р.42-48</w:t>
      </w:r>
    </w:p>
    <w:p w14:paraId="0ECB2CE9" w14:textId="77777777" w:rsidR="00000000" w:rsidRDefault="00DB5205">
      <w:pPr>
        <w:tabs>
          <w:tab w:val="left" w:pos="709"/>
          <w:tab w:val="left" w:pos="7371"/>
          <w:tab w:val="left" w:pos="9356"/>
          <w:tab w:val="left" w:pos="95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Guseppe D, Amiko L.Tubulointerstitium as prediktor of progression of Glomerular Diseases/ D Guseppe, L .Amiko Nefron.-1999. - P. 289-295.</w:t>
      </w:r>
    </w:p>
    <w:p w14:paraId="23869507" w14:textId="77777777" w:rsidR="00000000" w:rsidRDefault="00DB5205">
      <w:pPr>
        <w:tabs>
          <w:tab w:val="left" w:pos="709"/>
          <w:tab w:val="left" w:pos="7371"/>
          <w:tab w:val="left" w:pos="9356"/>
          <w:tab w:val="left" w:pos="957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Eknoyan </w:t>
      </w:r>
      <w:r>
        <w:rPr>
          <w:sz w:val="28"/>
          <w:szCs w:val="28"/>
          <w:lang w:val="uk-UA"/>
        </w:rPr>
        <w:t>G. // Nefrolog. -2011. - 31, №4. - Р. 397- 403.</w:t>
      </w:r>
    </w:p>
    <w:p w14:paraId="7D0FF1B9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 Hostetter T. H. Progression of renal disease and renal hypertrophy.  &lt;http://www.ncbi.nlm.nih.gov/pubmed/7778868&gt; // Annu. Rev. Physiol. -1995. - Р. 263-278.</w:t>
      </w:r>
    </w:p>
    <w:p w14:paraId="67B951A6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Kawai Y., Taniuchi S., Okahara S., Nakamura </w:t>
      </w:r>
      <w:r>
        <w:rPr>
          <w:sz w:val="28"/>
          <w:szCs w:val="28"/>
          <w:lang w:val="uk-UA"/>
        </w:rPr>
        <w:t>M. et al. // Biol. Pharm. Bull.- 2005. - Р. 32-46.</w:t>
      </w:r>
    </w:p>
    <w:p w14:paraId="4B7E287E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Lisowska-Myjak B. // Blood Purif. -2010. -29. -Р. 357-365.</w:t>
      </w:r>
    </w:p>
    <w:p w14:paraId="41E445C9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Levi J., Jacobs C., Kalman S. M., McTigue M. et al. // The J. of Pharmacol. And Experem ental Therap. - 1980. - 213, №3 - P. 545-550.</w:t>
      </w:r>
    </w:p>
    <w:p w14:paraId="6D560BF4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Loh A.</w:t>
      </w:r>
      <w:r>
        <w:rPr>
          <w:sz w:val="28"/>
          <w:szCs w:val="28"/>
          <w:lang w:val="uk-UA"/>
        </w:rPr>
        <w:t xml:space="preserve"> H. L., Cohen A. H. // Ann. Acad. of Med. - 2009. -38. - Р. 240-250.</w:t>
      </w:r>
    </w:p>
    <w:p w14:paraId="19158AFA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Pal S., Sadhu A. S., Patra S., Mukherjea K. // J. of Exp. &amp; Clin. Canc. Res. - 2008.- Р. 27-32.</w:t>
      </w:r>
    </w:p>
    <w:p w14:paraId="6A814BB2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Pather L. // Pediatr. Nephrol. - 2007.- Р.121-124.</w:t>
      </w:r>
    </w:p>
    <w:p w14:paraId="7D41D250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Raab W. P. // Clin. Chem.-1972. - </w:t>
      </w:r>
      <w:r>
        <w:rPr>
          <w:sz w:val="28"/>
          <w:szCs w:val="28"/>
          <w:lang w:val="uk-UA"/>
        </w:rPr>
        <w:t>Р. 5-25.</w:t>
      </w:r>
    </w:p>
    <w:p w14:paraId="612E416B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Roncal C. A., Mu W., Croker B., Reungjui S. et al. // Am. J. Physiol. Ren. Physiol. -2007. -292. - Р.116-122.</w:t>
      </w:r>
    </w:p>
    <w:p w14:paraId="4690978A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Sheikh-Hamad D. // Am. J. Physiol. Renal Physiol. - 2008. - 295. - P.42 - 43.</w:t>
      </w:r>
    </w:p>
    <w:p w14:paraId="341251AA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Sirwal I. A., Banday K. A., Reshi A. R., Bhat M. A. e</w:t>
      </w:r>
      <w:r>
        <w:rPr>
          <w:sz w:val="28"/>
          <w:szCs w:val="28"/>
          <w:lang w:val="uk-UA"/>
        </w:rPr>
        <w:t>t al. // J. K. Scien. -2004. Р. 32-44.</w:t>
      </w:r>
    </w:p>
    <w:p w14:paraId="3DD3BA01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Sheikh-Hamad D. // Am. J. Physiol. Renal Physiol. - 2008. -295. - P.42 -43.</w:t>
      </w:r>
    </w:p>
    <w:p w14:paraId="7E938AA2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Schnellmann R. G. // J. Tox. Environ. Health. -1998. - №1. - Р. 81-90.</w:t>
      </w:r>
    </w:p>
    <w:p w14:paraId="7D3A539F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Shtemenko N. I. // Chem. &amp; Biodiv. - 2008. - №5. - P.1660-1667.</w:t>
      </w:r>
    </w:p>
    <w:p w14:paraId="41A6F4D2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.Tate S. S., Grau E. M., Meister A. // Proc. Natl. Acad. Sci. -1979. -76, №6. - Р. 2715 - 2719.</w:t>
      </w:r>
    </w:p>
    <w:p w14:paraId="3D0AF215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.Tejani A. Relapsing nephrotic syndrome/ A. Tejani Nephron. - 1997. - Vol. 45. № 2. - P.81-85.</w:t>
      </w:r>
    </w:p>
    <w:p w14:paraId="67F5E8A4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.Townsend D. M., Deng M., Zhang L., Lapus M. G. et al. // J. Am. </w:t>
      </w:r>
      <w:r>
        <w:rPr>
          <w:sz w:val="28"/>
          <w:szCs w:val="28"/>
          <w:lang w:val="uk-UA"/>
        </w:rPr>
        <w:t>Soc. Nephrol. - 2003. -14. - Р.1-10.</w:t>
      </w:r>
    </w:p>
    <w:p w14:paraId="5FEAD3B0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Teller J. K., Fahien L. A., Davis J. W. // J. Biol. Chem. -1992. - 267, №15. - P.10423-10432.</w:t>
      </w:r>
    </w:p>
    <w:p w14:paraId="4EC7E74B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.Vaidya V. S., Ramirez V., Ichimura T., Bobadilla N. A. et al. // Am. J. Physiol Renal Physiol. -2006. -290, №1.- Р.517-529</w:t>
      </w:r>
      <w:r>
        <w:rPr>
          <w:sz w:val="28"/>
          <w:szCs w:val="28"/>
          <w:lang w:val="uk-UA"/>
        </w:rPr>
        <w:t>.</w:t>
      </w:r>
    </w:p>
    <w:p w14:paraId="660118B6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.Yasuno K., Ishihara S., Saito R., Ishikawa M. et al. // J. Vet. Med. Sci. -2010. - 72, №10. - Р. 319-1327.</w:t>
      </w:r>
    </w:p>
    <w:p w14:paraId="531DF09B" w14:textId="77777777" w:rsidR="00000000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Ze-Jun Lie, Wei-cong Peng, Xin Yang et al. // J. of Chromatog. - 2003. -793. - P.405-412.</w:t>
      </w:r>
    </w:p>
    <w:p w14:paraId="3EA45921" w14:textId="77777777" w:rsidR="00DB5205" w:rsidRDefault="00DB52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Zafar M., Naqvi N. Altered kidney morphology and enzymes in streptozotocin-induced diabetic rats.// Int. J. Morphol. -2010.- 28, №1. - Р.135-142.</w:t>
      </w:r>
    </w:p>
    <w:sectPr w:rsidR="00DB52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5A"/>
    <w:rsid w:val="00DB5205"/>
    <w:rsid w:val="00F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35CAF"/>
  <w14:defaultImageDpi w14:val="0"/>
  <w15:docId w15:val="{7C60DF02-826D-4CAE-8CCD-82A3E3A2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10980</Words>
  <Characters>62591</Characters>
  <Application>Microsoft Office Word</Application>
  <DocSecurity>0</DocSecurity>
  <Lines>521</Lines>
  <Paragraphs>146</Paragraphs>
  <ScaleCrop>false</ScaleCrop>
  <Company/>
  <LinksUpToDate>false</LinksUpToDate>
  <CharactersWithSpaces>73425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2025-01-12T06:58:00Z</dcterms:created>
  <dcterms:modified xsi:type="dcterms:W3CDTF">2025-01-12T06:58:00Z</dcterms:modified>
</cp:coreProperties>
</file>