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2691" w14:textId="77777777" w:rsidR="00000000" w:rsidRDefault="005B1A78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Паспортная часть</w:t>
      </w:r>
    </w:p>
    <w:p w14:paraId="3D864631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633FA482" w14:textId="77777777" w:rsidR="00000000" w:rsidRDefault="005B1A78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ФИО: К.С.С.</w:t>
      </w:r>
    </w:p>
    <w:p w14:paraId="1B96FFD9" w14:textId="77777777" w:rsidR="00000000" w:rsidRDefault="005B1A78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Возраст: 30 лет (1984)</w:t>
      </w:r>
    </w:p>
    <w:p w14:paraId="0AE1DB8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Образование: -</w:t>
      </w:r>
    </w:p>
    <w:p w14:paraId="15AFD6F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Место работы: -</w:t>
      </w:r>
    </w:p>
    <w:p w14:paraId="15D74E9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Профессия: -</w:t>
      </w:r>
    </w:p>
    <w:p w14:paraId="7FEE2CB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Должность: -</w:t>
      </w:r>
    </w:p>
    <w:p w14:paraId="6F37A94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Домашний адрес, телефон: г. Рязань</w:t>
      </w:r>
    </w:p>
    <w:p w14:paraId="4566CA0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Дата и время поступления в стационар: 8.10.14 г. в 10 ч. 00 мин.</w:t>
      </w:r>
    </w:p>
    <w:p w14:paraId="1360A33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D63464E" w14:textId="77777777" w:rsidR="00000000" w:rsidRDefault="005B1A78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648D14C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1363B6B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осмотра </w:t>
      </w:r>
      <w:r>
        <w:rPr>
          <w:sz w:val="28"/>
          <w:szCs w:val="28"/>
        </w:rPr>
        <w:t>больного он предъявлял жалобы на покраснение глазного яблока, снижение остроты зрения в левом глазу.</w:t>
      </w:r>
    </w:p>
    <w:p w14:paraId="7364834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20E53D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>)</w:t>
      </w:r>
    </w:p>
    <w:p w14:paraId="2AB2B5A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24F0503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.04.14 г. обратился в поликлинику по месту жительства с жалобами на покраснение глазного яблока и сниже</w:t>
      </w:r>
      <w:r>
        <w:rPr>
          <w:sz w:val="28"/>
          <w:szCs w:val="28"/>
        </w:rPr>
        <w:t xml:space="preserve">ние остроты зрения левого глаза. Было назначено амбулаторное лечение, которое в последствие оказалось неэффективным. 4.10.14 г. состояние больного ухудшилось, появились боли в левом глазу. Мотивами настоящей госпитализации стало ухудшение течения болезни. </w:t>
      </w:r>
      <w:r>
        <w:rPr>
          <w:sz w:val="28"/>
          <w:szCs w:val="28"/>
        </w:rPr>
        <w:t>8.10.14 г. больной был госпитализирован в 3-е офтальмологическое отделение ГБУ РО «КБ им. Н. А. Семашко» с жалобами на покраснение глазного яблока, боль, снижение остроты зрения в левом глазу, слезотечение, светобоязнь. Своё состояние больной связывает с р</w:t>
      </w:r>
      <w:r>
        <w:rPr>
          <w:sz w:val="28"/>
          <w:szCs w:val="28"/>
        </w:rPr>
        <w:t xml:space="preserve">анее перенесённым заболеванием. Летом 2013 г. больной был госпитализирован в </w:t>
      </w:r>
      <w:r>
        <w:rPr>
          <w:sz w:val="28"/>
          <w:szCs w:val="28"/>
        </w:rPr>
        <w:lastRenderedPageBreak/>
        <w:t>офтальмологическое отделение ГБУ РО «КБ им. Н. А. Семашко», где проходил лечение по поводу диагноза - острый иридоциклит левого глаза.</w:t>
      </w:r>
    </w:p>
    <w:p w14:paraId="32431C5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жизни больного ( 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  <w:r>
        <w:rPr>
          <w:sz w:val="28"/>
          <w:szCs w:val="28"/>
        </w:rPr>
        <w:t xml:space="preserve"> )</w:t>
      </w:r>
    </w:p>
    <w:p w14:paraId="53A1EEF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06598BF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Рязанской обл., в г. Рязань, г.. В психическом и физическом развитии от своих сверстников не отставал.</w:t>
      </w:r>
    </w:p>
    <w:p w14:paraId="345C585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Проживает в собственной квартире со всеми коммунальными удобствами. Жилищные условия удовлетворительные.</w:t>
      </w:r>
    </w:p>
    <w:p w14:paraId="55B56C2D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Курение табака, употребление спиртных </w:t>
      </w:r>
      <w:r>
        <w:rPr>
          <w:sz w:val="28"/>
          <w:szCs w:val="28"/>
        </w:rPr>
        <w:t>напитков, наркоманию и токсикоманию отрицает.</w:t>
      </w:r>
    </w:p>
    <w:p w14:paraId="2C03D62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ОРЗ, ОРВИ. Выздоровление проходило успешно, без последствий. Перенесённые операции, травмы, контузии и ушибы отрицает.</w:t>
      </w:r>
    </w:p>
    <w:p w14:paraId="2A3AC3C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 с инфекционными больными за последний месяц отрицает.</w:t>
      </w:r>
    </w:p>
    <w:p w14:paraId="2B7457B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>
        <w:rPr>
          <w:sz w:val="28"/>
          <w:szCs w:val="28"/>
        </w:rPr>
        <w:t>лергологический и семейный анамнез не отягощён.</w:t>
      </w:r>
    </w:p>
    <w:p w14:paraId="295605D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6429B97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состояние больного (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</w:rPr>
        <w:t>)</w:t>
      </w:r>
    </w:p>
    <w:p w14:paraId="2FBD710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11A544F4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состояние: удовлетворительное;</w:t>
      </w:r>
    </w:p>
    <w:p w14:paraId="0C52F559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больного: активное;</w:t>
      </w:r>
    </w:p>
    <w:p w14:paraId="659B0D5A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Сознание: ясное;</w:t>
      </w:r>
    </w:p>
    <w:p w14:paraId="085C347A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Лицо: выражение спокойное;</w:t>
      </w:r>
    </w:p>
    <w:p w14:paraId="5455ECAF" w14:textId="77777777" w:rsidR="00000000" w:rsidRDefault="005B1A7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Телосложение: пропорциональное, рост 182 см., ве</w:t>
      </w:r>
      <w:r>
        <w:rPr>
          <w:sz w:val="28"/>
          <w:szCs w:val="28"/>
        </w:rPr>
        <w:t>с 85 кг., походка ровная;</w:t>
      </w:r>
    </w:p>
    <w:p w14:paraId="7F65D089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Конституция: нормостеник;</w:t>
      </w:r>
    </w:p>
    <w:p w14:paraId="7FFE053C" w14:textId="77777777" w:rsidR="00000000" w:rsidRDefault="005B1A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на момент курации: 36,7°С</w:t>
      </w:r>
    </w:p>
    <w:p w14:paraId="4F1BDD8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органов дыхания, кровообращения, пищеварения, мочевыделения, эндокринная и нервная система без патологии. Терапевтически </w:t>
      </w:r>
      <w:r>
        <w:rPr>
          <w:sz w:val="28"/>
          <w:szCs w:val="28"/>
        </w:rPr>
        <w:lastRenderedPageBreak/>
        <w:t>здоров.</w:t>
      </w:r>
    </w:p>
    <w:p w14:paraId="7B0EABA7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CDC3288" w14:textId="77777777" w:rsidR="00000000" w:rsidRDefault="005B1A78">
      <w:pPr>
        <w:rPr>
          <w:sz w:val="28"/>
          <w:szCs w:val="28"/>
        </w:rPr>
      </w:pPr>
      <w:r>
        <w:rPr>
          <w:sz w:val="20"/>
          <w:szCs w:val="20"/>
        </w:rPr>
        <w:br w:type="page"/>
      </w:r>
    </w:p>
    <w:p w14:paraId="268B77D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органа зрен</w:t>
      </w:r>
      <w:r>
        <w:rPr>
          <w:sz w:val="28"/>
          <w:szCs w:val="28"/>
        </w:rPr>
        <w:t>ия</w:t>
      </w:r>
    </w:p>
    <w:p w14:paraId="4F80D38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1C41031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OD</w:t>
      </w:r>
      <w:r>
        <w:rPr>
          <w:sz w:val="28"/>
          <w:szCs w:val="28"/>
        </w:rPr>
        <w:t xml:space="preserve"> = 1,0</w:t>
      </w:r>
    </w:p>
    <w:p w14:paraId="05208A0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 = 0,7 , не корригируется.</w:t>
      </w:r>
    </w:p>
    <w:p w14:paraId="4C5B43D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64469C7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Правый глаз</w:t>
      </w:r>
    </w:p>
    <w:p w14:paraId="03EE849D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06231A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Веки: Ширина глазной щели 13 мм, правильной формы - миндалевидная; положения век правильное; кожа век нормальной окраски; край век не изменён, шириной 2 мм; изгиб плавный; правильный рост ресн</w:t>
      </w:r>
      <w:r>
        <w:rPr>
          <w:sz w:val="28"/>
          <w:szCs w:val="28"/>
        </w:rPr>
        <w:t>иц.</w:t>
      </w:r>
    </w:p>
    <w:p w14:paraId="0217E3D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Слёзные органы: Слёзная железа безболезненна, подвижна; кожа над областью её проекции без изменений. Слёзные точки без изменений. При надавливании на область проекции слёзного мешка гнойного отделяемого из слёзных точек нет.</w:t>
      </w:r>
    </w:p>
    <w:p w14:paraId="698C282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Конъюнктива век и глазного </w:t>
      </w:r>
      <w:r>
        <w:rPr>
          <w:sz w:val="28"/>
          <w:szCs w:val="28"/>
        </w:rPr>
        <w:t>яблока: Бледно- розового цвета, гладкая, прозрачная, отделяемое отсутствует.</w:t>
      </w:r>
    </w:p>
    <w:p w14:paraId="40ECA4AD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Глазное яблоко: Величина 24 мм, шаровидной формы; положение в орбите правильное; активные движения в полном объёме, безболезненные; отсутствие инъекций сосудов.</w:t>
      </w:r>
    </w:p>
    <w:p w14:paraId="5176692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Склера: Белого цв</w:t>
      </w:r>
      <w:r>
        <w:rPr>
          <w:sz w:val="28"/>
          <w:szCs w:val="28"/>
        </w:rPr>
        <w:t>ета, поверхность гладкая, локальная инфильтрация отсутствует, болезненности при дотрагивании нет.</w:t>
      </w:r>
    </w:p>
    <w:p w14:paraId="46ACAAA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Роговая оболочка: Сферичной формы, горизонтальный размер 12 мм, вертикальный диаметр 11мм, прозрачная, гладкая, влажная, блестящая; чувствительность - нормаль</w:t>
      </w:r>
      <w:r>
        <w:rPr>
          <w:sz w:val="28"/>
          <w:szCs w:val="28"/>
        </w:rPr>
        <w:t>ная; отсутствие сосудов, помутнений и инфильтратов.</w:t>
      </w:r>
    </w:p>
    <w:p w14:paraId="691B85F5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Передняя камера: Глубина в области зрачка 3,5мм, влага передней камеры прозрачна.</w:t>
      </w:r>
    </w:p>
    <w:p w14:paraId="5FEEF82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Радужная оболочка: Серого цвета, рисунок чёткий, состояние зрачка: диаметр 3,5мм, правильной округлой формы, чёрного цвета</w:t>
      </w:r>
      <w:r>
        <w:rPr>
          <w:sz w:val="28"/>
          <w:szCs w:val="28"/>
        </w:rPr>
        <w:t>. Прямая, содружественная реакция на свет и реакция на конвергенцию- живая. Симптом дрожания отрицательный.</w:t>
      </w:r>
    </w:p>
    <w:p w14:paraId="6DB3869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Цилиарное тело: Пальпация в области проекции цилиарного тела безболезненна.</w:t>
      </w:r>
    </w:p>
    <w:p w14:paraId="1B3F9AE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Хрусталик: Правильное положение, прозрачный.</w:t>
      </w:r>
    </w:p>
    <w:p w14:paraId="7225C151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Стекловидное тело: Прозрачн</w:t>
      </w:r>
      <w:r>
        <w:rPr>
          <w:sz w:val="28"/>
          <w:szCs w:val="28"/>
        </w:rPr>
        <w:t>ое, без помутнений.</w:t>
      </w:r>
    </w:p>
    <w:p w14:paraId="2D762BE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 с глазного дна: Розовый.</w:t>
      </w:r>
    </w:p>
    <w:p w14:paraId="297DF62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 зрения:</w:t>
      </w:r>
    </w:p>
    <w:p w14:paraId="6058544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Внутриглазное давление: </w:t>
      </w:r>
      <w:r>
        <w:rPr>
          <w:sz w:val="28"/>
          <w:szCs w:val="28"/>
          <w:lang w:val="en-US"/>
        </w:rPr>
        <w:t>Tn</w:t>
      </w:r>
      <w:r>
        <w:rPr>
          <w:sz w:val="28"/>
          <w:szCs w:val="28"/>
        </w:rPr>
        <w:t xml:space="preserve"> (в норме), 22 мм. рт. ст.</w:t>
      </w:r>
    </w:p>
    <w:p w14:paraId="37A7525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290F705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Левый глаз</w:t>
      </w:r>
    </w:p>
    <w:p w14:paraId="50554FB5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3DFC2F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Веки: Ширина глазной щели 11 мм, правильной формы - миндалевидная; положения век правильное; кожа верхнего века гиперемирова</w:t>
      </w:r>
      <w:r>
        <w:rPr>
          <w:sz w:val="28"/>
          <w:szCs w:val="28"/>
        </w:rPr>
        <w:t>на, имеется небольшая отёчность век; край века не изменён, шириной 2 мм; изгиб плавный; правильный рост ресниц.</w:t>
      </w:r>
    </w:p>
    <w:p w14:paraId="6A488E3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Слёзные органы: Слёзная железа безболезненна, подвижна; кожа над областью её проекции без изменений. Слёзные точки без изменений. При надавливан</w:t>
      </w:r>
      <w:r>
        <w:rPr>
          <w:sz w:val="28"/>
          <w:szCs w:val="28"/>
        </w:rPr>
        <w:t>ии на область проекции слёзного мешка гнойного отделяемого из слёзных точек нет.</w:t>
      </w:r>
    </w:p>
    <w:p w14:paraId="7C84F59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Конъюнктива век и глазного яблока: Гиперемирована - красно- розового цвета, гладкая, прозрачная, отделяемое отсутствует.</w:t>
      </w:r>
    </w:p>
    <w:p w14:paraId="13CEE71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Глазное яблоко: Величина 24 мм, шаровидной формы; поло</w:t>
      </w:r>
      <w:r>
        <w:rPr>
          <w:sz w:val="28"/>
          <w:szCs w:val="28"/>
        </w:rPr>
        <w:t>жение в орбите правильное; активные движения в полном объёме, безболезненные; смешанная инъекция сосудов.</w:t>
      </w:r>
    </w:p>
    <w:p w14:paraId="0383540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Склера: Гиперемирована - красно-розового цвета, поверхность гладкая, </w:t>
      </w:r>
      <w:r>
        <w:rPr>
          <w:sz w:val="28"/>
          <w:szCs w:val="28"/>
        </w:rPr>
        <w:lastRenderedPageBreak/>
        <w:t>локальная инфильтрация отсутствует, болезненности при дотрагивании нет.</w:t>
      </w:r>
    </w:p>
    <w:p w14:paraId="603AD2F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Роговая о</w:t>
      </w:r>
      <w:r>
        <w:rPr>
          <w:sz w:val="28"/>
          <w:szCs w:val="28"/>
        </w:rPr>
        <w:t xml:space="preserve">болочка: Сферичной формы, горизонтальный размер 12 мм, вертикальный диаметр 11мм, прозрачная, гладкая, влажная, блестящая; чувствительность - нормальная; отсутствие сосудов, помутнений. Имеются преципитаты различной величины в форме треугольника на задней </w:t>
      </w:r>
      <w:r>
        <w:rPr>
          <w:sz w:val="28"/>
          <w:szCs w:val="28"/>
        </w:rPr>
        <w:t>поверхности роговицы.</w:t>
      </w:r>
    </w:p>
    <w:p w14:paraId="4BBBA8A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Передняя камера: Глубина в области зрачка 3,5мм, влага передней камеры непрозрачная, имеется гипопион .</w:t>
      </w:r>
    </w:p>
    <w:p w14:paraId="794178C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Радужная оболочка: Серо-зелёного цвета, рисунок нечёткий - стушёванный, состояние зрачка: диаметр 5мм (расширен мидриатиками), пра</w:t>
      </w:r>
      <w:r>
        <w:rPr>
          <w:sz w:val="28"/>
          <w:szCs w:val="28"/>
        </w:rPr>
        <w:t>вильной округлой формы, чёрного цвета. Прямая, содружественная реакция на свет и реакция на конвергенцию- живая. Симптом дрожания отрицательный.</w:t>
      </w:r>
    </w:p>
    <w:p w14:paraId="5FC3B5B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Цилиарное тело: Пальпация в области проекции цилиарного тела вызывает лёгкую болезненность.</w:t>
      </w:r>
    </w:p>
    <w:p w14:paraId="721F5A0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Хрусталик: Правильн</w:t>
      </w:r>
      <w:r>
        <w:rPr>
          <w:sz w:val="28"/>
          <w:szCs w:val="28"/>
        </w:rPr>
        <w:t>ое положение, прозрачный.</w:t>
      </w:r>
    </w:p>
    <w:p w14:paraId="37CE17B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Стекловидное тело: Непрозрачное, имеются помутнения.</w:t>
      </w:r>
    </w:p>
    <w:p w14:paraId="786F7DB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 с глазного дна: Розовый.</w:t>
      </w:r>
    </w:p>
    <w:p w14:paraId="68360FC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 зрения:</w:t>
      </w:r>
    </w:p>
    <w:p w14:paraId="7D08E1F1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Внутриглазное давление: </w:t>
      </w:r>
      <w:r>
        <w:rPr>
          <w:sz w:val="28"/>
          <w:szCs w:val="28"/>
          <w:lang w:val="en-US"/>
        </w:rPr>
        <w:t>Tn</w:t>
      </w:r>
      <w:r>
        <w:rPr>
          <w:sz w:val="28"/>
          <w:szCs w:val="28"/>
        </w:rPr>
        <w:t xml:space="preserve"> (в норме), 18 мм. рт. ст.</w:t>
      </w:r>
    </w:p>
    <w:p w14:paraId="58D0DCC6" w14:textId="77777777" w:rsidR="00000000" w:rsidRDefault="005B1A78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глаз слезотечение хронический орган</w:t>
      </w:r>
    </w:p>
    <w:p w14:paraId="5FB28C71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клинический диагноз</w:t>
      </w:r>
    </w:p>
    <w:p w14:paraId="5FC2B63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4BD492A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</w:t>
      </w:r>
      <w:r>
        <w:rPr>
          <w:sz w:val="28"/>
          <w:szCs w:val="28"/>
        </w:rPr>
        <w:t>новной диагноз: Иридоциклит левого глаза.</w:t>
      </w:r>
    </w:p>
    <w:p w14:paraId="3509E4A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Осложнения основного заболевания: -</w:t>
      </w:r>
    </w:p>
    <w:p w14:paraId="5794F2E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Сопутствующие заболевания:-</w:t>
      </w:r>
    </w:p>
    <w:p w14:paraId="0836FF15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40E46B7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</w:t>
      </w:r>
    </w:p>
    <w:p w14:paraId="15FBC63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6EF195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Обязательные исследования:</w:t>
      </w:r>
    </w:p>
    <w:p w14:paraId="4DAC331D" w14:textId="77777777" w:rsidR="00000000" w:rsidRDefault="005B1A78">
      <w:pPr>
        <w:tabs>
          <w:tab w:val="left" w:pos="9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</w:t>
      </w:r>
    </w:p>
    <w:p w14:paraId="6231B9F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Определение группы крови и резус-фактора</w:t>
      </w:r>
    </w:p>
    <w:p w14:paraId="28B8688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реакции Ва</w:t>
      </w:r>
      <w:r>
        <w:rPr>
          <w:sz w:val="28"/>
          <w:szCs w:val="28"/>
        </w:rPr>
        <w:t>ссермана (сифилис)</w:t>
      </w:r>
    </w:p>
    <w:p w14:paraId="458E486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Кровь на ИФА (СПИД)</w:t>
      </w:r>
    </w:p>
    <w:p w14:paraId="7E7B5C18" w14:textId="77777777" w:rsidR="00000000" w:rsidRDefault="005B1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Общий анализ мочи</w:t>
      </w:r>
    </w:p>
    <w:p w14:paraId="5D89010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Биохимический анализ крови (АЛТ, АСТ, холестерин, билирубин, креатинин, глюкоза, мочевину, протромбин, триглецириды, бета-липопротеиды)</w:t>
      </w:r>
    </w:p>
    <w:p w14:paraId="6BF92A3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 на яйца глистов и лямблии</w:t>
      </w:r>
    </w:p>
    <w:p w14:paraId="50D503B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Электрокардиография (</w:t>
      </w:r>
      <w:r>
        <w:rPr>
          <w:sz w:val="28"/>
          <w:szCs w:val="28"/>
        </w:rPr>
        <w:t>ЭКГ)</w:t>
      </w:r>
    </w:p>
    <w:p w14:paraId="16FCD3B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Флюорография (ФЛГ)</w:t>
      </w:r>
    </w:p>
    <w:p w14:paraId="7C52981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Кровь на глюкозу</w:t>
      </w:r>
    </w:p>
    <w:p w14:paraId="07A2E78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Офтальмоскопия</w:t>
      </w:r>
    </w:p>
    <w:p w14:paraId="0F981EA7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Биомикроскопия</w:t>
      </w:r>
    </w:p>
    <w:p w14:paraId="59DC9787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остроты зрения, границ поля зрения.</w:t>
      </w:r>
    </w:p>
    <w:p w14:paraId="7EADEBFB" w14:textId="77777777" w:rsidR="00000000" w:rsidRDefault="005B1A78">
      <w:pPr>
        <w:tabs>
          <w:tab w:val="left" w:pos="9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Измерение внутриглазного давления</w:t>
      </w:r>
    </w:p>
    <w:p w14:paraId="7143097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исследования:</w:t>
      </w:r>
    </w:p>
    <w:p w14:paraId="33D03D2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Рентгенография слёзных органов</w:t>
      </w:r>
    </w:p>
    <w:p w14:paraId="56C6F04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крови на б</w:t>
      </w:r>
      <w:r>
        <w:rPr>
          <w:sz w:val="28"/>
          <w:szCs w:val="28"/>
        </w:rPr>
        <w:t>руцеллёз, токсоплазмоз, ревматизм</w:t>
      </w:r>
    </w:p>
    <w:p w14:paraId="28FD08AC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фтизиатра</w:t>
      </w:r>
    </w:p>
    <w:p w14:paraId="0E427465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ревматолога</w:t>
      </w:r>
    </w:p>
    <w:p w14:paraId="26780C3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рентгенолога</w:t>
      </w:r>
    </w:p>
    <w:p w14:paraId="6679D62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отоларинголога</w:t>
      </w:r>
    </w:p>
    <w:p w14:paraId="6B186748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стоматолога</w:t>
      </w:r>
    </w:p>
    <w:p w14:paraId="223F374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терапевта</w:t>
      </w:r>
    </w:p>
    <w:p w14:paraId="6E3998C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невропатолога</w:t>
      </w:r>
    </w:p>
    <w:p w14:paraId="32A7FF2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Консультация венеролога</w:t>
      </w:r>
    </w:p>
    <w:p w14:paraId="71F3B58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2D89129B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</w:t>
      </w:r>
      <w:r>
        <w:rPr>
          <w:sz w:val="28"/>
          <w:szCs w:val="28"/>
        </w:rPr>
        <w:t>еренциальный диагноз</w:t>
      </w:r>
    </w:p>
    <w:p w14:paraId="7E9B8E4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30AD84E5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Дифференциальную диагностику иридоциклита необходимо проводить с кератитом и конъюнктивитом.</w:t>
      </w:r>
    </w:p>
    <w:p w14:paraId="0BD0160B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иридоциклитах возникает симптомокомплекс с ломящими болями в глазу, покраснением глазного яблока, слезотечением, светобоязнью, блефароспа</w:t>
      </w:r>
      <w:r>
        <w:rPr>
          <w:sz w:val="28"/>
          <w:szCs w:val="28"/>
        </w:rPr>
        <w:t>змом. Снижается острота зрения. Веки отёчны и гиперемированы, особенно верхнее. На глазном яблоке выражена перикорнеальная или смешанная инъекция. Кардинальным симптомом воспаления радужки является стушёванность её рисунка и изменение цвета, миоз. Влага пе</w:t>
      </w:r>
      <w:r>
        <w:rPr>
          <w:sz w:val="28"/>
          <w:szCs w:val="28"/>
        </w:rPr>
        <w:t>редней камеры мутная. Может образоваться гипопион и гифема. Выявляется цилиарная болезненность в области проекции ресничного тела. Возможно образование синехий и бомбаж радужки. ВГД чаще всего понижено. Появляются преципитаты на задней поверхности роговицы</w:t>
      </w:r>
      <w:r>
        <w:rPr>
          <w:sz w:val="28"/>
          <w:szCs w:val="28"/>
        </w:rPr>
        <w:t xml:space="preserve"> и помутнение в стекловидном теле.</w:t>
      </w:r>
    </w:p>
    <w:p w14:paraId="48EA571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кератитах основными симптомами являются: корнеальный синдром (светобоязнь, слезотечение, ощущение инородного тела в глазу), перикорнеальная инъекция, возникает помутнение роговицы из-за инфильтрата, Также появляется и</w:t>
      </w:r>
      <w:r>
        <w:rPr>
          <w:sz w:val="28"/>
          <w:szCs w:val="28"/>
        </w:rPr>
        <w:t>скажение зеркально-гладкой поверхности, из-за неровностей (отёка), эрозии или изъязвления роговицы. Не исключено снижение чувствительность роговицы (ослабление или отсутствие корнеального рефлекса), возможна её васкуляризация, а также образование гипопиона</w:t>
      </w:r>
      <w:r>
        <w:rPr>
          <w:sz w:val="28"/>
          <w:szCs w:val="28"/>
        </w:rPr>
        <w:t xml:space="preserve"> в передней камере глаза.</w:t>
      </w:r>
    </w:p>
    <w:p w14:paraId="611C2F46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симптомами при конъюнктивитах различной этиологии являются: отёк век, гиперемия и отёк конъюнктивы, светобоязнь, слезотечение, покраснение глазного яблока. Также возможны симптомы жжения и зуда, ощущение инородного тела в г</w:t>
      </w:r>
      <w:r>
        <w:rPr>
          <w:sz w:val="28"/>
          <w:szCs w:val="28"/>
        </w:rPr>
        <w:t xml:space="preserve">лазу. Может выделяться слизистое или слизисто-гнойное отделяемое из глаза, могут образовываться сосочки и </w:t>
      </w:r>
      <w:r>
        <w:rPr>
          <w:sz w:val="28"/>
          <w:szCs w:val="28"/>
        </w:rPr>
        <w:lastRenderedPageBreak/>
        <w:t>фолликулы на конъюнктиве.</w:t>
      </w:r>
    </w:p>
    <w:p w14:paraId="114E7E6D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0B54E7F4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диагноза</w:t>
      </w:r>
    </w:p>
    <w:p w14:paraId="535332A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39CA7D7E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установлен на основании:</w:t>
      </w:r>
    </w:p>
    <w:p w14:paraId="283D224B" w14:textId="77777777" w:rsidR="00000000" w:rsidRDefault="005B1A7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Жалоб больного: покраснение глазного яблока, снижение остроты зре</w:t>
      </w:r>
      <w:r>
        <w:rPr>
          <w:sz w:val="28"/>
          <w:szCs w:val="28"/>
        </w:rPr>
        <w:t>ния и боль в левом глазу; слезотечение, светобоязнь.</w:t>
      </w:r>
    </w:p>
    <w:p w14:paraId="4C5950B7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Данных истории настоящего заболевания: летом 2013 г. больной был госпитализирован в офтальмологическое отделение ГБУ РО «КБ им. Н. А. Семашко», где проходил лечение по поводу диагноза - острый иридоц</w:t>
      </w:r>
      <w:r>
        <w:rPr>
          <w:sz w:val="28"/>
          <w:szCs w:val="28"/>
        </w:rPr>
        <w:t>иклит левого глаза.</w:t>
      </w:r>
    </w:p>
    <w:p w14:paraId="197A6289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Данных объективного исследования: Исследование остроты центрального зрения: снижение остроты зрения в левом глазу ( </w:t>
      </w:r>
      <w:r>
        <w:rPr>
          <w:sz w:val="28"/>
          <w:szCs w:val="28"/>
          <w:lang w:val="en-US"/>
        </w:rPr>
        <w:t>VIS</w:t>
      </w:r>
      <w:r>
        <w:rPr>
          <w:sz w:val="28"/>
          <w:szCs w:val="28"/>
        </w:rPr>
        <w:t xml:space="preserve"> = 0,7 - не коррегируется); Наружный осмотр глаза: покраснение глазного яблока, слезотечение и светобоязнь; Метод б</w:t>
      </w:r>
      <w:r>
        <w:rPr>
          <w:sz w:val="28"/>
          <w:szCs w:val="28"/>
        </w:rPr>
        <w:t>окового освещения: смешанная инъекция глазного яблока, наличие преципитатов на задней поверхности роговицы, помутнение влаги передней камеры, наличие гипопиона, серо-зелёный цвет радужки и стушёванность её рисунка, зрачок до применения мидриатиков был суже</w:t>
      </w:r>
      <w:r>
        <w:rPr>
          <w:sz w:val="28"/>
          <w:szCs w:val="28"/>
        </w:rPr>
        <w:t>н (миоз); При пальпации глазного яблока в области проекции цилиарного тела имеется лёгкая цилиарная болезненность, внутриглазное давление в пределах нормы.</w:t>
      </w:r>
    </w:p>
    <w:p w14:paraId="0722E46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60A0496F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клинический диагноз</w:t>
      </w:r>
    </w:p>
    <w:p w14:paraId="002E0C4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0198E6CB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Основной диагноз: Обострение хронического иридоциклита левого </w:t>
      </w:r>
      <w:r>
        <w:rPr>
          <w:sz w:val="28"/>
          <w:szCs w:val="28"/>
        </w:rPr>
        <w:t>глаза</w:t>
      </w:r>
    </w:p>
    <w:p w14:paraId="61DAB0AB" w14:textId="77777777" w:rsidR="00000000" w:rsidRDefault="005B1A7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Осложнения основного заболевания:-</w:t>
      </w:r>
    </w:p>
    <w:p w14:paraId="1DB87DCE" w14:textId="77777777" w:rsidR="00000000" w:rsidRDefault="005B1A78">
      <w:pPr>
        <w:tabs>
          <w:tab w:val="left" w:pos="426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Сопутствующие заболевания:-</w:t>
      </w:r>
    </w:p>
    <w:p w14:paraId="49BF134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4253D45A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25064BB3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7D92E50B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Ung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Tetracyclini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ophthalmici</w:t>
      </w:r>
      <w:r>
        <w:rPr>
          <w:sz w:val="28"/>
          <w:szCs w:val="28"/>
        </w:rPr>
        <w:t xml:space="preserve"> 1%-10.0</w:t>
      </w:r>
    </w:p>
    <w:p w14:paraId="0769E118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Закладывать за нижнее веко 3 раза в день</w:t>
      </w:r>
    </w:p>
    <w:p w14:paraId="03ED0035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362DA45B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Dexametazoni</w:t>
      </w:r>
      <w:r>
        <w:rPr>
          <w:sz w:val="28"/>
          <w:szCs w:val="28"/>
        </w:rPr>
        <w:t xml:space="preserve"> - 0,1%-10 </w:t>
      </w:r>
      <w:r>
        <w:rPr>
          <w:sz w:val="28"/>
          <w:szCs w:val="28"/>
          <w:lang w:val="en-US"/>
        </w:rPr>
        <w:t>ml</w:t>
      </w:r>
    </w:p>
    <w:p w14:paraId="10070C41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Закапывать по 2 капли 4 раза в</w:t>
      </w:r>
      <w:r>
        <w:rPr>
          <w:sz w:val="28"/>
          <w:szCs w:val="28"/>
        </w:rPr>
        <w:t xml:space="preserve"> день в левый глаз</w:t>
      </w:r>
    </w:p>
    <w:p w14:paraId="796DE13E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0766FA3E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Ampioxi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0,5 № 30</w:t>
      </w:r>
    </w:p>
    <w:p w14:paraId="149AD399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Принимать внутрь по 1 таблетке 4 раза в день</w:t>
      </w:r>
    </w:p>
    <w:p w14:paraId="12B45B78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2C25B7A1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Tab.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Tavegil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№ 20</w:t>
      </w:r>
    </w:p>
    <w:p w14:paraId="3E025555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Принимать внутрь по 1 таблетке 2 раза в день (утром и вечером)</w:t>
      </w:r>
    </w:p>
    <w:p w14:paraId="7A908068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149B1084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Calcii gluconatis 0.5 № 50</w:t>
      </w:r>
    </w:p>
    <w:p w14:paraId="1BD55FD0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Принимать внутрь по 2 таблетки 3 раза в день перед едой</w:t>
      </w:r>
    </w:p>
    <w:p w14:paraId="63C96974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40DF7E80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Acidi ascorbinici 0.05 № 50</w:t>
      </w:r>
    </w:p>
    <w:p w14:paraId="5904DBE6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Принимать внутрь по1 таблетке 3 раза в день</w:t>
      </w:r>
    </w:p>
    <w:p w14:paraId="2A74F9DF" w14:textId="77777777" w:rsidR="00000000" w:rsidRDefault="005B1A78" w:rsidP="00DD4AE9">
      <w:pPr>
        <w:numPr>
          <w:ilvl w:val="12"/>
          <w:numId w:val="0"/>
        </w:num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#</w:t>
      </w:r>
    </w:p>
    <w:p w14:paraId="64A2A864" w14:textId="77777777" w:rsidR="00000000" w:rsidRDefault="005B1A78" w:rsidP="00DD4AE9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“ Decamevitum” № 20</w:t>
      </w:r>
    </w:p>
    <w:p w14:paraId="4F22F000" w14:textId="77777777" w:rsidR="00000000" w:rsidRDefault="005B1A78">
      <w:pPr>
        <w:tabs>
          <w:tab w:val="left" w:pos="360"/>
          <w:tab w:val="left" w:pos="810"/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Принимать по 1 таблетке 2 раза в день</w:t>
      </w:r>
    </w:p>
    <w:p w14:paraId="0A5E0A84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</w:p>
    <w:p w14:paraId="54C62D9D" w14:textId="77777777" w:rsidR="00000000" w:rsidRDefault="005B1A78">
      <w:pPr>
        <w:tabs>
          <w:tab w:val="left" w:pos="360"/>
          <w:tab w:val="left" w:pos="810"/>
          <w:tab w:val="left" w:pos="1418"/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Atropini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sulfatis</w:t>
      </w:r>
      <w:r>
        <w:rPr>
          <w:sz w:val="28"/>
          <w:szCs w:val="28"/>
        </w:rPr>
        <w:t xml:space="preserve"> 1% - 5 </w:t>
      </w:r>
      <w:r>
        <w:rPr>
          <w:sz w:val="28"/>
          <w:szCs w:val="28"/>
          <w:lang w:val="en-US"/>
        </w:rPr>
        <w:t>ml</w:t>
      </w:r>
    </w:p>
    <w:p w14:paraId="51D0BAB3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Закапывать по 2 капли 4 раза в день в левый глаз</w:t>
      </w:r>
    </w:p>
    <w:p w14:paraId="4F9736A0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</w:p>
    <w:p w14:paraId="77176A8B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Фибринолизин под конъюнктиву в дозе 400 ЕД;</w:t>
      </w:r>
    </w:p>
    <w:p w14:paraId="585F4F34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Инъекции под конъюнктиву антибиотиков с 0,5 мл дексазона.</w:t>
      </w:r>
    </w:p>
    <w:p w14:paraId="5B6E6FB5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Электрофорез с мидриатической смесью.</w:t>
      </w:r>
    </w:p>
    <w:p w14:paraId="36C04939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и внутримышечно - анти</w:t>
      </w:r>
      <w:r>
        <w:rPr>
          <w:sz w:val="28"/>
          <w:szCs w:val="28"/>
        </w:rPr>
        <w:t>биотики, внутрь НПВС (салицилаты, бутадион, индометацин) и сульфаниламиды.</w:t>
      </w:r>
    </w:p>
    <w:p w14:paraId="09C5DAB7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Сухое тепло (УВЧ терапия, парафиновые аппликации, тёплая повязка)</w:t>
      </w:r>
    </w:p>
    <w:p w14:paraId="06644B24" w14:textId="77777777" w:rsidR="00000000" w:rsidRDefault="005B1A78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A36172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14:paraId="26DE2330" w14:textId="77777777" w:rsidR="00000000" w:rsidRDefault="005B1A78">
      <w:pPr>
        <w:spacing w:line="360" w:lineRule="auto"/>
        <w:ind w:firstLine="709"/>
        <w:jc w:val="both"/>
        <w:rPr>
          <w:sz w:val="28"/>
          <w:szCs w:val="28"/>
        </w:rPr>
      </w:pPr>
    </w:p>
    <w:p w14:paraId="32F8BAEF" w14:textId="77777777" w:rsidR="005B1A78" w:rsidRDefault="005B1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правильном и своевременном лечении иридоциклита прогноз благоприятный, происходит полное или почти по</w:t>
      </w:r>
      <w:r>
        <w:rPr>
          <w:sz w:val="28"/>
          <w:szCs w:val="28"/>
        </w:rPr>
        <w:t>лное восстановление зрения. Однако при неэффективном лечении возможны осложнения (осложнённая катаракта, вторичная глаукома, сращение или заращение зрачка, лентовидная дегенерация роговицы, внутриглазная гипотензия, атрофия глазного яблока, экссудативная о</w:t>
      </w:r>
      <w:r>
        <w:rPr>
          <w:sz w:val="28"/>
          <w:szCs w:val="28"/>
        </w:rPr>
        <w:t>тслойка сетчатки и др.), которые могут привести к серьёзным нарушениям зрения, вплоть до слепоты.</w:t>
      </w:r>
    </w:p>
    <w:sectPr w:rsidR="005B1A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5E62"/>
    <w:multiLevelType w:val="singleLevel"/>
    <w:tmpl w:val="259661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E9"/>
    <w:rsid w:val="005B1A78"/>
    <w:rsid w:val="00D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7F856"/>
  <w14:defaultImageDpi w14:val="0"/>
  <w15:docId w15:val="{51094E2C-CF31-4FF5-9168-A65600B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2025-01-01T14:01:00Z</dcterms:created>
  <dcterms:modified xsi:type="dcterms:W3CDTF">2025-01-01T14:01:00Z</dcterms:modified>
</cp:coreProperties>
</file>