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FA1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E89FD2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482D1A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F73B47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A9DDF3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46DDE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E7DF7F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60306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EC8A2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43C551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5A5CA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E62FD7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C635E1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0DCC5D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65B42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1BBDD22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«Управление и экономика фармации»</w:t>
      </w:r>
    </w:p>
    <w:p w14:paraId="5C33F7A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эффективной деятельности аптечной организации</w:t>
      </w:r>
    </w:p>
    <w:p w14:paraId="50B0F1E6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3CE6C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провизор-интерн</w:t>
      </w:r>
    </w:p>
    <w:p w14:paraId="4E6E8BE1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Сафронова Анна Петровна</w:t>
      </w:r>
    </w:p>
    <w:p w14:paraId="01F90EEF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BE924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Оценка эффективной деятельности организации</w:t>
      </w:r>
    </w:p>
    <w:p w14:paraId="0BFEBB7D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6B610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Эффективная деятель</w:t>
      </w:r>
      <w:r>
        <w:rPr>
          <w:rFonts w:ascii="Times New Roman CYR" w:hAnsi="Times New Roman CYR" w:cs="Times New Roman CYR"/>
          <w:sz w:val="28"/>
          <w:szCs w:val="28"/>
        </w:rPr>
        <w:t>ность аптечных организаций, прежде всего зависит от построения бизнес-плана аптечной организации. Рассмотрим на примере:</w:t>
      </w:r>
    </w:p>
    <w:p w14:paraId="207659B5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Исходные данные по аптечной организации</w:t>
      </w:r>
    </w:p>
    <w:p w14:paraId="775C3A82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Наше предприятие представляет собой сеть аптек с розничной реализацией товаров, лекарственных </w:t>
      </w:r>
      <w:r>
        <w:rPr>
          <w:rFonts w:ascii="Times New Roman CYR" w:hAnsi="Times New Roman CYR" w:cs="Times New Roman CYR"/>
          <w:sz w:val="28"/>
          <w:szCs w:val="28"/>
        </w:rPr>
        <w:t>средств, изделий медицинского назначения, средств личной гигиены и т.д. Общий объем ассортимента составляет порядка 3100 наименований.</w:t>
      </w:r>
    </w:p>
    <w:p w14:paraId="283D918D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Товар (услуга)</w:t>
      </w:r>
    </w:p>
    <w:p w14:paraId="5D059FA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Товаром данной фирмы являются лекарственные средства, средства личной гигиены и диагностики, поставляемые </w:t>
      </w:r>
      <w:r>
        <w:rPr>
          <w:rFonts w:ascii="Times New Roman CYR" w:hAnsi="Times New Roman CYR" w:cs="Times New Roman CYR"/>
          <w:sz w:val="28"/>
          <w:szCs w:val="28"/>
        </w:rPr>
        <w:t>ведущими производителями фармацевтической продукций РФ.</w:t>
      </w:r>
    </w:p>
    <w:p w14:paraId="3BCB4DF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покупка составляет в день - 356,5 р.</w:t>
      </w:r>
    </w:p>
    <w:p w14:paraId="017AFDB0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Посещаемость:</w:t>
      </w:r>
    </w:p>
    <w:p w14:paraId="6662ED33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будни - до 355 человек</w:t>
      </w:r>
    </w:p>
    <w:p w14:paraId="7C32BA6E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выходные - 240 человек</w:t>
      </w:r>
    </w:p>
    <w:p w14:paraId="412711C3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12CCD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реализации продукции (объемов оказываемых услуг)</w:t>
      </w:r>
    </w:p>
    <w:p w14:paraId="6380687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34C60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показателей объёма реали</w:t>
      </w:r>
      <w:r>
        <w:rPr>
          <w:rFonts w:ascii="Times New Roman CYR" w:hAnsi="Times New Roman CYR" w:cs="Times New Roman CYR"/>
          <w:sz w:val="28"/>
          <w:szCs w:val="28"/>
        </w:rPr>
        <w:t>зации продукции начнем с выявления отклонений величин 2012 года по сравнению с 2011 годом по каждой ассортиментной группе. Динамику показателей по аптеке проведем по ассортиментным группам, это связано с тем, что в аптеках реализуется очень большой объем р</w:t>
      </w:r>
      <w:r>
        <w:rPr>
          <w:rFonts w:ascii="Times New Roman CYR" w:hAnsi="Times New Roman CYR" w:cs="Times New Roman CYR"/>
          <w:sz w:val="28"/>
          <w:szCs w:val="28"/>
        </w:rPr>
        <w:t>азличных наименований продукции. Кроме того, анализ показателей проводиться не количественном выражении, а в денежном.</w:t>
      </w:r>
    </w:p>
    <w:p w14:paraId="139E76E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444CC4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Показатели динамики изменения объема реализации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5"/>
        <w:gridCol w:w="1734"/>
        <w:gridCol w:w="1625"/>
        <w:gridCol w:w="1491"/>
      </w:tblGrid>
      <w:tr w:rsidR="00000000" w14:paraId="02CCDE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D4A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Ассортиментная группа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795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 тыс.руб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E02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 тыс.руб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4BA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разница</w:t>
            </w:r>
          </w:p>
        </w:tc>
      </w:tr>
      <w:tr w:rsidR="00000000" w14:paraId="33E81C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45D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средства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DCE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2924,0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059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3274,0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67D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+350,0</w:t>
            </w:r>
          </w:p>
        </w:tc>
      </w:tr>
      <w:tr w:rsidR="00000000" w14:paraId="21D84D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278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Парафармацевтическая продукция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B62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1556,0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407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1680,0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4C4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+124,0</w:t>
            </w:r>
          </w:p>
        </w:tc>
      </w:tr>
      <w:tr w:rsidR="00000000" w14:paraId="1A7055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944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Товары косметики и гигиены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AFA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1226,0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77A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1201,0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FDA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-25,0</w:t>
            </w:r>
          </w:p>
        </w:tc>
      </w:tr>
      <w:tr w:rsidR="00000000" w14:paraId="6A8DEC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59D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Сопутствующие товары повседневного спроса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42F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284,0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61A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217,0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7F5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-67,0</w:t>
            </w:r>
          </w:p>
        </w:tc>
      </w:tr>
      <w:tr w:rsidR="00000000" w14:paraId="1B44D3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E72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87F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5990,0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6BB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6372,0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122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+382,0</w:t>
            </w:r>
          </w:p>
        </w:tc>
      </w:tr>
    </w:tbl>
    <w:p w14:paraId="3A78E4A5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E85725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анализ, в целом п</w:t>
      </w:r>
      <w:r>
        <w:rPr>
          <w:rFonts w:ascii="Times New Roman CYR" w:hAnsi="Times New Roman CYR" w:cs="Times New Roman CYR"/>
          <w:sz w:val="28"/>
          <w:szCs w:val="28"/>
        </w:rPr>
        <w:t xml:space="preserve">о предприятию объем реализованной продукции увеличился на 382,0. Снижение объемов продаж произошло по товарам косметики и гигиены (на 25,0) и сопутствующим товарам (на 67,0). Это связано с тем, что неподалеку от аптеки открылся новый промтоварный магазин. </w:t>
      </w:r>
      <w:r>
        <w:rPr>
          <w:rFonts w:ascii="Times New Roman CYR" w:hAnsi="Times New Roman CYR" w:cs="Times New Roman CYR"/>
          <w:sz w:val="28"/>
          <w:szCs w:val="28"/>
        </w:rPr>
        <w:t>Ассортимент магазина по косметическим и сопутствующим товарам разнообразный, в этой части аптека проигрывает магазину, т.к. более ориентирована на продажу лекарственных средств.</w:t>
      </w:r>
    </w:p>
    <w:p w14:paraId="4E64120A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показывает анализ, продажа лекарственный средств увеличилась ( на 350,0), </w:t>
      </w:r>
      <w:r>
        <w:rPr>
          <w:rFonts w:ascii="Times New Roman CYR" w:hAnsi="Times New Roman CYR" w:cs="Times New Roman CYR"/>
          <w:sz w:val="28"/>
          <w:szCs w:val="28"/>
        </w:rPr>
        <w:t>а парафармацевтической продукции увеличилась ( на 124,0). Это связано с тем, что в аптеке увеличилось количество наименований предлагаемых лекарственных средств. С увеличением количества рекламируемых лекарственных средств, повысился и потребительский спро</w:t>
      </w:r>
      <w:r>
        <w:rPr>
          <w:rFonts w:ascii="Times New Roman CYR" w:hAnsi="Times New Roman CYR" w:cs="Times New Roman CYR"/>
          <w:sz w:val="28"/>
          <w:szCs w:val="28"/>
        </w:rPr>
        <w:t>с на данные товары, что привело к увеличению объемов продаж.</w:t>
      </w:r>
    </w:p>
    <w:p w14:paraId="7014DD2D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75F57D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Организации обслуживания населения</w:t>
      </w:r>
    </w:p>
    <w:p w14:paraId="2757BD37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02A3BF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Розничной торговлей лекарственными средствами ИП Мухаметшина занимается с 1995 года.Основными принципами работы ИП Мухаметшина являются надежность, професси</w:t>
      </w:r>
      <w:r>
        <w:rPr>
          <w:rFonts w:ascii="Times New Roman CYR" w:hAnsi="Times New Roman CYR" w:cs="Times New Roman CYR"/>
          <w:sz w:val="28"/>
          <w:szCs w:val="28"/>
        </w:rPr>
        <w:t>онализм, гарантия качества лекарственных средств и всей продукции, вежливое и быстрое обслуживание.</w:t>
      </w:r>
    </w:p>
    <w:p w14:paraId="3C50BC24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Удобство работы с аптекой, это:</w:t>
      </w:r>
    </w:p>
    <w:p w14:paraId="004E7E55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качественная лекарственная и парафармацевтическая продукция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известных фирм;</w:t>
      </w:r>
    </w:p>
    <w:p w14:paraId="5E5140C5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большой ассортимент лекарственных препаратов</w:t>
      </w:r>
      <w:r>
        <w:rPr>
          <w:rFonts w:ascii="Times New Roman CYR" w:hAnsi="Times New Roman CYR" w:cs="Times New Roman CYR"/>
          <w:sz w:val="28"/>
          <w:szCs w:val="28"/>
        </w:rPr>
        <w:t>, БАД (биологически активных добавок), гомеопатии, медицинских изделий и парафармации - лечебной косметики, детских товаров, средств гигиены;</w:t>
      </w:r>
    </w:p>
    <w:p w14:paraId="6E2EA0C1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квалифицированные консультации фармацевтов по лекарствам, БАД и лечебной косметике в аптеках и по телефону;</w:t>
      </w:r>
    </w:p>
    <w:p w14:paraId="0DD9F684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аказы на отсутствующие в аптеке лекарственные препараты, которые выполняются в течение 2 суток.</w:t>
      </w:r>
    </w:p>
    <w:p w14:paraId="7DD2D6BA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ИП Мухаметшина имеет лицензию на право занятия фармацевтической деятельностью, сроком действия до 12.09.2015 г. Разрешенные виды работ: розничная торговля лекар</w:t>
      </w:r>
      <w:r>
        <w:rPr>
          <w:rFonts w:ascii="Times New Roman CYR" w:hAnsi="Times New Roman CYR" w:cs="Times New Roman CYR"/>
          <w:sz w:val="28"/>
          <w:szCs w:val="28"/>
        </w:rPr>
        <w:t>ственными средствами, изделиями медицинского назначения и другими товарами, разрешенными к реализации аптечными предприятиями. Руководство гантирует подлинность и качество всех поставляемых лекарств и парафармации. Вся поставляемая продукция сертифицирован</w:t>
      </w:r>
      <w:r>
        <w:rPr>
          <w:rFonts w:ascii="Times New Roman CYR" w:hAnsi="Times New Roman CYR" w:cs="Times New Roman CYR"/>
          <w:sz w:val="28"/>
          <w:szCs w:val="28"/>
        </w:rPr>
        <w:t>а, имеет регистрацию на территории РФ, строго соблюдаются сроки реализации и условия хранения лекарств.</w:t>
      </w:r>
    </w:p>
    <w:p w14:paraId="1C84A74A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Аптеки работают с крупными оптовыми поставщиками, такими как ТОО «Стофарм» и ТОО «Медикус», ТОО «Медком». Контакты с надежными поставщиками исключают по</w:t>
      </w:r>
      <w:r>
        <w:rPr>
          <w:rFonts w:ascii="Times New Roman CYR" w:hAnsi="Times New Roman CYR" w:cs="Times New Roman CYR"/>
          <w:sz w:val="28"/>
          <w:szCs w:val="28"/>
        </w:rPr>
        <w:t>падание в аптеки фальсифицированных лекарственных средств. Крупные поставщики - это и широкий ассортимент, и приемлемые цены, и высокий уровень сервиса. «СИА Интернейшнл» предоставляют возможность поставок товаров в аптеки три раза в сутки. ТОО «Стофарм» п</w:t>
      </w:r>
      <w:r>
        <w:rPr>
          <w:rFonts w:ascii="Times New Roman CYR" w:hAnsi="Times New Roman CYR" w:cs="Times New Roman CYR"/>
          <w:sz w:val="28"/>
          <w:szCs w:val="28"/>
        </w:rPr>
        <w:t>роводят регулярные тренинги для фармацевтов и руководителей аптек. Их регулярно посещает директор аптеки.</w:t>
      </w:r>
    </w:p>
    <w:p w14:paraId="28129654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товар аптеки проходит проверку на «входе» - «прием товара по качеству». Серии лицензий на товар сравниваются с данными Департамента государственн</w:t>
      </w:r>
      <w:r>
        <w:rPr>
          <w:rFonts w:ascii="Times New Roman CYR" w:hAnsi="Times New Roman CYR" w:cs="Times New Roman CYR"/>
          <w:sz w:val="28"/>
          <w:szCs w:val="28"/>
        </w:rPr>
        <w:t>ого контроля качества, эффективности и безопасности лекарственных средств и медицинской техники России.</w:t>
      </w:r>
    </w:p>
    <w:p w14:paraId="6C1DE330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Фармацевтов аптеки ИП Мухаметшина отличает профессионализм и компетентность, здесь всегда можно обратиться за консультацией к квалифицированному специал</w:t>
      </w:r>
      <w:r>
        <w:rPr>
          <w:rFonts w:ascii="Times New Roman CYR" w:hAnsi="Times New Roman CYR" w:cs="Times New Roman CYR"/>
          <w:sz w:val="28"/>
          <w:szCs w:val="28"/>
        </w:rPr>
        <w:t>исту. Предприятие заботиться о профессиональном и карьерном росте своих специалистов. Фармацевты, работающие в аптеках, имеют не только средне-специальное образование по специальности, но и сертификаты специалиста, который выдается на 5 лет. ИП Мухаметшина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постоянно направляют фармацевтов на обучающие тренинги.</w:t>
      </w:r>
    </w:p>
    <w:p w14:paraId="51A19E00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373FB1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эффективности использования основных фондов</w:t>
      </w:r>
    </w:p>
    <w:p w14:paraId="22932D0A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3393E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 аптеки регулируется Примерными нормами технического оснащения аптек. Указанные нормы содержат примерный набор производственного оборуд</w:t>
      </w:r>
      <w:r>
        <w:rPr>
          <w:rFonts w:ascii="Times New Roman CYR" w:hAnsi="Times New Roman CYR" w:cs="Times New Roman CYR"/>
          <w:sz w:val="28"/>
          <w:szCs w:val="28"/>
        </w:rPr>
        <w:t>ования и специальной аптечной мебели, производственного и хозяйственного инвентаря необходимых для деятельности аптек.</w:t>
      </w:r>
    </w:p>
    <w:p w14:paraId="6CBDD264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3D3F7D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основных фондов аптеки входят наименования</w:t>
      </w:r>
    </w:p>
    <w:p w14:paraId="4DB9843D" w14:textId="666C060D" w:rsidR="00000000" w:rsidRDefault="001D70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CF9ED5" wp14:editId="217A2862">
            <wp:extent cx="4762500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EC3A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D65A2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технологическое оборудование для предприяти</w:t>
      </w:r>
      <w:r>
        <w:rPr>
          <w:rFonts w:ascii="Times New Roman CYR" w:hAnsi="Times New Roman CYR" w:cs="Times New Roman CYR"/>
          <w:sz w:val="28"/>
          <w:szCs w:val="28"/>
        </w:rPr>
        <w:t xml:space="preserve">й торговли согласно Постановлению Правительства РФ от 01.01.2002 N 1 (ред. от 18.11.2006) "О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классификации основных средств, включаемых в амортизационные группы ", относится к 4 группе ОФ. Электронно - вычислительная техника (персональные ЭВМ) относятся ко</w:t>
      </w:r>
      <w:r>
        <w:rPr>
          <w:rFonts w:ascii="Times New Roman CYR" w:hAnsi="Times New Roman CYR" w:cs="Times New Roman CYR"/>
          <w:sz w:val="28"/>
          <w:szCs w:val="28"/>
        </w:rPr>
        <w:t xml:space="preserve"> 2 группе ОФ, а телефонные аппараты - к3.</w:t>
      </w:r>
    </w:p>
    <w:p w14:paraId="6D30B54A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A7D5FE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Стоимость основных фондов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1871"/>
        <w:gridCol w:w="1755"/>
        <w:gridCol w:w="1609"/>
      </w:tblGrid>
      <w:tr w:rsidR="00000000" w14:paraId="33E9F8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195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BF1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 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53B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20B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</w:tr>
      <w:tr w:rsidR="00000000" w14:paraId="314717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300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средства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3EF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335,0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C18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335,0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479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335,0</w:t>
            </w:r>
          </w:p>
        </w:tc>
      </w:tr>
      <w:tr w:rsidR="00000000" w14:paraId="2CDE34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859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Амортизация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9FD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EF3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74,8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E61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149,6</w:t>
            </w:r>
          </w:p>
        </w:tc>
      </w:tr>
      <w:tr w:rsidR="00000000" w14:paraId="32514D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E6A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Остаточная стоимость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24E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316,0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81E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260,2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1A5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185,4</w:t>
            </w:r>
          </w:p>
        </w:tc>
      </w:tr>
    </w:tbl>
    <w:p w14:paraId="7404B07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F3153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 течение 2011 г. и</w:t>
      </w:r>
      <w:r>
        <w:rPr>
          <w:rFonts w:ascii="Times New Roman CYR" w:hAnsi="Times New Roman CYR" w:cs="Times New Roman CYR"/>
          <w:sz w:val="28"/>
          <w:szCs w:val="28"/>
        </w:rPr>
        <w:t xml:space="preserve"> 2012 г. поступлений и выбытия основных фондов не было, среднегодовая стоимость составляет 335,0 тыс.руб.</w:t>
      </w:r>
    </w:p>
    <w:p w14:paraId="72825B43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Рассчитаем коэффициент износа по формуле:</w:t>
      </w:r>
    </w:p>
    <w:p w14:paraId="0DF409A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2356A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Кизн. = ОФизн./ОФперв., </w:t>
      </w:r>
    </w:p>
    <w:p w14:paraId="74C0690F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8B523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ОФизн. - стоимость износа ОФ (амортизация);</w:t>
      </w:r>
    </w:p>
    <w:p w14:paraId="3FDE0C3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ОФперв. - первоначальная стоимост</w:t>
      </w:r>
      <w:r>
        <w:rPr>
          <w:rFonts w:ascii="Times New Roman CYR" w:hAnsi="Times New Roman CYR" w:cs="Times New Roman CYR"/>
          <w:sz w:val="28"/>
          <w:szCs w:val="28"/>
        </w:rPr>
        <w:t>ь основных фондов.</w:t>
      </w:r>
    </w:p>
    <w:p w14:paraId="4487FDC3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Рассчитаем коэффициент годности основных фондов по </w:t>
      </w:r>
    </w:p>
    <w:p w14:paraId="301F02E0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BE077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Кгодн. = ОФост./ОФперв., </w:t>
      </w:r>
    </w:p>
    <w:p w14:paraId="05315400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02977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ОФост. - остаточная стоимость основных фондов;</w:t>
      </w:r>
    </w:p>
    <w:p w14:paraId="79F38D2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ОФперв. - первоначальная стоимость основных фондов</w:t>
      </w:r>
    </w:p>
    <w:p w14:paraId="0F7BD41D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850B3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эффективности ОФ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764"/>
        <w:gridCol w:w="1764"/>
        <w:gridCol w:w="1499"/>
      </w:tblGrid>
      <w:tr w:rsidR="00000000" w14:paraId="07C741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1D0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DD3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 г.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D6A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BE8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</w:tr>
      <w:tr w:rsidR="00000000" w14:paraId="3ACDED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FEA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ОФперв. 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F9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355,0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EB4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355,0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E6B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355,0</w:t>
            </w:r>
          </w:p>
        </w:tc>
      </w:tr>
      <w:tr w:rsidR="00000000" w14:paraId="5FE82A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B4C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ОФизн.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622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4C6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3FD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149.6</w:t>
            </w:r>
          </w:p>
        </w:tc>
      </w:tr>
      <w:tr w:rsidR="00000000" w14:paraId="49E186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5D8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ОФост. 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0B0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316,0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24B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260,0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A4F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185,4</w:t>
            </w:r>
          </w:p>
        </w:tc>
      </w:tr>
      <w:tr w:rsidR="00000000" w14:paraId="3E9686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020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Кизн.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A43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5,67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F49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22,33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B17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44,66</w:t>
            </w:r>
          </w:p>
        </w:tc>
      </w:tr>
      <w:tr w:rsidR="00000000" w14:paraId="2E2816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607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Кгодн. 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A24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94,33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0FE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77,67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158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55,34</w:t>
            </w:r>
          </w:p>
        </w:tc>
      </w:tr>
    </w:tbl>
    <w:p w14:paraId="52E8E45E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8DC051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износа основных фондов характеризует долю перенесенной стоимости фондов к их балансовой стоимости. По </w:t>
      </w:r>
      <w:r>
        <w:rPr>
          <w:rFonts w:ascii="Times New Roman CYR" w:hAnsi="Times New Roman CYR" w:cs="Times New Roman CYR"/>
          <w:sz w:val="28"/>
          <w:szCs w:val="28"/>
        </w:rPr>
        <w:t>данным из таблицы видно, что за два года амортизация по основные фонды начислено практически на 50%.</w:t>
      </w:r>
    </w:p>
    <w:p w14:paraId="1817B8E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годности основных фондов отражает долю остаточной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стоимости основных фондов к их первоначальной стоимости.</w:t>
      </w:r>
    </w:p>
    <w:p w14:paraId="611DF2E0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Проведем анализ использования основн</w:t>
      </w:r>
      <w:r>
        <w:rPr>
          <w:rFonts w:ascii="Times New Roman CYR" w:hAnsi="Times New Roman CYR" w:cs="Times New Roman CYR"/>
          <w:sz w:val="28"/>
          <w:szCs w:val="28"/>
        </w:rPr>
        <w:t>ых фондов, используя формулы фондоотдачи, фондоемкости и фондовооруженности.</w:t>
      </w:r>
    </w:p>
    <w:p w14:paraId="54FB5D9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Фондоотдача основных фондов определяется по формуле:</w:t>
      </w:r>
    </w:p>
    <w:p w14:paraId="4A42E22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EB63D1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 = Спрод./ОФср., </w:t>
      </w:r>
    </w:p>
    <w:p w14:paraId="1B60F463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C3AED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Спрод. - стоимость произведенной продукции;</w:t>
      </w:r>
    </w:p>
    <w:p w14:paraId="2BBD9973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ОФср. - среднегодовая стоимость основных фондов.</w:t>
      </w:r>
    </w:p>
    <w:p w14:paraId="23B4944A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Фондоот</w:t>
      </w:r>
      <w:r>
        <w:rPr>
          <w:rFonts w:ascii="Times New Roman CYR" w:hAnsi="Times New Roman CYR" w:cs="Times New Roman CYR"/>
          <w:sz w:val="28"/>
          <w:szCs w:val="28"/>
        </w:rPr>
        <w:t>дача показывает выпуск продукции на 1 рубль основных фондов, а фондоемкость показывает количество основных фондов, необходимых для производства продукции на 1 рубль.</w:t>
      </w:r>
    </w:p>
    <w:p w14:paraId="61A9A79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Фондоемкость является обратным показателем фондоотдачи и определяется по формуле:</w:t>
      </w:r>
    </w:p>
    <w:p w14:paraId="448FE583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64A443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</w:t>
      </w:r>
      <w:r>
        <w:rPr>
          <w:rFonts w:ascii="Times New Roman CYR" w:hAnsi="Times New Roman CYR" w:cs="Times New Roman CYR"/>
          <w:sz w:val="28"/>
          <w:szCs w:val="28"/>
        </w:rPr>
        <w:t xml:space="preserve"> = ОФср./ Спрод., </w:t>
      </w:r>
    </w:p>
    <w:p w14:paraId="32FE77B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440F2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ОФср. - среднегодовая стоимость основных фондов;</w:t>
      </w:r>
    </w:p>
    <w:p w14:paraId="390663A6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Спрод. - стоимость произведенной продукции.</w:t>
      </w:r>
    </w:p>
    <w:p w14:paraId="4529A34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Фондовооруженность показывает долю основных фондов, приходящуюся на одного работника, и определяется по формуле:</w:t>
      </w:r>
    </w:p>
    <w:p w14:paraId="6969E20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116E2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Фв = ОФср. / Чр, </w:t>
      </w:r>
    </w:p>
    <w:p w14:paraId="1DBBA3D0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882DA4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ОФ</w:t>
      </w:r>
      <w:r>
        <w:rPr>
          <w:rFonts w:ascii="Times New Roman CYR" w:hAnsi="Times New Roman CYR" w:cs="Times New Roman CYR"/>
          <w:sz w:val="28"/>
          <w:szCs w:val="28"/>
        </w:rPr>
        <w:t>ср. - среднегодовая стоимость основных фондов;</w:t>
      </w:r>
    </w:p>
    <w:p w14:paraId="7D4BC690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 - среднесписочная численность.</w:t>
      </w:r>
    </w:p>
    <w:p w14:paraId="5F0D884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229A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Показатели использования основных фондов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6"/>
        <w:gridCol w:w="1509"/>
        <w:gridCol w:w="1509"/>
        <w:gridCol w:w="1481"/>
      </w:tblGrid>
      <w:tr w:rsidR="00000000" w14:paraId="7201E1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541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07C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 г.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BFE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D90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</w:tr>
      <w:tr w:rsidR="00000000" w14:paraId="7B617E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887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Стоимость произведенной продукции (Спрод.)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C2F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3540,0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F68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3853,0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D53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4081,0</w:t>
            </w:r>
          </w:p>
        </w:tc>
      </w:tr>
      <w:tr w:rsidR="00000000" w14:paraId="7DB129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320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Среднегодовая стоимость основ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ных фондов (ОФср.)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7F1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335,0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D22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335,0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1E3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335,0</w:t>
            </w:r>
          </w:p>
        </w:tc>
      </w:tr>
      <w:tr w:rsidR="00000000" w14:paraId="4DEECB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881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Среднесписочная численность (Чр)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5F8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85F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89A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7F58F0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E28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Фондоотдача (Фо)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2B0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129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11,50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186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12,18</w:t>
            </w:r>
          </w:p>
        </w:tc>
      </w:tr>
      <w:tr w:rsidR="00000000" w14:paraId="524386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6FE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Фондоемкость (Фе)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C86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041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C23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</w:tr>
      <w:tr w:rsidR="00000000" w14:paraId="6631E1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24C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Фондовооруженность (Фв)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FD3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60A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37,22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9E7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37,22</w:t>
            </w:r>
          </w:p>
        </w:tc>
      </w:tr>
    </w:tbl>
    <w:p w14:paraId="22A57E30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E6CD3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анализируемый период с 2010 года по 2012 год фондоотдача </w:t>
      </w:r>
      <w:r>
        <w:rPr>
          <w:rFonts w:ascii="Times New Roman CYR" w:hAnsi="Times New Roman CYR" w:cs="Times New Roman CYR"/>
          <w:sz w:val="28"/>
          <w:szCs w:val="28"/>
        </w:rPr>
        <w:t>увеличилась, это показывает что выпуск продукции на 1 рубль основных фондов возрос. А фондоемкость показывает, что количество основных фондов, необходимых для производства продукции на 1 рубль за анализируемый период снизилось.</w:t>
      </w:r>
    </w:p>
    <w:p w14:paraId="4E5C2973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EF286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эффективности испо</w:t>
      </w:r>
      <w:r>
        <w:rPr>
          <w:rFonts w:ascii="Times New Roman CYR" w:hAnsi="Times New Roman CYR" w:cs="Times New Roman CYR"/>
          <w:sz w:val="28"/>
          <w:szCs w:val="28"/>
        </w:rPr>
        <w:t>льзования оборотных средств и материально-технического снабжения</w:t>
      </w:r>
    </w:p>
    <w:p w14:paraId="129ADF0A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6B4CB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предприятие должно иметь оборотные средства или оборотный капитал - это денежные средства, авансированные в оборонные производственные фонды и фонды обращения. Назначение оборотных ср</w:t>
      </w:r>
      <w:r>
        <w:rPr>
          <w:rFonts w:ascii="Times New Roman CYR" w:hAnsi="Times New Roman CYR" w:cs="Times New Roman CYR"/>
          <w:sz w:val="28"/>
          <w:szCs w:val="28"/>
        </w:rPr>
        <w:t>едств состоит в обеспечении динамической составляющей экономической деятельности предприятия, т.е. потока материальных и денежных ресурсов.</w:t>
      </w:r>
    </w:p>
    <w:p w14:paraId="616BBAC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Оборотные средства (ОС) находятся в постоянном движении, приобретая форму денег (Д). В процессе кругооборота они пр</w:t>
      </w:r>
      <w:r>
        <w:rPr>
          <w:rFonts w:ascii="Times New Roman CYR" w:hAnsi="Times New Roman CYR" w:cs="Times New Roman CYR"/>
          <w:sz w:val="28"/>
          <w:szCs w:val="28"/>
        </w:rPr>
        <w:t>оходят три стадии. На первой стадии происходит превращение (Д - ОС). Оборотные средства на этой стадии используются в денежной форме (Д) для приобретения товаров. Вторая стадия характеризуется отправкой готовой продукции (ГП) на склад. Оборотные средства в</w:t>
      </w:r>
      <w:r>
        <w:rPr>
          <w:rFonts w:ascii="Times New Roman CYR" w:hAnsi="Times New Roman CYR" w:cs="Times New Roman CYR"/>
          <w:sz w:val="28"/>
          <w:szCs w:val="28"/>
        </w:rPr>
        <w:t>ыступают на этой стадии в виде готовой продукции. Третья стадия превращения (ГП - Д) реализации начинается с поступления продукции на склад и заканчивается получением выручки от реализации продукции. Оборотные средства на этой стадии выступают в виде готов</w:t>
      </w:r>
      <w:r>
        <w:rPr>
          <w:rFonts w:ascii="Times New Roman CYR" w:hAnsi="Times New Roman CYR" w:cs="Times New Roman CYR"/>
          <w:sz w:val="28"/>
          <w:szCs w:val="28"/>
        </w:rPr>
        <w:t>ой продукции и денег.</w:t>
      </w:r>
    </w:p>
    <w:p w14:paraId="7CE99FD6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элементы ОС входят:</w:t>
      </w:r>
    </w:p>
    <w:p w14:paraId="29A5C762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готовая продукция;</w:t>
      </w:r>
    </w:p>
    <w:p w14:paraId="57DED125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налог на добавленную стоимость, подлежащий возмещению из бюджета;</w:t>
      </w:r>
    </w:p>
    <w:p w14:paraId="1A0A4A6A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денежные средства и расчёты - денежные средства в кассе и на счетах в банках;</w:t>
      </w:r>
    </w:p>
    <w:p w14:paraId="17D5936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дебиторская задолженность (то, что должны</w:t>
      </w:r>
      <w:r>
        <w:rPr>
          <w:rFonts w:ascii="Times New Roman CYR" w:hAnsi="Times New Roman CYR" w:cs="Times New Roman CYR"/>
          <w:sz w:val="28"/>
          <w:szCs w:val="28"/>
        </w:rPr>
        <w:t xml:space="preserve"> предприятию покупатели и заказчики и т.п.);</w:t>
      </w:r>
    </w:p>
    <w:p w14:paraId="7784E0E2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краткосрочные финансовые вложения (приобретение краткосрочных ценных бумаг, вклад денег на краткосрочные депозиты и т.п.).</w:t>
      </w:r>
    </w:p>
    <w:p w14:paraId="3FB431B7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использования оборотных средств являются:</w:t>
      </w:r>
    </w:p>
    <w:p w14:paraId="7EE41DCE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оценка выполнения плана</w:t>
      </w:r>
      <w:r>
        <w:rPr>
          <w:rFonts w:ascii="Times New Roman CYR" w:hAnsi="Times New Roman CYR" w:cs="Times New Roman CYR"/>
          <w:sz w:val="28"/>
          <w:szCs w:val="28"/>
        </w:rPr>
        <w:t xml:space="preserve"> снабжения предприятия материальными ресурсами по ассортименту, объёму и срокам поставки;</w:t>
      </w:r>
    </w:p>
    <w:p w14:paraId="1058705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установление степени обеспеченности предприятия необходимыми материальными ресурсами;</w:t>
      </w:r>
    </w:p>
    <w:p w14:paraId="2BDB2B1A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оценка полноты использования материальных ресурсов и их влияния на объём про</w:t>
      </w:r>
      <w:r>
        <w:rPr>
          <w:rFonts w:ascii="Times New Roman CYR" w:hAnsi="Times New Roman CYR" w:cs="Times New Roman CYR"/>
          <w:sz w:val="28"/>
          <w:szCs w:val="28"/>
        </w:rPr>
        <w:t>дукции.</w:t>
      </w:r>
    </w:p>
    <w:p w14:paraId="12114855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баланса предприятия проанализируем состав и структура оборотных средств, выявим наиболее значительные элементы оборотных средств.</w:t>
      </w:r>
    </w:p>
    <w:p w14:paraId="3C10AE16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F3473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состава и структуры оборотных средств за 2011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074"/>
        <w:gridCol w:w="1095"/>
        <w:gridCol w:w="1054"/>
        <w:gridCol w:w="1115"/>
        <w:gridCol w:w="1402"/>
        <w:gridCol w:w="1106"/>
      </w:tblGrid>
      <w:tr w:rsidR="00000000" w14:paraId="1E0485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4F9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Статья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282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начало года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470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конец года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A01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</w:t>
            </w:r>
          </w:p>
        </w:tc>
      </w:tr>
      <w:tr w:rsidR="00000000" w14:paraId="314D27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A59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AF0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умма тыс.руб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62F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вес, %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FCF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тыс.руб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878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вес,%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7DE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в %(гр6/гр2)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4A6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(гр4-гр2)*100%</w:t>
            </w:r>
          </w:p>
        </w:tc>
      </w:tr>
      <w:tr w:rsidR="00000000" w14:paraId="261508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14B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Запасы, в том числе: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484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2229,0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CF8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95,38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075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2035,0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D07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96,08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6DB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7CD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-8,70</w:t>
            </w:r>
          </w:p>
        </w:tc>
      </w:tr>
      <w:tr w:rsidR="00000000" w14:paraId="4299F1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C9E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Товары для перепродажи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478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2229,0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E5E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95,38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A88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2035,0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267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96,08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A52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-194,0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A1E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-8,70</w:t>
            </w:r>
          </w:p>
        </w:tc>
      </w:tr>
      <w:tr w:rsidR="00000000" w14:paraId="7A6489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D49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12F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BE4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A1D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417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976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246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93,33</w:t>
            </w:r>
          </w:p>
        </w:tc>
      </w:tr>
      <w:tr w:rsidR="00000000" w14:paraId="346F67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726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Денежные средства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6B2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BF5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F54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875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094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-39,0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94E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-41,94</w:t>
            </w:r>
          </w:p>
        </w:tc>
      </w:tr>
      <w:tr w:rsidR="00000000" w14:paraId="742CCB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A14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B1B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2337,0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085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787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2118,0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DB7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88E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-219,0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A90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-9,37</w:t>
            </w:r>
          </w:p>
        </w:tc>
      </w:tr>
    </w:tbl>
    <w:p w14:paraId="75927C83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BFAB1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состава и структуры оборотных средств за 2012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074"/>
        <w:gridCol w:w="1136"/>
        <w:gridCol w:w="1136"/>
        <w:gridCol w:w="1013"/>
        <w:gridCol w:w="1258"/>
        <w:gridCol w:w="1229"/>
      </w:tblGrid>
      <w:tr w:rsidR="00000000" w14:paraId="38AA5C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9B2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Стьатья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DC1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начало года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5B2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конец года</w:t>
            </w:r>
          </w:p>
        </w:tc>
        <w:tc>
          <w:tcPr>
            <w:tcW w:w="2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E55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</w:t>
            </w:r>
          </w:p>
        </w:tc>
      </w:tr>
      <w:tr w:rsidR="00000000" w14:paraId="021B68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2E6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82F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тыс.руб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B55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ый вес,%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BD5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тыс.руб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F63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вес,%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8C7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в %(гр6/гр2)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0A0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(гр4-гр2)*100%</w:t>
            </w:r>
          </w:p>
        </w:tc>
      </w:tr>
      <w:tr w:rsidR="00000000" w14:paraId="1C2878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BAC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Запасы, в том числе: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BA7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508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96,08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005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2986,0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28F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96,11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E61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951,0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25E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46,73</w:t>
            </w:r>
          </w:p>
        </w:tc>
      </w:tr>
      <w:tr w:rsidR="00000000" w14:paraId="6B85CF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33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Товары для перепродажи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C6B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2035,0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6DB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96,08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DC6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2986,0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038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96,11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4C8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951,0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704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46,73</w:t>
            </w:r>
          </w:p>
        </w:tc>
      </w:tr>
      <w:tr w:rsidR="00000000" w14:paraId="27448A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BA9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314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50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CEE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F93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B55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19E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51,72</w:t>
            </w:r>
          </w:p>
        </w:tc>
      </w:tr>
      <w:tr w:rsidR="00000000" w14:paraId="354824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048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Денежные средства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3AE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E47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ACB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998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B5B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405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42,59</w:t>
            </w:r>
          </w:p>
        </w:tc>
      </w:tr>
      <w:tr w:rsidR="00000000" w14:paraId="31DD4D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9D0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DA8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2118,0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7E7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D7B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3107,0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94C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1F9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989,0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AB3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46,69</w:t>
            </w:r>
          </w:p>
        </w:tc>
      </w:tr>
    </w:tbl>
    <w:p w14:paraId="11EE210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7622D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по оборотным средствам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161"/>
        <w:gridCol w:w="1081"/>
        <w:gridCol w:w="1256"/>
        <w:gridCol w:w="984"/>
        <w:gridCol w:w="1160"/>
        <w:gridCol w:w="1057"/>
      </w:tblGrid>
      <w:tr w:rsidR="00000000" w14:paraId="04BB1C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AAB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C84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 г.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782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</w:t>
            </w:r>
          </w:p>
        </w:tc>
        <w:tc>
          <w:tcPr>
            <w:tcW w:w="2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5B2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</w:tr>
      <w:tr w:rsidR="00000000" w14:paraId="76DE4C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770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773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Тыс.руб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83F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BF2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Тыс.руб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F60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6EB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Тыс.руб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4C3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4C71E7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243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Запасы, в том числе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A40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2229,0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998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776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ABF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FF0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2986,0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F45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96,11</w:t>
            </w:r>
          </w:p>
        </w:tc>
      </w:tr>
      <w:tr w:rsidR="00000000" w14:paraId="3191EC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0C4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Товары для перепродажи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573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2229,0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94C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47D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2035,0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1F9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96,08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286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2986,0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6F2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96,11</w:t>
            </w:r>
          </w:p>
        </w:tc>
      </w:tr>
      <w:tr w:rsidR="00000000" w14:paraId="714AF3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E08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9C4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15F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B95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135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01C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636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1,42</w:t>
            </w:r>
          </w:p>
        </w:tc>
      </w:tr>
      <w:tr w:rsidR="00000000" w14:paraId="6EE1A2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40D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Денежные средства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7DB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F0D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23A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66D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E20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036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2,48</w:t>
            </w:r>
          </w:p>
        </w:tc>
      </w:tr>
      <w:tr w:rsidR="00000000" w14:paraId="0AB31B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23D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DAA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2337,0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1F1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9B3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2118,0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E7E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192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3107,0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035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14:paraId="142246ED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7AD3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все анализиру</w:t>
      </w:r>
      <w:r>
        <w:rPr>
          <w:rFonts w:ascii="Times New Roman CYR" w:hAnsi="Times New Roman CYR" w:cs="Times New Roman CYR"/>
          <w:sz w:val="28"/>
          <w:szCs w:val="28"/>
        </w:rPr>
        <w:t>емые три года состав и структура одинаковы. Основную часть оборотных активов составляют запасы, в частности товары для перепродажи. Их доля в общем объеме оборотных активов составляет более 95,80%, причем их количество в течение анализируемого периода снач</w:t>
      </w:r>
      <w:r>
        <w:rPr>
          <w:rFonts w:ascii="Times New Roman CYR" w:hAnsi="Times New Roman CYR" w:cs="Times New Roman CYR"/>
          <w:sz w:val="28"/>
          <w:szCs w:val="28"/>
        </w:rPr>
        <w:t>ала уменьшается, а потом увеличивается. И в 2012 году составляет уже 96,11% в общем объеме, это на 0,73% выше, чем за 2010 год.</w:t>
      </w:r>
    </w:p>
    <w:p w14:paraId="7B8CFCE1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по величине в общем объеме оборотных средств составляют денежные средства, но они составляют в среднем 3% в общем объеме.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 на конец 2012 года их количество по сравнению с 2010 годом сократилось на 1,50% или на 16,0 тыс.руб. Проводя анализ дебиторской задолженности, следует отметить, что главными должниками предприятия являются бюджетные учреждения. Это связано с тем, ч</w:t>
      </w:r>
      <w:r>
        <w:rPr>
          <w:rFonts w:ascii="Times New Roman CYR" w:hAnsi="Times New Roman CYR" w:cs="Times New Roman CYR"/>
          <w:sz w:val="28"/>
          <w:szCs w:val="28"/>
        </w:rPr>
        <w:t>то ООО «НЕВА-ФАРМ» осуществляет поставки лекарственных средств бюджетным учреждениям.</w:t>
      </w:r>
    </w:p>
    <w:p w14:paraId="6ACE4524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Последнее место, в общем количестве оборотных средств, занимает дебиторская задолженность, платежи по которой ожидаются в течение 12 месяцев и составляет в среднем 1,14%.</w:t>
      </w:r>
      <w:r>
        <w:rPr>
          <w:rFonts w:ascii="Times New Roman CYR" w:hAnsi="Times New Roman CYR" w:cs="Times New Roman CYR"/>
          <w:sz w:val="28"/>
          <w:szCs w:val="28"/>
        </w:rPr>
        <w:t xml:space="preserve"> На конец 2012 года по сравнению с 2010 годом дебиторская задолженность увеличилась на 0,77%.</w:t>
      </w:r>
    </w:p>
    <w:p w14:paraId="063F5B2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98E8B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издержек обращения</w:t>
      </w:r>
    </w:p>
    <w:p w14:paraId="5024B6D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87CB7F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предприятий всех отраслей промышленности установлена следующая обязательная номенклатура затрат на производство по экономическим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элементам:</w:t>
      </w:r>
    </w:p>
    <w:p w14:paraId="13969C1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материальные затраты (за вычетом стоимости возвратных отходов). Сюда относится стоимость приобретаемых со стороны для производства продукции сырья и материалов, комплектующих изделий и полуфабрикатов, топлива и энергии всех видов, расходуемых</w:t>
      </w:r>
      <w:r>
        <w:rPr>
          <w:rFonts w:ascii="Times New Roman CYR" w:hAnsi="Times New Roman CYR" w:cs="Times New Roman CYR"/>
          <w:sz w:val="28"/>
          <w:szCs w:val="28"/>
        </w:rPr>
        <w:t xml:space="preserve"> как на технологические цели, так и на обслуживания производства (отопление здание, транспортные расходы и т.д.). Из затрат на материальные ресурсы исключается стоимость возвратных отходов, под которыми понимаются остатки сырья, материалов, образовавшиеся </w:t>
      </w:r>
      <w:r>
        <w:rPr>
          <w:rFonts w:ascii="Times New Roman CYR" w:hAnsi="Times New Roman CYR" w:cs="Times New Roman CYR"/>
          <w:sz w:val="28"/>
          <w:szCs w:val="28"/>
        </w:rPr>
        <w:t>в процессе производства продукции и утратившие полностью или частично потребительские качества исходного продукта и в силу этого используемые с повышенными затратами или вовсе не используемые по прямому назначению;</w:t>
      </w:r>
    </w:p>
    <w:p w14:paraId="13EF90E7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затраты на оплату труда. Сюда относится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основная и дополнительная заработная плата промышленно-производственного персонала предприятия, в том числе премии рабочим и служащим за производственные результаты, стимулирующие и компенсирующие выплаты, а также затраты на оплату труда не состоящих в шт</w:t>
      </w:r>
      <w:r>
        <w:rPr>
          <w:rFonts w:ascii="Times New Roman CYR" w:hAnsi="Times New Roman CYR" w:cs="Times New Roman CYR"/>
          <w:sz w:val="28"/>
          <w:szCs w:val="28"/>
        </w:rPr>
        <w:t>ате предприятия работников, занятых в основной деятельности;</w:t>
      </w:r>
    </w:p>
    <w:p w14:paraId="6896A045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отчисления на социальные нужды. Сюда относятся обязательные отчисления по установленным нормам органам социального страхования, Пенсионного фонда, Государственного фонда занятости и медицинског</w:t>
      </w:r>
      <w:r>
        <w:rPr>
          <w:rFonts w:ascii="Times New Roman CYR" w:hAnsi="Times New Roman CYR" w:cs="Times New Roman CYR"/>
          <w:sz w:val="28"/>
          <w:szCs w:val="28"/>
        </w:rPr>
        <w:t>о страхования в процентах к оплате труда работников;</w:t>
      </w:r>
    </w:p>
    <w:p w14:paraId="758F534D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амортизация основных фондов. Сюда входит сумма амортизационных отчислений на полное восстановление основных производственных фондов, определяемые исходя из их балансовой стоимости и установленных норм,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включая и ускоренную амортизацию их активной части;</w:t>
      </w:r>
    </w:p>
    <w:p w14:paraId="167BA1D1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прочие затраты. Сюда относятся все другие затраты, не вошедшие в ранее перечисленные элементы затрат. Это налоги, сборы, отчисления в специальные фонды и плата по кредитам в пределах установленных ста</w:t>
      </w:r>
      <w:r>
        <w:rPr>
          <w:rFonts w:ascii="Times New Roman CYR" w:hAnsi="Times New Roman CYR" w:cs="Times New Roman CYR"/>
          <w:sz w:val="28"/>
          <w:szCs w:val="28"/>
        </w:rPr>
        <w:t>вок, затраты на командировки, оплата услуг связи и другие.</w:t>
      </w:r>
    </w:p>
    <w:p w14:paraId="1FFB97AF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6D65D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затрат на реализацию товаров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1110"/>
        <w:gridCol w:w="1110"/>
        <w:gridCol w:w="1251"/>
        <w:gridCol w:w="1077"/>
        <w:gridCol w:w="1110"/>
        <w:gridCol w:w="1036"/>
      </w:tblGrid>
      <w:tr w:rsidR="00000000" w14:paraId="476B8B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73B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Элемент зактрат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393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тыс.руб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229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Структура затрат,%</w:t>
            </w:r>
          </w:p>
        </w:tc>
      </w:tr>
      <w:tr w:rsidR="00000000" w14:paraId="252BB9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801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C8C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57E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27A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прирост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43F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8844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D1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прирост</w:t>
            </w:r>
          </w:p>
        </w:tc>
      </w:tr>
      <w:tr w:rsidR="00000000" w14:paraId="1BCADE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69F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Материальные затраты, в т.ч.: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EC4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3853,0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8D0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4081,0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1D9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228,0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C76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68,34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9D9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A37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</w:tr>
      <w:tr w:rsidR="00000000" w14:paraId="2F03B3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BF4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Затраты на товар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B40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3853,0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257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4081,0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693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228,0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A5F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68,34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BA4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B1E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</w:tr>
      <w:tr w:rsidR="00000000" w14:paraId="6E64FA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3C1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Издержки обращения, в т.ч.: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1AD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1785,0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C96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1884,0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54B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408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31,66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4B4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31,581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446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</w:tr>
      <w:tr w:rsidR="00000000" w14:paraId="2F63AD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C3F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2A4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1308,0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C57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1308,0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8B5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7C2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74B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21,93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E2E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-1,27</w:t>
            </w:r>
          </w:p>
        </w:tc>
      </w:tr>
      <w:tr w:rsidR="00000000" w14:paraId="2FAAF7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1B5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Соц. отчисления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757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183,0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BA5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183,0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1F6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C2C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0D6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22C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-0,18</w:t>
            </w:r>
          </w:p>
        </w:tc>
      </w:tr>
      <w:tr w:rsidR="00000000" w14:paraId="66D545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913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Списание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CEE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D2B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150,0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F18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A3B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E37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743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1,18</w:t>
            </w:r>
          </w:p>
        </w:tc>
      </w:tr>
      <w:tr w:rsidR="00000000" w14:paraId="65036A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29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Аренда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489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168,0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6B6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180,0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F7C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715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436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E1B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</w:tr>
      <w:tr w:rsidR="00000000" w14:paraId="26D5E7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799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Коммунальные платежи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3C8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89A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264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7F9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83F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93B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</w:tr>
      <w:tr w:rsidR="00000000" w14:paraId="7B934E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EA8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Телефон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1B7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05E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99A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5A8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FC7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E14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</w:tr>
      <w:tr w:rsidR="00000000" w14:paraId="7031BB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AEF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Интернет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201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CA3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2CA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842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315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FBD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</w:t>
            </w:r>
          </w:p>
        </w:tc>
      </w:tr>
      <w:tr w:rsidR="00000000" w14:paraId="1E23C5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828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429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9AF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806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B48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7E9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77B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-0,02</w:t>
            </w:r>
          </w:p>
        </w:tc>
      </w:tr>
      <w:tr w:rsidR="00000000" w14:paraId="553725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C2C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лная себестоимость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08C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5638,0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EAB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5965.0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726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327,0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BAC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55D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C72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3F941957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D075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показал, что изменились затраты в 2012 году по сравнению с 2011 годом, по всем статьям кроме зарплаты и социальных отчислений. Поскольку все остальные значения затрат изменились, изменилась и обща</w:t>
      </w:r>
      <w:r>
        <w:rPr>
          <w:rFonts w:ascii="Times New Roman CYR" w:hAnsi="Times New Roman CYR" w:cs="Times New Roman CYR"/>
          <w:sz w:val="28"/>
          <w:szCs w:val="28"/>
        </w:rPr>
        <w:t>я структура затрат, даже по тем затратам по которым изменений не было. Так увеличение материальных затрат на 228,0 тыс.руб. повлекло изменение в структуре затрат, доля материальных затрат увеличилась на 0,1%. Заработная плата не изменившееся в денежном выр</w:t>
      </w:r>
      <w:r>
        <w:rPr>
          <w:rFonts w:ascii="Times New Roman CYR" w:hAnsi="Times New Roman CYR" w:cs="Times New Roman CYR"/>
          <w:sz w:val="28"/>
          <w:szCs w:val="28"/>
        </w:rPr>
        <w:t>ажении в структуре затрат сократилась на 1,26%, а СО на 0,18%. Увеличение аренды на 12,0 тыс.руб. привело к повышению доли в общей структуре затрат на 0,04%. А повышение коммунальных платежей также на 12,0 тыс.руб., повлекло изменение в структуре только на</w:t>
      </w:r>
      <w:r>
        <w:rPr>
          <w:rFonts w:ascii="Times New Roman CYR" w:hAnsi="Times New Roman CYR" w:cs="Times New Roman CYR"/>
          <w:sz w:val="28"/>
          <w:szCs w:val="28"/>
        </w:rPr>
        <w:t xml:space="preserve"> 0,16%. Повышение платы за телефон на 2,0 тыс.руб. изменило структуру на 0,03%. А сокращение затрат на интернет и прочих расходов на 1,0 тыс.руб. привело к изменению структуры на 0,03 и 0,02% соответственно. Общая себестоимость увеличилась на 327,0 тыс.руб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630055A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A189F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прибыли и рентабельности</w:t>
      </w:r>
    </w:p>
    <w:p w14:paraId="149F7E2E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B86C46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организации любого бизнеса является получение максимальной прибыли. При ведении бизнеса необходимо просчитывать получаемый доход, т. е. возможность увидеть окупаемость расходов и возможности предприятия к дальней</w:t>
      </w:r>
      <w:r>
        <w:rPr>
          <w:rFonts w:ascii="Times New Roman CYR" w:hAnsi="Times New Roman CYR" w:cs="Times New Roman CYR"/>
          <w:sz w:val="28"/>
          <w:szCs w:val="28"/>
        </w:rPr>
        <w:t>шему развитию. Определение объема производства и реализации продукции таким образом, чтобы его стоимость соответствовала долговременным расходам, является основным правилом получения максимальной прибыли. Предприятие должно прогнозировать получение максима</w:t>
      </w:r>
      <w:r>
        <w:rPr>
          <w:rFonts w:ascii="Times New Roman CYR" w:hAnsi="Times New Roman CYR" w:cs="Times New Roman CYR"/>
          <w:sz w:val="28"/>
          <w:szCs w:val="28"/>
        </w:rPr>
        <w:t>льной прибыли на долговременный период, так как это является первостепенной задачей для его выживания в конкурентных условиях. Прибыль формируется как разность между валовым доходом и расходами предприятия. Но экономическая деятельность предприятия характе</w:t>
      </w:r>
      <w:r>
        <w:rPr>
          <w:rFonts w:ascii="Times New Roman CYR" w:hAnsi="Times New Roman CYR" w:cs="Times New Roman CYR"/>
          <w:sz w:val="28"/>
          <w:szCs w:val="28"/>
        </w:rPr>
        <w:t>ризуется различными критериями, одним из которых является и рентабельность, определяющая отношение чистой прибыли к товарообороту или стоимости всего капитала, выраженная в процентах. По показателю рентабельности можно судить о получение доходов (расходов)</w:t>
      </w:r>
      <w:r>
        <w:rPr>
          <w:rFonts w:ascii="Times New Roman CYR" w:hAnsi="Times New Roman CYR" w:cs="Times New Roman CYR"/>
          <w:sz w:val="28"/>
          <w:szCs w:val="28"/>
        </w:rPr>
        <w:t>, использовании основных средств производства и рабочей силы, а также оборачиваемости собственного и заёмного капитала на данный период времени и о дальнейшем развитии предприятия.</w:t>
      </w:r>
    </w:p>
    <w:p w14:paraId="4F1E90C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Проведём анализ прибыли и рентабельности нашего предприятия.</w:t>
      </w:r>
    </w:p>
    <w:p w14:paraId="62A5B401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778A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динами</w:t>
      </w:r>
      <w:r>
        <w:rPr>
          <w:rFonts w:ascii="Times New Roman CYR" w:hAnsi="Times New Roman CYR" w:cs="Times New Roman CYR"/>
          <w:sz w:val="28"/>
          <w:szCs w:val="28"/>
        </w:rPr>
        <w:t>ки прибыли и рентабельности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1405"/>
        <w:gridCol w:w="1321"/>
        <w:gridCol w:w="1123"/>
        <w:gridCol w:w="1176"/>
        <w:gridCol w:w="954"/>
      </w:tblGrid>
      <w:tr w:rsidR="00000000" w14:paraId="0A2088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AD4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89D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Ед.измер.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581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74A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166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Прирост в тыс.руб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9BE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Прирост в %</w:t>
            </w:r>
          </w:p>
        </w:tc>
      </w:tr>
      <w:tr w:rsidR="00000000" w14:paraId="471BF9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3DD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Товарооборот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900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6E9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5990,0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FE4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6372,0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D3D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382,0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D3A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6,38</w:t>
            </w:r>
          </w:p>
        </w:tc>
      </w:tr>
      <w:tr w:rsidR="00000000" w14:paraId="265887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B37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 в закупочных ценах 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3BD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552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3853,0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276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4081,0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BF1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789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5,92</w:t>
            </w:r>
          </w:p>
        </w:tc>
      </w:tr>
      <w:tr w:rsidR="00000000" w14:paraId="7828E3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DF3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Валовая прибыль 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D89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D46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2137,0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62C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2291,0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634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ABE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7,21</w:t>
            </w:r>
          </w:p>
        </w:tc>
      </w:tr>
      <w:tr w:rsidR="00000000" w14:paraId="113785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F7E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Издержки обращения 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7D2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47A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1785,0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FA6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1884,0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1DA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5A6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5,55</w:t>
            </w:r>
          </w:p>
        </w:tc>
      </w:tr>
      <w:tr w:rsidR="00000000" w14:paraId="12341E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D58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Балансовая прибыль (валов.приб. - изд.обр.) 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5D8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FAC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86D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407,0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471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55.0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0F4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15,63</w:t>
            </w:r>
          </w:p>
        </w:tc>
      </w:tr>
      <w:tr w:rsidR="00000000" w14:paraId="30AE7E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391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ЕНВД (единый налог на вмененный доход)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0EF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DB5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5D6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956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571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1,34</w:t>
            </w:r>
          </w:p>
        </w:tc>
      </w:tr>
      <w:tr w:rsidR="00000000" w14:paraId="0C935E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352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Чистая прибыль (бал.приб. - ЕНВД)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0FB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53D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3F9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260,0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884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B7B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27,1</w:t>
            </w:r>
          </w:p>
        </w:tc>
      </w:tr>
      <w:tr w:rsidR="00000000" w14:paraId="17DA58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487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Наценка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C05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ECA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59A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C62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251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0BC98A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464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Рентабельность удельная 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6AC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55F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B52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890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D94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</w:tr>
    </w:tbl>
    <w:p w14:paraId="4DE2A166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56ABF6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Анализ прибыли и рентабельности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1246"/>
        <w:gridCol w:w="1141"/>
        <w:gridCol w:w="1372"/>
        <w:gridCol w:w="1649"/>
      </w:tblGrid>
      <w:tr w:rsidR="00000000" w14:paraId="06388E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B10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C11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 г.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B3B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6E0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Отклонение (-), (+)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3BF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отклонения (%) </w:t>
            </w:r>
          </w:p>
        </w:tc>
      </w:tr>
      <w:tr w:rsidR="00000000" w14:paraId="2FECA6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96A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Товарооборот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7ACA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5990,0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483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6372,0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101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+382,0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457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6,38</w:t>
            </w:r>
          </w:p>
        </w:tc>
      </w:tr>
      <w:tr w:rsidR="00000000" w14:paraId="72054F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BA8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Сумма валового дохода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2B2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2137,0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E97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2291,0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B43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+154,0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BC3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</w:tr>
      <w:tr w:rsidR="00000000" w14:paraId="1280DC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836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Уровень валового дохода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198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EC9F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64A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+0,01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532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</w:tr>
      <w:tr w:rsidR="00000000" w14:paraId="3F4E2F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EE3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Сумма издержек обращения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51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1785,0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90D3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1884,0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CDF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+99,0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320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5,55</w:t>
            </w:r>
          </w:p>
        </w:tc>
      </w:tr>
      <w:tr w:rsidR="00000000" w14:paraId="43EC73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54BC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Уровень издержек обращения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836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7E0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9F3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140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</w:tr>
      <w:tr w:rsidR="00000000" w14:paraId="200662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C59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Балансовая прибыль (прибыль от реализации)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3B8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352,0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249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407,0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115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+55,0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32C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15,63</w:t>
            </w:r>
          </w:p>
        </w:tc>
      </w:tr>
      <w:tr w:rsidR="00000000" w14:paraId="7D74B2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3672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Удельная рентаб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ельность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7354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350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53BE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+0,6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5FB6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</w:tr>
      <w:tr w:rsidR="00000000" w14:paraId="681ABE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1405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ЕНВД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BA70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447D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40A1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+2,0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5CCB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1,34</w:t>
            </w:r>
          </w:p>
        </w:tc>
      </w:tr>
      <w:tr w:rsidR="00000000" w14:paraId="6FEA5B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826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Чистая прибыль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8668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073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260,0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B519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+57,0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8467" w14:textId="77777777" w:rsidR="00000000" w:rsidRDefault="00B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28,1</w:t>
            </w:r>
          </w:p>
        </w:tc>
      </w:tr>
    </w:tbl>
    <w:p w14:paraId="0CBAAAE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3BD41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проведенный анализ прибыли и рентабельности, в течение 2011 объем реализации увеличилась на 6,38%, товар в закупочных ценах увеличился на</w:t>
      </w:r>
      <w:r>
        <w:rPr>
          <w:rFonts w:ascii="Times New Roman CYR" w:hAnsi="Times New Roman CYR" w:cs="Times New Roman CYR"/>
          <w:sz w:val="28"/>
          <w:szCs w:val="28"/>
        </w:rPr>
        <w:t xml:space="preserve"> 5,92%, а издержки обращения увеличились на 5,55%. Это привело к увеличению валовой прибыли на 7,21%, а балансовой на 15,63%.</w:t>
      </w:r>
    </w:p>
    <w:p w14:paraId="42450EBD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Единый налог на вмененный налог сократился на 2,0 тыс.руб. или на 1,34%, это связано с изменением коэффициента-дефлятора К1. Сокра</w:t>
      </w:r>
      <w:r>
        <w:rPr>
          <w:rFonts w:ascii="Times New Roman CYR" w:hAnsi="Times New Roman CYR" w:cs="Times New Roman CYR"/>
          <w:sz w:val="28"/>
          <w:szCs w:val="28"/>
        </w:rPr>
        <w:t>щение налога не существенно повлияло на увеличение чистой прибыли. Чистая прибыль увеличилась на 57,0 тыс.руб. или на 28,1%.</w:t>
      </w:r>
    </w:p>
    <w:p w14:paraId="6E53371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анализируемый период наценка незначительно повысилась. А показатель рентабельности не изменился.</w:t>
      </w:r>
    </w:p>
    <w:p w14:paraId="09760DD5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FD6425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</w:t>
      </w:r>
    </w:p>
    <w:p w14:paraId="63F7A905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аптека бухгалтерский от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четность прибыль</w:t>
      </w:r>
    </w:p>
    <w:p w14:paraId="2F1C0CE5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Ориентация современной медицины на необходимость применения различных фармацевтических средств, привлекает на фармацевтический рынок большое количество коммерческих организаций, рассчитывающих на серьезные доходы. Величина этих доходов, в</w:t>
      </w:r>
      <w:r>
        <w:rPr>
          <w:rFonts w:ascii="Times New Roman CYR" w:hAnsi="Times New Roman CYR" w:cs="Times New Roman CYR"/>
          <w:sz w:val="28"/>
          <w:szCs w:val="28"/>
        </w:rPr>
        <w:t xml:space="preserve"> первую очередь, определяется емкостью рынка. Потенциальный рынок фармацевтических средств - все население исследуемого региона. Рыночный спрос - общий объем продаж на определенном рынке (частном или совокупном) определенной марки товара или совокупности м</w:t>
      </w:r>
      <w:r>
        <w:rPr>
          <w:rFonts w:ascii="Times New Roman CYR" w:hAnsi="Times New Roman CYR" w:cs="Times New Roman CYR"/>
          <w:sz w:val="28"/>
          <w:szCs w:val="28"/>
        </w:rPr>
        <w:t>арок товара за определенный период времени. Его величина в существенной степени определяется условиями внешней среды, а также маркетинговыми факторами, представляющими собой совокупность маркетинговых усилий, прилагаемых на рынке конкурирующими фирмами. Эв</w:t>
      </w:r>
      <w:r>
        <w:rPr>
          <w:rFonts w:ascii="Times New Roman CYR" w:hAnsi="Times New Roman CYR" w:cs="Times New Roman CYR"/>
          <w:sz w:val="28"/>
          <w:szCs w:val="28"/>
        </w:rPr>
        <w:t>олюция рыночного спроса на фармацевтическую продукцию обусловлена уровнем доходов и цен, привычками потребителей, их культурными ценностями, состоянием экологии, структурой и темпами заболеваемости, а также особенностями организации здравоохранения. 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факторы, возможность реального прямого воздействия на которые у участников фармацевтического рынка отсутствует, а возможности косвенного влияния ограничены, могут оказать решающее влияние на развитие рынка. Поэтому основные усилия предприятий - производит</w:t>
      </w:r>
      <w:r>
        <w:rPr>
          <w:rFonts w:ascii="Times New Roman CYR" w:hAnsi="Times New Roman CYR" w:cs="Times New Roman CYR"/>
          <w:sz w:val="28"/>
          <w:szCs w:val="28"/>
        </w:rPr>
        <w:t>елей, поставщиков и продавцов фармакологической продукции направлены на предвидение изменения внешней среды. Для чего необходимо установить наличие функциональной взаимосвязи между показателями спроса на рынке и отдельными характеристиками среды.</w:t>
      </w:r>
    </w:p>
    <w:p w14:paraId="62276C21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</w:t>
      </w:r>
      <w:r>
        <w:rPr>
          <w:rFonts w:ascii="Times New Roman CYR" w:hAnsi="Times New Roman CYR" w:cs="Times New Roman CYR"/>
          <w:sz w:val="28"/>
          <w:szCs w:val="28"/>
        </w:rPr>
        <w:t>контрольной работе была рассмотрена и проанализирована экономическая и хозяйственная деятельность аптеки ИП Мухаметшина за 2011-2012 год. Анализ деятельности строился на данных бухгалтерской документации предприятия за базовый и отчетный год.</w:t>
      </w:r>
    </w:p>
    <w:p w14:paraId="1D6C1E02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</w:t>
      </w:r>
      <w:r>
        <w:rPr>
          <w:rFonts w:ascii="Times New Roman CYR" w:hAnsi="Times New Roman CYR" w:cs="Times New Roman CYR"/>
          <w:sz w:val="28"/>
          <w:szCs w:val="28"/>
        </w:rPr>
        <w:t>выбранной темы контрольной заключается в том, что любые предприятия, в том числе и маленькие, создаются для получения прибыли. Ведь получение прибыли является основной задачей для руководителей предприятия. Так же прибыль является конечным показателем деят</w:t>
      </w:r>
      <w:r>
        <w:rPr>
          <w:rFonts w:ascii="Times New Roman CYR" w:hAnsi="Times New Roman CYR" w:cs="Times New Roman CYR"/>
          <w:sz w:val="28"/>
          <w:szCs w:val="28"/>
        </w:rPr>
        <w:t>ельности фирмы. Получение прибыли может создавать для предприятия дополнительные возможности, из которых возможно получение еще наибольшей прибыли, такие как:</w:t>
      </w:r>
    </w:p>
    <w:p w14:paraId="57C7FB6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введение новых услуг;</w:t>
      </w:r>
    </w:p>
    <w:p w14:paraId="2E04A5F7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расширения деятельности;</w:t>
      </w:r>
    </w:p>
    <w:p w14:paraId="035FBEC3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улучшения качества услуг;</w:t>
      </w:r>
    </w:p>
    <w:p w14:paraId="0B260401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финансирование н</w:t>
      </w:r>
      <w:r>
        <w:rPr>
          <w:rFonts w:ascii="Times New Roman CYR" w:hAnsi="Times New Roman CYR" w:cs="Times New Roman CYR"/>
          <w:sz w:val="28"/>
          <w:szCs w:val="28"/>
        </w:rPr>
        <w:t>овых проектов;</w:t>
      </w:r>
    </w:p>
    <w:p w14:paraId="4C744094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повышение квалификации сотрудников и др.</w:t>
      </w:r>
    </w:p>
    <w:p w14:paraId="22DE39A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572F0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25B444E9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C473E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В.П. Грузинов, В.Д. Грибов Экономика предприятия: Учебное пособие. - М.: Финансы и статистика, 2001. - 208 с.</w:t>
      </w:r>
    </w:p>
    <w:p w14:paraId="7E9FA69B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И.Т. Балабанов Инновационный менеджмент. СПб.: Питер, 2001. - </w:t>
      </w:r>
      <w:r>
        <w:rPr>
          <w:rFonts w:ascii="Times New Roman CYR" w:hAnsi="Times New Roman CYR" w:cs="Times New Roman CYR"/>
          <w:sz w:val="28"/>
          <w:szCs w:val="28"/>
        </w:rPr>
        <w:t>437 с.</w:t>
      </w:r>
    </w:p>
    <w:p w14:paraId="4DC776E7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Н.В. Сергеев Экономика предприятий: Учебное пособие. - 2-е изд., - М.: Финансы и статистика, 2005. - 310 с.</w:t>
      </w:r>
    </w:p>
    <w:p w14:paraId="782959A6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Н.И. Зайцев Экономика промышленного предприятия. - М.: ИНФРА - М, 2003. - 259 с.</w:t>
      </w:r>
    </w:p>
    <w:p w14:paraId="65613E6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П.Н. Завлина, А.К. Казанцева Инновационный менеджмент: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Учебное пособие. - СПб.: Наука, 2002. - 270 с.</w:t>
      </w:r>
    </w:p>
    <w:p w14:paraId="5EA49EA8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Экономика предприятия: Учебник /Под ред. проф. Н.А. Сафронова. - М.: Юрист, 2002. - 608 с.</w:t>
      </w:r>
    </w:p>
    <w:p w14:paraId="6C6782A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Волкова О.И., Девяткин О.В. Экономика предприятия (фирмы). - М.: Инфра-М, 2006.</w:t>
      </w:r>
    </w:p>
    <w:p w14:paraId="5A0CF30C" w14:textId="77777777" w:rsidR="00000000" w:rsidRDefault="00BC48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Ильин А.И. Экономика предприяти</w:t>
      </w:r>
      <w:r>
        <w:rPr>
          <w:rFonts w:ascii="Times New Roman CYR" w:hAnsi="Times New Roman CYR" w:cs="Times New Roman CYR"/>
          <w:sz w:val="28"/>
          <w:szCs w:val="28"/>
        </w:rPr>
        <w:t>я. - М.: ООО «Новое издание»,2004.</w:t>
      </w:r>
    </w:p>
    <w:p w14:paraId="3DD50939" w14:textId="77777777" w:rsidR="00BC48B2" w:rsidRDefault="00BC48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Г.А. Маховикова, Е.Л. Кантор, И.И. Драгомирецкий. Планирование на предприятии. - М.: Эксмо, 2010.</w:t>
      </w:r>
    </w:p>
    <w:sectPr w:rsidR="00BC48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3C"/>
    <w:rsid w:val="001D703C"/>
    <w:rsid w:val="00BC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BE16F"/>
  <w14:defaultImageDpi w14:val="0"/>
  <w15:docId w15:val="{7B8CCD64-919C-4F45-87D7-F504DF6E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3441</Words>
  <Characters>19619</Characters>
  <Application>Microsoft Office Word</Application>
  <DocSecurity>0</DocSecurity>
  <Lines>163</Lines>
  <Paragraphs>46</Paragraphs>
  <ScaleCrop>false</ScaleCrop>
  <Company/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2025-01-19T05:35:00Z</dcterms:created>
  <dcterms:modified xsi:type="dcterms:W3CDTF">2025-01-19T05:35:00Z</dcterms:modified>
</cp:coreProperties>
</file>