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1AF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Введение </w:t>
      </w:r>
    </w:p>
    <w:p w14:paraId="7768D9C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77B10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(лат. vaccinus - коровий) - препараты, получаемые из микроорганизмов или продуктов их жизнедеятельности; применяются для активной иммунизации людей и животных с профилактической и лечебной целями.</w:t>
      </w:r>
    </w:p>
    <w:p w14:paraId="66CE948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природой специфичес</w:t>
      </w:r>
      <w:r>
        <w:rPr>
          <w:rFonts w:ascii="Times New Roman CYR" w:hAnsi="Times New Roman CYR" w:cs="Times New Roman CYR"/>
          <w:sz w:val="28"/>
          <w:szCs w:val="28"/>
        </w:rPr>
        <w:t>кого антигена вакцины делят на живые, неживые и комбинированные (как живые, так и неживые микроорганизмы и их отдельные антигены).</w:t>
      </w:r>
    </w:p>
    <w:p w14:paraId="1E251A7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Живые вакцины получают из дивергентных (естественных) штаммов микроорганизмов, обладающих ослабленной вирулентностью для чело</w:t>
      </w:r>
      <w:r>
        <w:rPr>
          <w:rFonts w:ascii="Times New Roman CYR" w:hAnsi="Times New Roman CYR" w:cs="Times New Roman CYR"/>
          <w:sz w:val="28"/>
          <w:szCs w:val="28"/>
        </w:rPr>
        <w:t>века, но содержащих полноценный набор антигенов (например, вирус коровьей оспы), и из искусственных (аттенуированных) штаммов микроорганизмов. К живым вакцины можно отнести также векторные вакцины, полученные генно-инженерным способом и представляющие собо</w:t>
      </w:r>
      <w:r>
        <w:rPr>
          <w:rFonts w:ascii="Times New Roman CYR" w:hAnsi="Times New Roman CYR" w:cs="Times New Roman CYR"/>
          <w:sz w:val="28"/>
          <w:szCs w:val="28"/>
        </w:rPr>
        <w:t>й вакцинный штамм, несущий ген чужеродного антигена (например, вирус оспенной вакцины со встроенным антигеном вируса гепатита В).</w:t>
      </w:r>
    </w:p>
    <w:p w14:paraId="1074569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Неживые вакцины подразделяют на молекулярные (химические) и корпускулярные. Молекулярные вакцины конструируют на основе специф</w:t>
      </w:r>
      <w:r>
        <w:rPr>
          <w:rFonts w:ascii="Times New Roman CYR" w:hAnsi="Times New Roman CYR" w:cs="Times New Roman CYR"/>
          <w:sz w:val="28"/>
          <w:szCs w:val="28"/>
        </w:rPr>
        <w:t>ических протективных антигенов, находящихся в молекулярном виде и полученных путем биосинтеза или химического синтеза. К этим вакцинам можно отнести также анатоксины, которые представляют собой обезвреженные формалином молекулы токсинов, образуемых микробн</w:t>
      </w:r>
      <w:r>
        <w:rPr>
          <w:rFonts w:ascii="Times New Roman CYR" w:hAnsi="Times New Roman CYR" w:cs="Times New Roman CYR"/>
          <w:sz w:val="28"/>
          <w:szCs w:val="28"/>
        </w:rPr>
        <w:t>ой клеткой (дифтерийный, столбнячный, ботулинический и др.). Корпускулярные вакцины получают из цельных микроорганизмов, инактивированных физическими (тепло, ультрафиолетовое и другие излучения) или химическими (фенол, спирт) методами (корпускулярные, виру</w:t>
      </w:r>
      <w:r>
        <w:rPr>
          <w:rFonts w:ascii="Times New Roman CYR" w:hAnsi="Times New Roman CYR" w:cs="Times New Roman CYR"/>
          <w:sz w:val="28"/>
          <w:szCs w:val="28"/>
        </w:rPr>
        <w:t xml:space="preserve">сные и бактериальные вакцины), или из субклеточных надмолекулярных антигенных структур, извлеченных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микроорганизмов (субвирионные вакцины, сплит-вакцины, вакцины из сложных антигенных комплексов).</w:t>
      </w:r>
    </w:p>
    <w:p w14:paraId="5A2B9EA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Молекулярные антигены, или сложные протективные антигены</w:t>
      </w:r>
      <w:r>
        <w:rPr>
          <w:rFonts w:ascii="Times New Roman CYR" w:hAnsi="Times New Roman CYR" w:cs="Times New Roman CYR"/>
          <w:sz w:val="28"/>
          <w:szCs w:val="28"/>
        </w:rPr>
        <w:t xml:space="preserve"> бактерий и вирусов, используют для получения синтетических и полусинтетических вакцин, представляющих собой комплекс из специфического антигена, полимерного носителя и адъюванта. </w:t>
      </w:r>
    </w:p>
    <w:p w14:paraId="5672296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отдельных вакцины (моновакцин), предназначенных для иммунизации против о</w:t>
      </w:r>
      <w:r>
        <w:rPr>
          <w:rFonts w:ascii="Times New Roman CYR" w:hAnsi="Times New Roman CYR" w:cs="Times New Roman CYR"/>
          <w:sz w:val="28"/>
          <w:szCs w:val="28"/>
        </w:rPr>
        <w:t>дной инфекции, готовят сложные препараты, состоящие из нескольких моновакцин. Такие ассоциированные вакцины, или поливакцины, поливалентные вакцины обеспечивают иммунитет одновременно против нескольких инфекций. Примером может служить ассоциированная АКДС-</w:t>
      </w:r>
      <w:r>
        <w:rPr>
          <w:rFonts w:ascii="Times New Roman CYR" w:hAnsi="Times New Roman CYR" w:cs="Times New Roman CYR"/>
          <w:sz w:val="28"/>
          <w:szCs w:val="28"/>
        </w:rPr>
        <w:t xml:space="preserve">вакцина, в состав которой входят адсорбированные дифтерийный и столбнячный анатоксины и коклюшный корпускулярный антиген. Существует также семейство полианатоксинов: ботулинический пентаанатоксин, противогангренозный тетраанатоксин, дифтерийно-столбнячный </w:t>
      </w:r>
      <w:r>
        <w:rPr>
          <w:rFonts w:ascii="Times New Roman CYR" w:hAnsi="Times New Roman CYR" w:cs="Times New Roman CYR"/>
          <w:sz w:val="28"/>
          <w:szCs w:val="28"/>
        </w:rPr>
        <w:t>дианатоксин. Для профилактики полиомиелита применяют единый поливалентный препарат, состоящий из аттенуироваиных штаммов I, II, III серотипов (сероваров) вируса полиомиелита.</w:t>
      </w:r>
    </w:p>
    <w:p w14:paraId="74AC6D1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свойством вакцин является создание активного поствакцинального иммунитет</w:t>
      </w:r>
      <w:r>
        <w:rPr>
          <w:rFonts w:ascii="Times New Roman CYR" w:hAnsi="Times New Roman CYR" w:cs="Times New Roman CYR"/>
          <w:sz w:val="28"/>
          <w:szCs w:val="28"/>
        </w:rPr>
        <w:t>а, который по своему характеру и конечному эффекту соответствует постинфекционному иммунитету, иногда отличаясь от него лишь количественно. Вакцинальный процесс при введении живых вакцин сводится к размножению и генерализации аттенуированного штамма в орга</w:t>
      </w:r>
      <w:r>
        <w:rPr>
          <w:rFonts w:ascii="Times New Roman CYR" w:hAnsi="Times New Roman CYR" w:cs="Times New Roman CYR"/>
          <w:sz w:val="28"/>
          <w:szCs w:val="28"/>
        </w:rPr>
        <w:t>низме привитого и вовлечению в процесс иммунной системы. Хотя по характеру поствакцинальных реакций при введении живых вакцин вакцинальный процесс и напоминает инфекционный, однако он отличается от него своим доброкачественным течением.</w:t>
      </w:r>
    </w:p>
    <w:p w14:paraId="15E1655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при введени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и в организм вызывают ответную иммунную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реакцию, которая в зависимости от природы иммунитета и свойств антигена может носить выраженный гуморальный, клеточный или клеточно-гуморальный характер.</w:t>
      </w:r>
    </w:p>
    <w:p w14:paraId="02FA9D8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применения вакцины определяется иммунологической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реактивностью, зависящей от генетических и фенотипических особенностей организма, от качества антигена, дозы, кратности и интервала между прививками. Поэтому для каждой вакцины разрабатывают схему вакцинации. </w:t>
      </w:r>
    </w:p>
    <w:p w14:paraId="637AA18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Живые вакцины обычно используют однократно, н</w:t>
      </w:r>
      <w:r>
        <w:rPr>
          <w:rFonts w:ascii="Times New Roman CYR" w:hAnsi="Times New Roman CYR" w:cs="Times New Roman CYR"/>
          <w:sz w:val="28"/>
          <w:szCs w:val="28"/>
        </w:rPr>
        <w:t>еживые - чаще двукратно или трехкратно. Поствакцинальный иммунитет сохраняется после первичной вакцинации 6-12 мес. (для слабых вакцин) и до 5 и более лет (для сильных вакцин); поддерживается периодическими ревакцинациями. Активность (сила) вакцины определ</w:t>
      </w:r>
      <w:r>
        <w:rPr>
          <w:rFonts w:ascii="Times New Roman CYR" w:hAnsi="Times New Roman CYR" w:cs="Times New Roman CYR"/>
          <w:sz w:val="28"/>
          <w:szCs w:val="28"/>
        </w:rPr>
        <w:t>яется коэффициентом защиты (отношением числа заболеваний среди непривитых к числу заболевших среди привитых), который может варьировать от 2 до 500. К слабым вакцинам с коэффициентом защиты от 2 до 10 относятся гриппозная, дизентерийная, брюшнотифозная и д</w:t>
      </w:r>
      <w:r>
        <w:rPr>
          <w:rFonts w:ascii="Times New Roman CYR" w:hAnsi="Times New Roman CYR" w:cs="Times New Roman CYR"/>
          <w:sz w:val="28"/>
          <w:szCs w:val="28"/>
        </w:rPr>
        <w:t>р., к сильным с коэффициентом защиты от 50 до 500 - оспенная, туляремийная, против желтой лихорадки и др.</w:t>
      </w:r>
    </w:p>
    <w:p w14:paraId="7293B58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способа применения вакцины делят на инъекционные, пероральные и ингаляционные. В соответствии с этим им придается соответствующая лек</w:t>
      </w:r>
      <w:r>
        <w:rPr>
          <w:rFonts w:ascii="Times New Roman CYR" w:hAnsi="Times New Roman CYR" w:cs="Times New Roman CYR"/>
          <w:sz w:val="28"/>
          <w:szCs w:val="28"/>
        </w:rPr>
        <w:t>арственная форма: для инъекций применяют исходные жидкие или регидратированные из сухого состояния вакцины; пероральные - в виде таблеток, конфет (драже) или капсул; для ингаляций используют сухие (пылевые или регидратированные) вакцины. Вакцины для инъекц</w:t>
      </w:r>
      <w:r>
        <w:rPr>
          <w:rFonts w:ascii="Times New Roman CYR" w:hAnsi="Times New Roman CYR" w:cs="Times New Roman CYR"/>
          <w:sz w:val="28"/>
          <w:szCs w:val="28"/>
        </w:rPr>
        <w:t>ий вводят накожно (скарификация), подкожно, внутримышечно.</w:t>
      </w:r>
    </w:p>
    <w:p w14:paraId="27A8B63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просты в изготовлении живые вакцины, так как технология в основном сводится к выращиванию аттенуированного вакцинного штамма с соблюдением условий, обеспечивающих получение чистых культур </w:t>
      </w:r>
      <w:r>
        <w:rPr>
          <w:rFonts w:ascii="Times New Roman CYR" w:hAnsi="Times New Roman CYR" w:cs="Times New Roman CYR"/>
          <w:sz w:val="28"/>
          <w:szCs w:val="28"/>
        </w:rPr>
        <w:t xml:space="preserve">штамма, исключение возможностей загрязнения другими микроорганизмами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(микоплазы, онковирусы) с последующей стабилизацией и стандартизацией конечного препарата. Вакцинные штаммы бактерий выращивают на жидких питательных средах (гидролизаты казеина или други</w:t>
      </w:r>
      <w:r>
        <w:rPr>
          <w:rFonts w:ascii="Times New Roman CYR" w:hAnsi="Times New Roman CYR" w:cs="Times New Roman CYR"/>
          <w:sz w:val="28"/>
          <w:szCs w:val="28"/>
        </w:rPr>
        <w:t xml:space="preserve">е белково-углеводные среды) в аппаратах - ферментаторах емкостью от 0,1 м3 до 1-2 м3. Полученная чистая культура вакцинного штамма подвергается лиофильному высушиванию с добавлением протекторов. </w:t>
      </w:r>
    </w:p>
    <w:p w14:paraId="0E634DA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и риккетсиозные живые вакцины получают выращиванием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вакцинного штамма в эмбрионах кур или перепелов, свободных от вирусов лейкоза, либо в культурах клеток, лишенных микоплазм. Используют или первично-трипсинизированные клетки животных или перевиваемые диплоидные клетки человека. Живые аттенуированные штамм</w:t>
      </w:r>
      <w:r>
        <w:rPr>
          <w:rFonts w:ascii="Times New Roman CYR" w:hAnsi="Times New Roman CYR" w:cs="Times New Roman CYR"/>
          <w:sz w:val="28"/>
          <w:szCs w:val="28"/>
        </w:rPr>
        <w:t>ы бактерий и вирусов, применяемые для приготовления живых вакцин, получены, как правило, из природных штаммов путем их селекции или пассажей через биологические системы (организм животных, эмбрионы кур, культуры клеток, питательные среды).</w:t>
      </w:r>
    </w:p>
    <w:p w14:paraId="12A6A1D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успеха</w:t>
      </w:r>
      <w:r>
        <w:rPr>
          <w:rFonts w:ascii="Times New Roman CYR" w:hAnsi="Times New Roman CYR" w:cs="Times New Roman CYR"/>
          <w:sz w:val="28"/>
          <w:szCs w:val="28"/>
        </w:rPr>
        <w:t xml:space="preserve">ми генетики и генетической инженерии появились возможности целенаправленного конструирования вакцинных штаммов. Получены рекомбинантные штаммы вируса гриппа, а также штаммы вируса вакцины со встроенными генами протективных антигенов вируса гепатита В. </w:t>
      </w:r>
    </w:p>
    <w:p w14:paraId="1D9B61F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</w:t>
      </w:r>
      <w:r>
        <w:rPr>
          <w:rFonts w:ascii="Times New Roman CYR" w:hAnsi="Times New Roman CYR" w:cs="Times New Roman CYR"/>
          <w:sz w:val="28"/>
          <w:szCs w:val="28"/>
        </w:rPr>
        <w:t>ктивированные корпускулярные бактериальные вакцины или цельновирионные инактивированные вакцины получают соответственно из культур бактерий и вирусов, выращенных на тех же средах накопления, что и в случаях получения живых вакцин, и затем подвергнутых инак</w:t>
      </w:r>
      <w:r>
        <w:rPr>
          <w:rFonts w:ascii="Times New Roman CYR" w:hAnsi="Times New Roman CYR" w:cs="Times New Roman CYR"/>
          <w:sz w:val="28"/>
          <w:szCs w:val="28"/>
        </w:rPr>
        <w:t>тивации нагреванием (гретые вакцины), формалином (формолвакцины), ультрафиолетовым излучением (УФ-вакцины), ионизирующим излучением (радиовакцины), спиртом (спиртовые вакцины). Инактивированные вакцины ввиду недостаточно высокой иммуногенности и повышенной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реактогенности не нашли широкого применения.</w:t>
      </w:r>
    </w:p>
    <w:p w14:paraId="6D0AF92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Производство молекулярных вакцин - более сложный технологический процесс, т. к. требует извлечения из выращенной микробной массы протективных антигенов или антигенных комплексов, очистки и концентрирования анти</w:t>
      </w:r>
      <w:r>
        <w:rPr>
          <w:rFonts w:ascii="Times New Roman CYR" w:hAnsi="Times New Roman CYR" w:cs="Times New Roman CYR"/>
          <w:sz w:val="28"/>
          <w:szCs w:val="28"/>
        </w:rPr>
        <w:t>генов, введения в препараты адъювантов. Выделение и очистка антигенов с помощью традиционных методов (экстракции трихлоруксусной кислотой, кислотного или щелочного гидролиза, ферментативного гидролиза, высаливания нейтральными солями, осаждения спиртом или</w:t>
      </w:r>
      <w:r>
        <w:rPr>
          <w:rFonts w:ascii="Times New Roman CYR" w:hAnsi="Times New Roman CYR" w:cs="Times New Roman CYR"/>
          <w:sz w:val="28"/>
          <w:szCs w:val="28"/>
        </w:rPr>
        <w:t xml:space="preserve"> ацетоном) сочетаются с применением современных методов (скоростного ультрацентрифугирования, мембранной ультрафильтрации, хроматографического разделения, аффинной хроматографии, в т.ч. на моноклональных антителах). С помощью этих приемов удается получать </w:t>
      </w:r>
      <w:r>
        <w:rPr>
          <w:rFonts w:ascii="Times New Roman CYR" w:hAnsi="Times New Roman CYR" w:cs="Times New Roman CYR"/>
          <w:sz w:val="28"/>
          <w:szCs w:val="28"/>
        </w:rPr>
        <w:t xml:space="preserve">антигены высокой степени очистки и концентрирования. </w:t>
      </w:r>
    </w:p>
    <w:p w14:paraId="5906447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очищенным антигенам, стандартизированным по числу антигенных единиц, с целью повышения иммуногенности добавляют адъюванты, чаще всего сорбенты-гели (гидрат окиси алюминия и др.). </w:t>
      </w:r>
    </w:p>
    <w:p w14:paraId="607E1CB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в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антиген находится в сорбированном состоянии, называют сорбированными или адсорбированными (дифтерийный, столбнячный, ботулинический сорбированные анатоксины). Сорбент играет роль носителя и адъюванта. В качестве носителя в синтетических вакцинах предложен</w:t>
      </w:r>
      <w:r>
        <w:rPr>
          <w:rFonts w:ascii="Times New Roman CYR" w:hAnsi="Times New Roman CYR" w:cs="Times New Roman CYR"/>
          <w:sz w:val="28"/>
          <w:szCs w:val="28"/>
        </w:rPr>
        <w:t>ы всевозможные полимеры.</w:t>
      </w:r>
    </w:p>
    <w:p w14:paraId="61217AB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разрабатывается генно-инженерный способ получения протективных белковых антигенов бактерий и вирусов. В качестве продуцентов используют обычно эшерихии, дрожжи, псевдомонады со встроенными в них генами протективных антиг</w:t>
      </w:r>
      <w:r>
        <w:rPr>
          <w:rFonts w:ascii="Times New Roman CYR" w:hAnsi="Times New Roman CYR" w:cs="Times New Roman CYR"/>
          <w:sz w:val="28"/>
          <w:szCs w:val="28"/>
        </w:rPr>
        <w:t xml:space="preserve">енов. Получены рекомбинантные штаммы бактерий, продуцирующие антигены возбудителей гриппа, коклюша, кори, герпеса, гепатита В, бешенства, ящура, ВИЧ-инфекции и др. </w:t>
      </w:r>
    </w:p>
    <w:p w14:paraId="5C6E9D1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протективных антигенов генно-инженерным способом целесообразно в том случае, когд</w:t>
      </w:r>
      <w:r>
        <w:rPr>
          <w:rFonts w:ascii="Times New Roman CYR" w:hAnsi="Times New Roman CYR" w:cs="Times New Roman CYR"/>
          <w:sz w:val="28"/>
          <w:szCs w:val="28"/>
        </w:rPr>
        <w:t>а выращивание микробов связано с большими трудностями или опасностями, или когда трудно извлекать антиген из микробной клетки. Принцип и технология получения вакцин на основе генно-инженерного способа сводятся к выращиванию рекомбинантного штамма, выделени</w:t>
      </w:r>
      <w:r>
        <w:rPr>
          <w:rFonts w:ascii="Times New Roman CYR" w:hAnsi="Times New Roman CYR" w:cs="Times New Roman CYR"/>
          <w:sz w:val="28"/>
          <w:szCs w:val="28"/>
        </w:rPr>
        <w:t>ю и очистке протективного антигена, конструированию конечного препарата.</w:t>
      </w:r>
    </w:p>
    <w:p w14:paraId="1A8C916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вакцин, предназначенные для иммунизации людей, проверяют на безвредность, реактогенность и иммуногенность. Безвредность включает проверку на лабораторных животных и других б</w:t>
      </w:r>
      <w:r>
        <w:rPr>
          <w:rFonts w:ascii="Times New Roman CYR" w:hAnsi="Times New Roman CYR" w:cs="Times New Roman CYR"/>
          <w:sz w:val="28"/>
          <w:szCs w:val="28"/>
        </w:rPr>
        <w:t>иологических системах токсичности, пирогенности, стерильности, аллергенности, тератогенности, мутагенности препарата.</w:t>
      </w:r>
    </w:p>
    <w:p w14:paraId="1DB322C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986D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C653C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конечного продукта</w:t>
      </w:r>
    </w:p>
    <w:p w14:paraId="7287B36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A81A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Нейротоксин, вырабатываемый Clostridium tetani &lt;http://humbio.ru/Humbio/infect_har/0000e503.htm&gt; ,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тетаноспазмином. Это одноцепочечный пептид, кодируемый плазмидным геном. При аутолизе бактериальной клетки пептид освобождается и превращается в гетеродимер, состоящий из тяжелой (молекулярная масса 100000) и легкой (50000) цепей. Тяжелая цепь </w:t>
      </w:r>
      <w:r>
        <w:rPr>
          <w:rFonts w:ascii="Times New Roman CYR" w:hAnsi="Times New Roman CYR" w:cs="Times New Roman CYR"/>
          <w:sz w:val="28"/>
          <w:szCs w:val="28"/>
        </w:rPr>
        <w:t>обеспечивает связывание токсина с нервными клетками и эндоцитоз, легкая блокирует высвобождение медиатора в синаптическую щель.</w:t>
      </w:r>
    </w:p>
    <w:p w14:paraId="574C109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Тетаноспазмин связывается с нервными окончаниями спинальных и стволовых мотонейронов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&lt;http://humbio.ru/Humbio/physiology/000d2e93.htm&gt; , подвергается эндоцитозу и посредством аксонного транспорта переносится в тела мотонейронов. Оттуда, через постсинаптическую мембрану и синаптическую щель, он перемещается в пресинаптические окончания и б</w:t>
      </w:r>
      <w:r>
        <w:rPr>
          <w:rFonts w:ascii="Times New Roman CYR" w:hAnsi="Times New Roman CYR" w:cs="Times New Roman CYR"/>
          <w:sz w:val="28"/>
          <w:szCs w:val="28"/>
        </w:rPr>
        <w:t>локирует высвобождение из них тормозных медиаторов - глицина &lt;http://humbio.ru/Humbio/ishemia/0004c2df.htm&gt; и ГАМК &lt;http://humbio.ru/Humbio/ishemia/000d89aa.htm&gt;. Механизм этого действия заключается в том, что тетаноспазмин, будучи цинксодержащей эндопепти</w:t>
      </w:r>
      <w:r>
        <w:rPr>
          <w:rFonts w:ascii="Times New Roman CYR" w:hAnsi="Times New Roman CYR" w:cs="Times New Roman CYR"/>
          <w:sz w:val="28"/>
          <w:szCs w:val="28"/>
        </w:rPr>
        <w:t>дазой, разрушает белки, участвующие в высвобождении медиатора в синаптическую щель.</w:t>
      </w:r>
    </w:p>
    <w:p w14:paraId="1C24A063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тормозных влияний на мотонейроны приводит, с одной стороны, к резкому повышению мышечного тонуса &lt;http://humbio.ru/Humbio/har/005c4049.htm&gt;, с другой - к гиперре</w:t>
      </w:r>
      <w:r>
        <w:rPr>
          <w:rFonts w:ascii="Times New Roman CYR" w:hAnsi="Times New Roman CYR" w:cs="Times New Roman CYR"/>
          <w:sz w:val="28"/>
          <w:szCs w:val="28"/>
        </w:rPr>
        <w:t>флексии &lt;http://humbio.ru/Humbio/infect_har/0014dc36.htm&gt;, при которой в ответ на малейшие раздражители и даже спонтанно возникают тетанические судороги &lt;http://humbio.ru/Humbio/infect_har/0038a993.htm&gt;. Поскольку же блокируется и реципрокное торможение мы</w:t>
      </w:r>
      <w:r>
        <w:rPr>
          <w:rFonts w:ascii="Times New Roman CYR" w:hAnsi="Times New Roman CYR" w:cs="Times New Roman CYR"/>
          <w:sz w:val="28"/>
          <w:szCs w:val="28"/>
        </w:rPr>
        <w:t>шц-антагонистов (опосредуемое полисинаптическими цепями, тормозным медиатором в которых служит глицин &lt;http://humbio.ru/Humbio/ishemia/0004c2df.htm&gt; ), при судорогах &lt;http://humbio.ru/Humbio/infect_har/0038a918.htm&gt; наблюдается одновременное сокращение все</w:t>
      </w:r>
      <w:r>
        <w:rPr>
          <w:rFonts w:ascii="Times New Roman CYR" w:hAnsi="Times New Roman CYR" w:cs="Times New Roman CYR"/>
          <w:sz w:val="28"/>
          <w:szCs w:val="28"/>
        </w:rPr>
        <w:t>х групп мышц.</w:t>
      </w:r>
    </w:p>
    <w:p w14:paraId="4429A64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тормозных влияний на преганглионарные симпатические нейроны приводит к повышению симпатического тонуса и уровня катехоламинов &lt;http://humbio.ru/Humbio/infect_har/00061926.htm&gt; в крови.</w:t>
      </w:r>
    </w:p>
    <w:p w14:paraId="0CDD6B2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Тетаноспазмин способен блокировать выделение ацети</w:t>
      </w:r>
      <w:r>
        <w:rPr>
          <w:rFonts w:ascii="Times New Roman CYR" w:hAnsi="Times New Roman CYR" w:cs="Times New Roman CYR"/>
          <w:sz w:val="28"/>
          <w:szCs w:val="28"/>
        </w:rPr>
        <w:t>лхолина &lt;http://humbio.ru/Humbio/har/000aad98.htm&gt; в нервно-мышечных синапсах, приводя к развитию мышечной слабости &lt;http://humbio.ru/Humbio/eclin/001d5938.htm&gt; и параличей &lt;http://humbio.ru/Humbio/har/0046b1d2.htm&gt;.</w:t>
      </w:r>
    </w:p>
    <w:p w14:paraId="2564A43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местном столбняке тетаноспазмин пер</w:t>
      </w:r>
      <w:r>
        <w:rPr>
          <w:rFonts w:ascii="Times New Roman CYR" w:hAnsi="Times New Roman CYR" w:cs="Times New Roman CYR"/>
          <w:sz w:val="28"/>
          <w:szCs w:val="28"/>
        </w:rPr>
        <w:t>еносится только по тем аксонам, окончания которых располагаются непосредственно в области инфицированной раны; при этом поражение нервных центров не выходит за пределы соответствующих сегментов спинного мозга, и судороги охватывают только соответствующие м</w:t>
      </w:r>
      <w:r>
        <w:rPr>
          <w:rFonts w:ascii="Times New Roman CYR" w:hAnsi="Times New Roman CYR" w:cs="Times New Roman CYR"/>
          <w:sz w:val="28"/>
          <w:szCs w:val="28"/>
        </w:rPr>
        <w:t>ышцы.</w:t>
      </w:r>
    </w:p>
    <w:p w14:paraId="20FBAA4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генерализованном столбняке образовавшийся в ране тетаноспазмин с кровью и лимфой разносится по всему организму. Через гематоэнцефалический барьер он не проникает, но связывается со многими нервными окончаниями, и по соответствующим аксонам перено</w:t>
      </w:r>
      <w:r>
        <w:rPr>
          <w:rFonts w:ascii="Times New Roman CYR" w:hAnsi="Times New Roman CYR" w:cs="Times New Roman CYR"/>
          <w:sz w:val="28"/>
          <w:szCs w:val="28"/>
        </w:rPr>
        <w:t>сится ко всем отделам спинного мозга и ствола мозга. Если допустить, что скорость аксонного транспорта тетаноспазмина одинакова для всех нервов, то в первую очередь будут страдать те нейроны, которые имеют более короткие аксоны. Этим объясняется последоват</w:t>
      </w:r>
      <w:r>
        <w:rPr>
          <w:rFonts w:ascii="Times New Roman CYR" w:hAnsi="Times New Roman CYR" w:cs="Times New Roman CYR"/>
          <w:sz w:val="28"/>
          <w:szCs w:val="28"/>
        </w:rPr>
        <w:t>ельное вовлечение в патологический процесс мышц головы, туловища и конечностей при генерализованном столбняке.</w:t>
      </w:r>
    </w:p>
    <w:p w14:paraId="71C0C57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63D48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DDDDC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сырья для продуцента</w:t>
      </w:r>
    </w:p>
    <w:p w14:paraId="4D9293E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40F8F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столбнячного токсина используется ряд питательных сред, подробно описанных в литературе. </w:t>
      </w:r>
      <w:r>
        <w:rPr>
          <w:rFonts w:ascii="Times New Roman CYR" w:hAnsi="Times New Roman CYR" w:cs="Times New Roman CYR"/>
          <w:sz w:val="28"/>
          <w:szCs w:val="28"/>
        </w:rPr>
        <w:t>Выбор питательной среды во многом зависит от используемого штамма бактерий, методов культивирования, очистки и детоксикации. На территории СНГ для культивирования используется казеиново-растительная среда, так как в этих странах используется один штамм сто</w:t>
      </w:r>
      <w:r>
        <w:rPr>
          <w:rFonts w:ascii="Times New Roman CYR" w:hAnsi="Times New Roman CYR" w:cs="Times New Roman CYR"/>
          <w:sz w:val="28"/>
          <w:szCs w:val="28"/>
        </w:rPr>
        <w:t>лбнячной культуры и достаточно близкие технологические схемы получения препаратов. Казеин (гликопротеин молока) является приемлемым источником питания столбнячной культуры. При проведении кислотного гидролиза казеина в гидролизате обнаруживаются аминокисло</w:t>
      </w:r>
      <w:r>
        <w:rPr>
          <w:rFonts w:ascii="Times New Roman CYR" w:hAnsi="Times New Roman CYR" w:cs="Times New Roman CYR"/>
          <w:sz w:val="28"/>
          <w:szCs w:val="28"/>
        </w:rPr>
        <w:t>ты, необходимые для роста культуры Cl. tetani и образования столбнячного.</w:t>
      </w:r>
    </w:p>
    <w:p w14:paraId="569C9CE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Рядом производителей используются синтетические среды, например, среда Мюллера в модификации Миллера с добавлением экстракта ткани бычьего сердца и казаминовой кислоты. Добавление в </w:t>
      </w:r>
      <w:r>
        <w:rPr>
          <w:rFonts w:ascii="Times New Roman CYR" w:hAnsi="Times New Roman CYR" w:cs="Times New Roman CYR"/>
          <w:sz w:val="28"/>
          <w:szCs w:val="28"/>
        </w:rPr>
        <w:t>среду белков ткани животных приводит к трудностям в процессе очистки и детоксикации токсина. Последнее время проводятся работы по получению питательных сред с использованием панкреатических гидролизатов соевых белков, причем важную роль в токсинообразовани</w:t>
      </w:r>
      <w:r>
        <w:rPr>
          <w:rFonts w:ascii="Times New Roman CYR" w:hAnsi="Times New Roman CYR" w:cs="Times New Roman CYR"/>
          <w:sz w:val="28"/>
          <w:szCs w:val="28"/>
        </w:rPr>
        <w:t>и играет соотношение ароматических аминокислот и пролина.</w:t>
      </w:r>
    </w:p>
    <w:p w14:paraId="513B72E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изготовлении питательной среды готовят смесь казеина, очищенной воды, концентрированной хлористоводородной кислоты в соотношении 1:15:0,5 и проводят гидролиз. Полученный гидролизат обрабатывают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активированным углем для осветления, а затем уголь отделяют фильтрацией. </w:t>
      </w:r>
    </w:p>
    <w:p w14:paraId="70B4CC5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аутолизата отрубей используют пшеничные отруби крупного помола, которые помещают в очищенную воду в соотношении 1:6 и прибавляют 1% хлороформа.</w:t>
      </w:r>
    </w:p>
    <w:p w14:paraId="6310AC3A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делают смесь и</w:t>
      </w:r>
      <w:r>
        <w:rPr>
          <w:rFonts w:ascii="Times New Roman CYR" w:hAnsi="Times New Roman CYR" w:cs="Times New Roman CYR"/>
          <w:sz w:val="28"/>
          <w:szCs w:val="28"/>
        </w:rPr>
        <w:t xml:space="preserve">з казеинового гидролизата и аутолизата. Смесь доводят до кипения, прибавляют 0,05 % двухзамещенного фосфата натрия и 0,05% однозамещенного фосфата калия. В среду добавляют витамины (пиридоксин гидрохлорид, рибофлавин, тиамин, фолиевую кислоту, никотиновую </w:t>
      </w:r>
      <w:r>
        <w:rPr>
          <w:rFonts w:ascii="Times New Roman CYR" w:hAnsi="Times New Roman CYR" w:cs="Times New Roman CYR"/>
          <w:sz w:val="28"/>
          <w:szCs w:val="28"/>
        </w:rPr>
        <w:t>кислоту).</w:t>
      </w:r>
    </w:p>
    <w:p w14:paraId="11AC1FF0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ГОСТ Р 53667-2009 </w:t>
      </w:r>
    </w:p>
    <w:p w14:paraId="1351FF20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Казеин</w:t>
      </w:r>
    </w:p>
    <w:p w14:paraId="4BB5264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требования</w:t>
      </w:r>
    </w:p>
    <w:p w14:paraId="7F8B09D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 Основные показатели и характеристики</w:t>
      </w:r>
    </w:p>
    <w:p w14:paraId="1406AF2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Казеин изготавливают в соответствии с требованиями настоящего стандарта по технологическим инструкциям, утвержденным в установленном порядке, с соблюден</w:t>
      </w:r>
      <w:r>
        <w:rPr>
          <w:rFonts w:ascii="Times New Roman CYR" w:hAnsi="Times New Roman CYR" w:cs="Times New Roman CYR"/>
          <w:sz w:val="28"/>
          <w:szCs w:val="28"/>
        </w:rPr>
        <w:t>ием требований нормативных правовых актов Российской Федерации.</w:t>
      </w:r>
    </w:p>
    <w:p w14:paraId="5F7AC189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Пищевой и технический казеины по органолептическим показателям должны соответствовать требованиям таблицы 1 и 2.</w:t>
      </w:r>
    </w:p>
    <w:p w14:paraId="035F987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68ABB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544"/>
      </w:tblGrid>
      <w:tr w:rsidR="00000000" w14:paraId="7D7DAE5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0D5A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AA9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для пищевого казеина</w:t>
            </w:r>
          </w:p>
        </w:tc>
      </w:tr>
      <w:tr w:rsidR="00000000" w14:paraId="4BA11EA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62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1AD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9E8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сычужного</w:t>
            </w:r>
          </w:p>
        </w:tc>
      </w:tr>
      <w:tr w:rsidR="00000000" w14:paraId="3A3B0D5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A71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0174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Характерный для казеина. Не допускается сильно выраженный неприятный запах</w:t>
            </w:r>
          </w:p>
        </w:tc>
      </w:tr>
      <w:tr w:rsidR="00000000" w14:paraId="5284340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BC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вид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4B7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Сыпучий порошок. Допускается наличие комочков, рассыпающихся при механическом воздействии</w:t>
            </w:r>
          </w:p>
        </w:tc>
      </w:tr>
      <w:tr w:rsidR="00000000" w14:paraId="3CE4AC0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C16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 частиц, нм, не более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18E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8F5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</w:tr>
      <w:tr w:rsidR="00000000" w14:paraId="791314E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E4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F84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светло-жел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того до желтого однородный по всей массе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291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светло-желтого до желтого или кремового, однородный по всей массе</w:t>
            </w:r>
          </w:p>
        </w:tc>
      </w:tr>
      <w:tr w:rsidR="00000000" w14:paraId="1C748E8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52F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Пригорелые частицы (диск)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FE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 w14:paraId="283B0EC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C7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Читота (группа)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5A6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ниже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86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ниже 2 Наличие посторонних примесей не допускается</w:t>
            </w:r>
          </w:p>
        </w:tc>
      </w:tr>
    </w:tbl>
    <w:p w14:paraId="7CB30A9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A06F6" w14:textId="77777777" w:rsidR="00000000" w:rsidRDefault="005E5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DA0FEA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4"/>
        <w:gridCol w:w="2552"/>
      </w:tblGrid>
      <w:tr w:rsidR="00000000" w14:paraId="16601B1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6A4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4A0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для технического казеина</w:t>
            </w:r>
          </w:p>
        </w:tc>
      </w:tr>
      <w:tr w:rsidR="00000000" w14:paraId="7109FBF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9A7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E31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957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сычужного в зерне</w:t>
            </w:r>
          </w:p>
        </w:tc>
      </w:tr>
      <w:tr w:rsidR="00000000" w14:paraId="53D639B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625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Размеры зерна, мм. не более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349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максимальном поперечном разрезе - 10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4DC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27A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максимальном поперечном разрезе - 10</w:t>
            </w:r>
          </w:p>
        </w:tc>
      </w:tr>
      <w:tr w:rsidR="00000000" w14:paraId="7DCB55A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DC1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C67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светло-желтого до желтого однородный по всей массе. Допускается не 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ее 3% пригорелых частиц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23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 светло-кремового до светло-желтого однородный по всей массе.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148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светло-кремового до светло-желтого однородный по всей массе. Допускается не более 1% пригорелых частиц</w:t>
            </w:r>
          </w:p>
        </w:tc>
      </w:tr>
      <w:tr w:rsidR="00000000" w14:paraId="1F2AF83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E73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Чистота (группа)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02C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ниже группы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4A4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ниже группы 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A82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ниже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руппы 2  Наличие посторонних привкусов не допускается</w:t>
            </w:r>
          </w:p>
        </w:tc>
      </w:tr>
    </w:tbl>
    <w:p w14:paraId="4E823ED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1693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По физико-химическим показателям казеин должен соответствовать требованиям таблицы 3</w:t>
      </w:r>
    </w:p>
    <w:p w14:paraId="321D414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E684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276"/>
        <w:gridCol w:w="1346"/>
        <w:gridCol w:w="71"/>
        <w:gridCol w:w="1276"/>
        <w:gridCol w:w="1276"/>
      </w:tblGrid>
      <w:tr w:rsidR="00000000" w14:paraId="042CE2E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848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96C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для казеина</w:t>
            </w:r>
          </w:p>
        </w:tc>
      </w:tr>
      <w:tr w:rsidR="00000000" w14:paraId="2BF0FE6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AD1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C1F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пищевого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324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технического</w:t>
            </w:r>
          </w:p>
        </w:tc>
      </w:tr>
      <w:tr w:rsidR="00000000" w14:paraId="6070803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6DC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97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54D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сычужного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89B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F1E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Сычужного в зерне</w:t>
            </w:r>
          </w:p>
        </w:tc>
      </w:tr>
      <w:tr w:rsidR="00000000" w14:paraId="6F845BA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73E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42E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92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319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зерне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C57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6A1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E2912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31A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влаги, % , не более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4DD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  <w:tr w:rsidR="00000000" w14:paraId="7AC657E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EFF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жира, % 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A10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9D7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659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B0B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 w14:paraId="073EAE5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394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жира в сухом веществе, %,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11E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12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8A6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24C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B7392D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429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белка, % , не менее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151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C75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CA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D05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B72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000000" w14:paraId="02EEE83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488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доля золы, % 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C42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F25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D0F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7A0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765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 w14:paraId="7FAC480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DB0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золы (включая Р2О5) % 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785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EE0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B05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63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BAD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59DEF5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715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лактозы, % , не более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CC6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9B6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FEA802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D12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Свободная кислотность, Т,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7D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9BD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E8D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4AF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AA8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120,0</w:t>
            </w:r>
          </w:p>
        </w:tc>
      </w:tr>
      <w:tr w:rsidR="00000000" w14:paraId="0FC4551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E9A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растворимости - объем осадка на 1 г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азеина, см3, 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855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B81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21C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41E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414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</w:tbl>
    <w:p w14:paraId="7A01CBB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2172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Показатели химической и радиологической безопасности (токсичные элементы митотоксины, антибиотики, пестициды и радионуклеотиды), содержание генно-инженерно-модифицированных организмов (ГМО) а пищевом казеин</w:t>
      </w:r>
      <w:r>
        <w:rPr>
          <w:rFonts w:ascii="Times New Roman CYR" w:hAnsi="Times New Roman CYR" w:cs="Times New Roman CYR"/>
          <w:sz w:val="28"/>
          <w:szCs w:val="28"/>
        </w:rPr>
        <w:t>е не должны превышать требований, установленных нормативными правовыми актами Росийской Федерации</w:t>
      </w:r>
    </w:p>
    <w:p w14:paraId="2F7033E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.1.5 Показатели микробиологической безопасности продукта не должны превышать допустимые уровни, установленные нормативными правовыми актами Росийской Федераци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7E84DA5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6709-72</w:t>
      </w:r>
    </w:p>
    <w:p w14:paraId="49BA4F1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дистилированная</w:t>
      </w:r>
    </w:p>
    <w:p w14:paraId="0B792AC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стандарт распространяется на дистиллированную воду, получаемую в перегонных аппаратах и применяемую для анализа химических реактивов и приготовления растворов реактивов.</w:t>
      </w:r>
    </w:p>
    <w:p w14:paraId="426BE79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Дистиллированная вода представляет собо</w:t>
      </w:r>
      <w:r>
        <w:rPr>
          <w:rFonts w:ascii="Times New Roman CYR" w:hAnsi="Times New Roman CYR" w:cs="Times New Roman CYR"/>
          <w:sz w:val="28"/>
          <w:szCs w:val="28"/>
        </w:rPr>
        <w:t>й прозрачную, бесцветную жидкость, не имеющую запаха.</w:t>
      </w:r>
    </w:p>
    <w:p w14:paraId="409F917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Формула: Н2О.</w:t>
      </w:r>
    </w:p>
    <w:p w14:paraId="449D9D9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масса (по международным атомным массам 1971 г.) - 18,01.</w:t>
      </w:r>
    </w:p>
    <w:p w14:paraId="6DB36545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требования</w:t>
      </w:r>
    </w:p>
    <w:p w14:paraId="164109D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По физико-химическим показателям дистиллированная вода должна соответствовать требованиям и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нормам, указанным в таблице.</w:t>
      </w:r>
    </w:p>
    <w:p w14:paraId="58236E05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4"/>
        <w:gridCol w:w="1026"/>
      </w:tblGrid>
      <w:tr w:rsidR="00000000" w14:paraId="24117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ABC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09E13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169C5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CC5E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Массовая концентрация остатка после выпаривания,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1AA3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2B577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7099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Массовая концентрация аммиака и аммонийных солей (NH4),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871C5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4FDE6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0BFF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Массовая концентрация нитратов (КО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72100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5BBE4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964C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Массовая концентрация сульфатов (SO4),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9B0FE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 w14:paraId="3AB4E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5A41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Массовая концентрация хлоридов (Сl),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A5623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6B771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3266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Массовая концентрация алюминия (Аl),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63C6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 w14:paraId="7672A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AFAE1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Массовая концентрация железа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(Fe),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798E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 w14:paraId="3C332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C0696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Массовая концентрация кальция (Сa),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9848F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 w14:paraId="307FE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DDB2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Массовая концентрация меди (Сu),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3CEDE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55F93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6058B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Массовая концентрация свинца (Рb), %,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379FC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 w14:paraId="421E0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AC49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Массовая концентрация цинка (Zn), мг/дм3,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5962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74374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CD8E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Массовая концентрация веществ, восстанавливающих КМnО4(O), мг/дм3,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09776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4223D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5B9C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рН воды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554D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5,4 - 6,6</w:t>
            </w:r>
          </w:p>
        </w:tc>
      </w:tr>
      <w:tr w:rsidR="00000000" w14:paraId="1B948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11E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Удельная электрическая проводимость при 20 °С, См/м, не более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87AA1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5·10-4</w:t>
            </w:r>
          </w:p>
        </w:tc>
      </w:tr>
    </w:tbl>
    <w:p w14:paraId="2D43412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8159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3118-77</w:t>
      </w:r>
    </w:p>
    <w:p w14:paraId="04D03AB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соляная</w:t>
      </w:r>
    </w:p>
    <w:p w14:paraId="436831B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стандарт распростран</w:t>
      </w:r>
      <w:r>
        <w:rPr>
          <w:rFonts w:ascii="Times New Roman CYR" w:hAnsi="Times New Roman CYR" w:cs="Times New Roman CYR"/>
          <w:sz w:val="28"/>
          <w:szCs w:val="28"/>
        </w:rPr>
        <w:t>яется на реактив - соляную кислоту, представляющую собой бесцветную жидкость, с резким запахом, дымящую на воздухе; смешивается с водой, бензолом и эфиром. Плотность кислоты - 1,15 - 1,19 г/см3.</w:t>
      </w:r>
    </w:p>
    <w:p w14:paraId="0F478FF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HCl</w:t>
      </w:r>
    </w:p>
    <w:p w14:paraId="476B052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масса 36,46</w:t>
      </w:r>
    </w:p>
    <w:p w14:paraId="6FB227E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требования</w:t>
      </w:r>
    </w:p>
    <w:p w14:paraId="20B278C1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оляная кислота должна быть изгоовлена в соответствии с требованиями настоящего стандарта по технологическому регламенту, утвержденному в установленном порядке.</w:t>
      </w:r>
    </w:p>
    <w:p w14:paraId="79CF4CD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химическим показателям соляная кислота должна со ответствовать требованиям и нормам, указанны</w:t>
      </w:r>
      <w:r>
        <w:rPr>
          <w:rFonts w:ascii="Times New Roman CYR" w:hAnsi="Times New Roman CYR" w:cs="Times New Roman CYR"/>
          <w:sz w:val="28"/>
          <w:szCs w:val="28"/>
        </w:rPr>
        <w:t>м в таблице.</w:t>
      </w:r>
    </w:p>
    <w:p w14:paraId="20C4C8C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70"/>
        <w:gridCol w:w="1984"/>
        <w:gridCol w:w="993"/>
      </w:tblGrid>
      <w:tr w:rsidR="00000000" w14:paraId="0F3A328E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268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02E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43015245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9A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009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B1C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Чистый для анализа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914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Чистый</w:t>
            </w:r>
          </w:p>
        </w:tc>
      </w:tr>
      <w:tr w:rsidR="00000000" w14:paraId="782BA67C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61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соляной кислоты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703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5C0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552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35-38</w:t>
            </w:r>
          </w:p>
        </w:tc>
      </w:tr>
      <w:tr w:rsidR="00000000" w14:paraId="197919F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E3C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остатка после прокаливания,%,не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FF2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DF1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B10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</w:tr>
      <w:tr w:rsidR="00000000" w14:paraId="3B1DADDA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DA5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сульфитов,%,не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006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CC6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521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</w:t>
            </w:r>
          </w:p>
        </w:tc>
      </w:tr>
      <w:tr w:rsidR="00000000" w14:paraId="12599DD3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481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сульфатов,%,не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16D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D50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2E3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</w:tr>
      <w:tr w:rsidR="00000000" w14:paraId="5C5A3CB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5BF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свободного хлора,%,не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713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039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3D7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</w:t>
            </w:r>
          </w:p>
        </w:tc>
      </w:tr>
      <w:tr w:rsidR="00000000" w14:paraId="15EB350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6E8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аммонийных солей,%,не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002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444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CBF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</w:t>
            </w:r>
          </w:p>
        </w:tc>
      </w:tr>
      <w:tr w:rsidR="00000000" w14:paraId="42EC598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D17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железа,%,не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09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624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7D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0,00030</w:t>
            </w:r>
          </w:p>
        </w:tc>
      </w:tr>
      <w:tr w:rsidR="00000000" w14:paraId="1366B424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ACF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мышьяка,%,не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3AC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2F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1C3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0,000010</w:t>
            </w:r>
          </w:p>
        </w:tc>
      </w:tr>
      <w:tr w:rsidR="00000000" w14:paraId="465F9B0B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F1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тяжелых металлов,%,не более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E0D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3EA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415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</w:t>
            </w:r>
          </w:p>
        </w:tc>
      </w:tr>
    </w:tbl>
    <w:p w14:paraId="5CCBD95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D275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6217-74</w:t>
      </w:r>
    </w:p>
    <w:p w14:paraId="77B9D99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Уголь активный древесный дробленый. </w:t>
      </w:r>
    </w:p>
    <w:p w14:paraId="2FDD522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стандарт распространяется на активный древесный у</w:t>
      </w:r>
      <w:r>
        <w:rPr>
          <w:rFonts w:ascii="Times New Roman CYR" w:hAnsi="Times New Roman CYR" w:cs="Times New Roman CYR"/>
          <w:sz w:val="28"/>
          <w:szCs w:val="28"/>
        </w:rPr>
        <w:t>голь, изготовляемый из древесного угля марки А обработкой его водяным паром при температуре выше 800 град. С и предварительного или последующего дробления. Активный древесный дробленый уголь предназначается для адсорбции из жидких сред и других целей.</w:t>
      </w:r>
    </w:p>
    <w:p w14:paraId="58A60D11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</w:t>
      </w:r>
      <w:r>
        <w:rPr>
          <w:rFonts w:ascii="Times New Roman CYR" w:hAnsi="Times New Roman CYR" w:cs="Times New Roman CYR"/>
          <w:sz w:val="28"/>
          <w:szCs w:val="28"/>
        </w:rPr>
        <w:t>хнические требования</w:t>
      </w:r>
    </w:p>
    <w:p w14:paraId="75503005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Активный древесный дробленый уголь должен изготовляться в соответствии с требованиями настоящего стандарта по технологическому регламенту утвержденному в установленном порядке.</w:t>
      </w:r>
    </w:p>
    <w:p w14:paraId="204F30C5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По физико-химическим показателям активный древесный </w:t>
      </w:r>
      <w:r>
        <w:rPr>
          <w:rFonts w:ascii="Times New Roman CYR" w:hAnsi="Times New Roman CYR" w:cs="Times New Roman CYR"/>
          <w:sz w:val="28"/>
          <w:szCs w:val="28"/>
        </w:rPr>
        <w:t>дробленый уголь должен соответствовать требованиям и нормам, указанным в таблице.</w:t>
      </w:r>
    </w:p>
    <w:p w14:paraId="190EC04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545"/>
        <w:gridCol w:w="1546"/>
        <w:gridCol w:w="1542"/>
        <w:gridCol w:w="1442"/>
        <w:gridCol w:w="1561"/>
      </w:tblGrid>
      <w:tr w:rsidR="00000000" w14:paraId="30F48A11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F49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для показателя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9F9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для марки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3FA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анализа</w:t>
            </w:r>
          </w:p>
        </w:tc>
      </w:tr>
      <w:tr w:rsidR="00000000" w14:paraId="2A885B4C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8D3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2A3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БАУ-А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D67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БАУ-Аu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1A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ДАК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026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БАУ-МФ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D94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E53F7A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2D6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9EF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ОКП 21 6239 0100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B6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ОКП 21 6239 0200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DF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ОКП 21 6239 0300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92B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ОКП 21 6239 0400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663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8C91134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F4D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вид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23C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черного цвета без механическх примесей и включений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B2E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Визуально</w:t>
            </w:r>
          </w:p>
        </w:tc>
      </w:tr>
      <w:tr w:rsidR="00000000" w14:paraId="0434F7D0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4B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Адсорбционная активность по йоду,%,не менее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56A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340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2DC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319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4E5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ГОСТ 17219</w:t>
            </w:r>
          </w:p>
        </w:tc>
      </w:tr>
      <w:tr w:rsidR="00000000" w14:paraId="4705307D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8D5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Суммарный объем пор по воде, не менее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792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F94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FB6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0D4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ГОСТ 16190</w:t>
            </w:r>
          </w:p>
        </w:tc>
      </w:tr>
      <w:tr w:rsidR="00000000" w14:paraId="01344301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12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Насыпная плотность,г/дм, не более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210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2C2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1AB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12A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716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ГОСТ 16187</w:t>
            </w:r>
          </w:p>
        </w:tc>
      </w:tr>
      <w:tr w:rsidR="00000000" w14:paraId="683DBD09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34E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золы,%, не более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B2C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023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DEF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666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1C0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ГОСТ 12596</w:t>
            </w:r>
          </w:p>
        </w:tc>
      </w:tr>
      <w:tr w:rsidR="00000000" w14:paraId="6C88481F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FE9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влаги,%, не более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345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509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857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233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CDA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ГОСТ 12597</w:t>
            </w:r>
          </w:p>
        </w:tc>
      </w:tr>
      <w:tr w:rsidR="00000000" w14:paraId="725672B8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BFE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Прочность,%, не менее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D77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9BD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560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487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F0D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97BFE6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B44C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7169-66</w:t>
      </w:r>
    </w:p>
    <w:p w14:paraId="0AEA694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Отруби пшеничные</w:t>
      </w:r>
    </w:p>
    <w:p w14:paraId="5DD57A3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стандарт распространяется на отруби, получаемые в качес</w:t>
      </w:r>
      <w:r>
        <w:rPr>
          <w:rFonts w:ascii="Times New Roman CYR" w:hAnsi="Times New Roman CYR" w:cs="Times New Roman CYR"/>
          <w:sz w:val="28"/>
          <w:szCs w:val="28"/>
        </w:rPr>
        <w:t>тве побочного продукта при сортовых и обойных помолах пшеницы.</w:t>
      </w:r>
    </w:p>
    <w:p w14:paraId="61BF983A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требования</w:t>
      </w:r>
    </w:p>
    <w:p w14:paraId="0E3FE501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Отруби должны вырабатываться в соответствии с требованиями настоящего стандарта по технологическим правилам, утвержденным в установленном порядке.</w:t>
      </w:r>
    </w:p>
    <w:p w14:paraId="44411B7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9353. Пшеница, н</w:t>
      </w:r>
      <w:r>
        <w:rPr>
          <w:rFonts w:ascii="Times New Roman CYR" w:hAnsi="Times New Roman CYR" w:cs="Times New Roman CYR"/>
          <w:sz w:val="28"/>
          <w:szCs w:val="28"/>
        </w:rPr>
        <w:t>аправляемая на размол после очистки, не должна содержать: куколя - более 0,1 %, вредных примесей - более 0,05 %, в том числе: горчака ползучего и вязеля разноцветного (по совокупности) - более 0,04 %, гелиотропа опушенно-плодного и триходесмы седой - не до</w:t>
      </w:r>
      <w:r>
        <w:rPr>
          <w:rFonts w:ascii="Times New Roman CYR" w:hAnsi="Times New Roman CYR" w:cs="Times New Roman CYR"/>
          <w:sz w:val="28"/>
          <w:szCs w:val="28"/>
        </w:rPr>
        <w:t>пускается.</w:t>
      </w:r>
    </w:p>
    <w:p w14:paraId="10C7CF1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По органолептическим и физико-химическим показателям пшеничные отруби должны соответствовать требованиям, указанным в таблице.</w:t>
      </w:r>
    </w:p>
    <w:p w14:paraId="5C5F9E6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686"/>
        <w:gridCol w:w="1559"/>
      </w:tblGrid>
      <w:tr w:rsidR="00000000" w14:paraId="0F58E7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F6D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6D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и норма</w:t>
            </w:r>
          </w:p>
        </w:tc>
      </w:tr>
      <w:tr w:rsidR="00000000" w14:paraId="2A6644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98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Цвет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5EF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Красно-желтый с сероватым оттенком</w:t>
            </w:r>
          </w:p>
        </w:tc>
      </w:tr>
      <w:tr w:rsidR="00000000" w14:paraId="49EA57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994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Запах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E14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отрубям, без посторонних запахов, не затхлый, не плесневый</w:t>
            </w:r>
          </w:p>
        </w:tc>
      </w:tr>
      <w:tr w:rsidR="00000000" w14:paraId="0CC2F1A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321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Вкус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B3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Свойственный отрубям, без посторонних привкусов, не кислый, не горький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4AC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горький</w:t>
            </w:r>
          </w:p>
        </w:tc>
      </w:tr>
      <w:tr w:rsidR="00000000" w14:paraId="5D3109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D45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Влажность, %, не более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6E3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000000" w14:paraId="320399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90A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 6. (Исключены, Изм. № 2).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6D9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0988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1E3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Металломагнитная примесь: частицы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еталломагнитной примеси размером до 2 мм на 1 кг отрубей, мг, не более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983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B73E8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616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частицы размером от 0,5 до 2 мм,мг, не более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F29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000F48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AE7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частицы металломагнитной примеси с острыми концами и краями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D9F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</w:t>
            </w:r>
          </w:p>
        </w:tc>
      </w:tr>
      <w:tr w:rsidR="00000000" w14:paraId="19351B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7A3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Зараженность и загрязненность вредителями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66F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</w:t>
            </w:r>
          </w:p>
        </w:tc>
      </w:tr>
    </w:tbl>
    <w:p w14:paraId="2569B8F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A383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Содержание токсичных элементов, микотоксинов и пестицидов в отрубях, предназначенных на пищевые цели, не должно превышать допустимые уровни, установленные Медико- биологическими требованиями и санитарными нормами качества продовольст</w:t>
      </w:r>
      <w:r>
        <w:rPr>
          <w:rFonts w:ascii="Times New Roman CYR" w:hAnsi="Times New Roman CYR" w:cs="Times New Roman CYR"/>
          <w:sz w:val="28"/>
          <w:szCs w:val="28"/>
        </w:rPr>
        <w:t>венного сырья и пищевых продуктов, утвержденными Минздравом СССР от 01.08.89 № 5061.</w:t>
      </w:r>
    </w:p>
    <w:p w14:paraId="2B7C922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4198-75</w:t>
      </w:r>
    </w:p>
    <w:p w14:paraId="650047D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фосфорнокислый однозамещенный</w:t>
      </w:r>
    </w:p>
    <w:p w14:paraId="56D0391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стандарт распространяется на однозамещенный фосфорнокислый калий, представляющий собой бесцветные кристаллы; рас</w:t>
      </w:r>
      <w:r>
        <w:rPr>
          <w:rFonts w:ascii="Times New Roman CYR" w:hAnsi="Times New Roman CYR" w:cs="Times New Roman CYR"/>
          <w:sz w:val="28"/>
          <w:szCs w:val="28"/>
        </w:rPr>
        <w:t>творим в воде; слабо гигроскопичен..</w:t>
      </w:r>
    </w:p>
    <w:p w14:paraId="0D2A7C6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КН2РО4</w:t>
      </w:r>
    </w:p>
    <w:p w14:paraId="31F41201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молекулярная масса - 136,09.</w:t>
      </w:r>
    </w:p>
    <w:p w14:paraId="7B6370E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требования</w:t>
      </w:r>
    </w:p>
    <w:p w14:paraId="30EE2A4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физико-химическим показателям активный древесный дробленый уголь должен соответствовать требованиям и нормам, указанным в таблице.</w:t>
      </w:r>
    </w:p>
    <w:p w14:paraId="3BD8A4A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5"/>
        <w:gridCol w:w="2115"/>
        <w:gridCol w:w="1004"/>
      </w:tblGrid>
      <w:tr w:rsidR="00000000" w14:paraId="3E54C0C5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AA1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менование показателя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B46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63DB898B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1E9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BE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 чистый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70B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Чистый для анализа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66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Чистый</w:t>
            </w:r>
          </w:p>
        </w:tc>
      </w:tr>
      <w:tr w:rsidR="00000000" w14:paraId="3F0A750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885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однозамещенного фосфорнокислого калия, %, не менее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57B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AE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24C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</w:tr>
      <w:tr w:rsidR="00000000" w14:paraId="56838BF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B1E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не растворимых в воде веществ,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E58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3FA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056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 w14:paraId="2540781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A35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потерь при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ысушивании,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CAB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E2B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5EB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1FF7D3C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A32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общего азота,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141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990A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09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</w:tr>
      <w:tr w:rsidR="00000000" w14:paraId="028020D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148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сульфатов,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6B1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1942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C7A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 w14:paraId="6A41B2E3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BE4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хлоридов,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F379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3F5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C7B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</w:tr>
      <w:tr w:rsidR="00000000" w14:paraId="10A6774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E98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железа,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5F2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E71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E5E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</w:t>
            </w:r>
          </w:p>
        </w:tc>
      </w:tr>
      <w:tr w:rsidR="00000000" w14:paraId="79CC2A5A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C18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тяжелых металлов,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475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519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E38B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 w14:paraId="3749808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BD40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мышьяка,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122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03B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2B8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</w:t>
            </w:r>
          </w:p>
        </w:tc>
      </w:tr>
      <w:tr w:rsidR="00000000" w14:paraId="18AC6E5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AF5D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натрия,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4C37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B41F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D071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76E2F1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0F8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Массовая доля кальция, %, не более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F89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B20C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3885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 w14:paraId="29291B5D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769E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 раствора препарата с масс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овой долей 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6456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4,4-4,7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863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4,4-4,7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1C14" w14:textId="77777777" w:rsidR="00000000" w:rsidRDefault="005E5E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290B7F1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6CFE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Пиридоксина гидрохлорид.</w:t>
      </w:r>
    </w:p>
    <w:p w14:paraId="3B3275C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формы. Синтетический препарат. Выпускается в виде порошка, таблеток по 0,002 и 0,01 г в упаковке по 50 штук; одно- и 5%-ного раствора в ампулах по 1 мл в упаковке по 10 штук.</w:t>
      </w:r>
    </w:p>
    <w:p w14:paraId="19DD6196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</w:t>
      </w:r>
      <w:r>
        <w:rPr>
          <w:rFonts w:ascii="Times New Roman CYR" w:hAnsi="Times New Roman CYR" w:cs="Times New Roman CYR"/>
          <w:sz w:val="28"/>
          <w:szCs w:val="28"/>
        </w:rPr>
        <w:t>е свойства. Витамин В6 принимает участие в обмене веществ. Он необходим для нормального функционирования центральной и нервной периферической системы, активирует процессы всасывания из кишечника аминокислот и железа.</w:t>
      </w:r>
    </w:p>
    <w:p w14:paraId="5CF5687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Препарат находи</w:t>
      </w:r>
      <w:r>
        <w:rPr>
          <w:rFonts w:ascii="Times New Roman CYR" w:hAnsi="Times New Roman CYR" w:cs="Times New Roman CYR"/>
          <w:sz w:val="28"/>
          <w:szCs w:val="28"/>
        </w:rPr>
        <w:t>т применение при гиповитаминозе, токсикозе беременных, заболеваниях крови (железодефицитная анемия, лейкопения), нервной системы (радикулиты, невриты, состояния с повышенной судорожной готовностью, невралгии, паркинсонизм и др.). Витамин В6 назначают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при морской и воздушной болезни, болезни Меньера, при атеросклерозе, сахарном диабете, нетяжелых заболеваниях печени, язвенной болезни желудка и двенадцатиперстной кишки. Препарат применяют в клинике кожных болезней (для лечения дерматитов, опоясывающего </w:t>
      </w:r>
      <w:r>
        <w:rPr>
          <w:rFonts w:ascii="Times New Roman CYR" w:hAnsi="Times New Roman CYR" w:cs="Times New Roman CYR"/>
          <w:sz w:val="28"/>
          <w:szCs w:val="28"/>
        </w:rPr>
        <w:t>лишая, псориаза и др.), а также при нарушениях сердечно-сосудистой системы, для подавления лактации и при интоксикациях, вызванных некоторыми противотуберкулезными средствами (тубазид, фтивазид).</w:t>
      </w:r>
    </w:p>
    <w:p w14:paraId="4DB6A20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применения. Препарат назначают внутрь и внутримышечн</w:t>
      </w:r>
      <w:r>
        <w:rPr>
          <w:rFonts w:ascii="Times New Roman CYR" w:hAnsi="Times New Roman CYR" w:cs="Times New Roman CYR"/>
          <w:sz w:val="28"/>
          <w:szCs w:val="28"/>
        </w:rPr>
        <w:t>о. Внутрь витамин В6 принимают для профилактики по 0,002 - 0,05 г в день, с лечебной целью - по 0,05 - 0,1 г в 1 - 2 приема. Курс лечения составляет 1 - 3 месяца.</w:t>
      </w:r>
    </w:p>
    <w:p w14:paraId="7272FB3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и осложнения. При использовании препарата возможны аллергические реакции в в</w:t>
      </w:r>
      <w:r>
        <w:rPr>
          <w:rFonts w:ascii="Times New Roman CYR" w:hAnsi="Times New Roman CYR" w:cs="Times New Roman CYR"/>
          <w:sz w:val="28"/>
          <w:szCs w:val="28"/>
        </w:rPr>
        <w:t>иде кожного зуда и сыпей, повышение кислотности желудочного сока.</w:t>
      </w:r>
    </w:p>
    <w:p w14:paraId="401BBBC1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Препарат не назначают при тяжелых заболеваниях печени, язвенной болезни желудка, двенадцатиперстной кишки, гиперацидном гастрите, ишемической болезни сердца.</w:t>
      </w:r>
    </w:p>
    <w:p w14:paraId="02FEA81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пр</w:t>
      </w:r>
      <w:r>
        <w:rPr>
          <w:rFonts w:ascii="Times New Roman CYR" w:hAnsi="Times New Roman CYR" w:cs="Times New Roman CYR"/>
          <w:sz w:val="28"/>
          <w:szCs w:val="28"/>
        </w:rPr>
        <w:t>охладном, защищенном от света месте. Срок годности всех лекарственных форм 3 года.</w:t>
      </w:r>
    </w:p>
    <w:p w14:paraId="7E825C8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Рибофлавин (Riboflavinum)</w:t>
      </w:r>
    </w:p>
    <w:p w14:paraId="6A259F4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действие:Активно участвует в процессах белкового, углеводного и жирового обмена. Участвует в зрительной функции глаз (наряду с ре</w:t>
      </w:r>
      <w:r>
        <w:rPr>
          <w:rFonts w:ascii="Times New Roman CYR" w:hAnsi="Times New Roman CYR" w:cs="Times New Roman CYR"/>
          <w:sz w:val="28"/>
          <w:szCs w:val="28"/>
        </w:rPr>
        <w:t>тинолом) и в синтезе гемоглобина. При пониженном содержании рибофлавина в пише у человека развивается гипорибофлавиноз (болезнь, развивающаяся вследствие недостаточного поступления в организм витамина В2), а затем арибофлавиноз (болезнь, связанная с отсутс</w:t>
      </w:r>
      <w:r>
        <w:rPr>
          <w:rFonts w:ascii="Times New Roman CYR" w:hAnsi="Times New Roman CYR" w:cs="Times New Roman CYR"/>
          <w:sz w:val="28"/>
          <w:szCs w:val="28"/>
        </w:rPr>
        <w:t>твием поступления в организм витамина В2).</w:t>
      </w:r>
    </w:p>
    <w:p w14:paraId="405B987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применению:Гипо- и арибофлавиноз. Гемералопия (ночное ухудшение зрения /куриная слепота/) - назначают с ретинолом. Конъюнктивиты (воспаление наружной оболочки глаза), ириты (воспаление радужной оболочк</w:t>
      </w:r>
      <w:r>
        <w:rPr>
          <w:rFonts w:ascii="Times New Roman CYR" w:hAnsi="Times New Roman CYR" w:cs="Times New Roman CYR"/>
          <w:sz w:val="28"/>
          <w:szCs w:val="28"/>
        </w:rPr>
        <w:t>и глаза), кератиты (воспаление роговицы). Длительно незаживающие раны и язвы. Лучевая болезнь. Экземы. Болезнь Боткина (инфекционное воспаление ткани печени, вызванное вирусом, проникающим в организм через рот) и другие заболевания печени. Нарушения функци</w:t>
      </w:r>
      <w:r>
        <w:rPr>
          <w:rFonts w:ascii="Times New Roman CYR" w:hAnsi="Times New Roman CYR" w:cs="Times New Roman CYR"/>
          <w:sz w:val="28"/>
          <w:szCs w:val="28"/>
        </w:rPr>
        <w:t>и желудочно-кишечного тракта. Железодефицитная анемия (снижение содержания гемоглобина в крови вследствие нарушения поступления, усвоения или выделения железа).</w:t>
      </w:r>
    </w:p>
    <w:p w14:paraId="14F5FAB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применения:Внутрь взрослым 0,005-0,01 г в день. При более выраженной недостаточности риб</w:t>
      </w:r>
      <w:r>
        <w:rPr>
          <w:rFonts w:ascii="Times New Roman CYR" w:hAnsi="Times New Roman CYR" w:cs="Times New Roman CYR"/>
          <w:sz w:val="28"/>
          <w:szCs w:val="28"/>
        </w:rPr>
        <w:t>офлавина по 0,01 г 3 раза в день в течение 1-1'/2 мес; детям от 0,002-0,005 г до 0,01 г в день в зависимости от возраста; 0,01% раствор препарата используют в виде глазных капель.</w:t>
      </w:r>
    </w:p>
    <w:p w14:paraId="3BA0B36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 витамине 82 составляет для взрослого человека около 2</w:t>
      </w:r>
      <w:r>
        <w:rPr>
          <w:rFonts w:ascii="Times New Roman CYR" w:hAnsi="Times New Roman CYR" w:cs="Times New Roman CYR"/>
          <w:sz w:val="28"/>
          <w:szCs w:val="28"/>
        </w:rPr>
        <w:t>,5 мг, при тяжелом физическом труде - около 3 мг; для детей от 6 мес. до 1 года - 0,6 мг; от 1 года до 1,5 лет - 1,1 мг; от 1,5 до 2 лет - 1,2 мг; от 3 до 4 лет - 1,4 мг; от 5 до 6 лет - 1,6 мг; от 7 до 10 лет - 1,9 мг; от 11 до 13 лет - 2,3 мг; для юношей</w:t>
      </w:r>
      <w:r>
        <w:rPr>
          <w:rFonts w:ascii="Times New Roman CYR" w:hAnsi="Times New Roman CYR" w:cs="Times New Roman CYR"/>
          <w:sz w:val="28"/>
          <w:szCs w:val="28"/>
        </w:rPr>
        <w:t xml:space="preserve"> 14-17 лет - 2,5 мг; для девушек 14-17 лет - 2,2 мг.</w:t>
      </w:r>
    </w:p>
    <w:p w14:paraId="1F1007C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выпуска:Порошок; драже по 0,002 г в упаковке по 50 штук; таблетки по 0,01 г с риской в упаковке по 50 штук.</w:t>
      </w:r>
    </w:p>
    <w:p w14:paraId="450668E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хранения:В защищенном от света месте.</w:t>
      </w:r>
    </w:p>
    <w:p w14:paraId="21F448EE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Синонимы:Витамин В2, Лактофлавин, Бефлавин</w:t>
      </w:r>
      <w:r>
        <w:rPr>
          <w:rFonts w:ascii="Times New Roman CYR" w:hAnsi="Times New Roman CYR" w:cs="Times New Roman CYR"/>
          <w:sz w:val="28"/>
          <w:szCs w:val="28"/>
        </w:rPr>
        <w:t xml:space="preserve">, Бефлавит, Бетавитам, Флаваксин, Флавитол, Лактобен, Овофлавин, Рибовин, Витафлавин, Витаплекс В2.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противостолбнячный вакцина сырье витамин</w:t>
      </w:r>
    </w:p>
    <w:p w14:paraId="339E9D7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Состав:6,7-Диметил-9-(D-1-рибитил)-изоаллоксазин. Желто-оранжевый кристаллический порошок горького вкуса, со слабым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специфическим запахом. На свету неустойчив. Мало растворим в воде и спирте. Водные растворы имеют желтую окраску и интенсивную желтовато-зеленую флюоресценцию; рН растворов 5,0 - 7,0. Стерилизуют при +100 'С в течение 30 мин.</w:t>
      </w:r>
    </w:p>
    <w:p w14:paraId="670BB14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Дополнительно:Рибофлавин (вит</w:t>
      </w:r>
      <w:r>
        <w:rPr>
          <w:rFonts w:ascii="Times New Roman CYR" w:hAnsi="Times New Roman CYR" w:cs="Times New Roman CYR"/>
          <w:sz w:val="28"/>
          <w:szCs w:val="28"/>
        </w:rPr>
        <w:t>амин В2) входит в состав препаратов гепастерил-А, гепастерил-Б, дрожжи пивные, пернексин эликсир, эссенциале и др.</w:t>
      </w:r>
    </w:p>
    <w:p w14:paraId="469BC7F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Перед использованием препарата Рибофлавин вы должны проконсультироваться с врачом. Данная инструкция по применению приведена в своб</w:t>
      </w:r>
      <w:r>
        <w:rPr>
          <w:rFonts w:ascii="Times New Roman CYR" w:hAnsi="Times New Roman CYR" w:cs="Times New Roman CYR"/>
          <w:sz w:val="28"/>
          <w:szCs w:val="28"/>
        </w:rPr>
        <w:t>одном переводе и предназначена исключительно для ознакомления. Для получения более полной информации просим обращаться к аннотации производителя.</w:t>
      </w:r>
    </w:p>
    <w:p w14:paraId="6153B8F4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Тиамина хлорид</w:t>
      </w:r>
    </w:p>
    <w:p w14:paraId="63EB618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по медицинскому применению</w:t>
      </w:r>
    </w:p>
    <w:p w14:paraId="580844D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</w:t>
      </w:r>
    </w:p>
    <w:p w14:paraId="5044CD2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и химическое названия: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тиамин; (3-[(4-Амино-2-метил-5-пиримидинил)метил] -5-(2-гидроксиэтил)-4-метил-тиазолий хлорид-гидрохлорид);</w:t>
      </w:r>
    </w:p>
    <w:p w14:paraId="7A8053F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физико-химические свойства: прозрачная бесцветная или слегка желтоватая жидкость со слабым характерным запахом;</w:t>
      </w:r>
    </w:p>
    <w:p w14:paraId="28215CE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1 мл инъекционного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содержит тиамина хлорида- 0,05 г </w:t>
      </w:r>
    </w:p>
    <w:p w14:paraId="22F5083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унитиол, вода для инъекций.</w:t>
      </w:r>
    </w:p>
    <w:p w14:paraId="2D49161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Раствор для инъекций.</w:t>
      </w:r>
    </w:p>
    <w:p w14:paraId="67E0A68D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 Простые препараты витамина B1. Код АТС: А11DА01.</w:t>
      </w:r>
    </w:p>
    <w:p w14:paraId="30624C4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461556E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тиамина </w:t>
      </w:r>
      <w:r>
        <w:rPr>
          <w:rFonts w:ascii="Times New Roman CYR" w:hAnsi="Times New Roman CYR" w:cs="Times New Roman CYR"/>
          <w:sz w:val="28"/>
          <w:szCs w:val="28"/>
        </w:rPr>
        <w:t>хлорид вследствие процессов фосфорилирования превращается в кокарбоксилазу, являющуюся коферментом многих ферментных реакций и играющую важную роль в углеводном, белковом и липидном обменах. Тиамина хлорид, содержащий четвертичный атом азота, влияет на про</w:t>
      </w:r>
      <w:r>
        <w:rPr>
          <w:rFonts w:ascii="Times New Roman CYR" w:hAnsi="Times New Roman CYR" w:cs="Times New Roman CYR"/>
          <w:sz w:val="28"/>
          <w:szCs w:val="28"/>
        </w:rPr>
        <w:t>ведение нервного возбуждения в синапсах, имеет ганглиоблокирующий и курареподобный эффекты.</w:t>
      </w:r>
    </w:p>
    <w:p w14:paraId="3BB483B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Фармакокинетика. Тиамина хлорид при внутримышечном введении быстро и полностью абсорбируется. Распределяется достаточно равномерно по всем органам и тканям. Относит</w:t>
      </w:r>
      <w:r>
        <w:rPr>
          <w:rFonts w:ascii="Times New Roman CYR" w:hAnsi="Times New Roman CYR" w:cs="Times New Roman CYR"/>
          <w:sz w:val="28"/>
          <w:szCs w:val="28"/>
        </w:rPr>
        <w:t>ельно высшее содержание тиамина хлорида в миокарде, скелетных мышцах, нервной ткани и печени связано с повышенным потреблением тиамина этими структурами. Метаболизируется препарат в печени и выводится почками, около 8 - 10 % - в неизмененном виде.</w:t>
      </w:r>
    </w:p>
    <w:p w14:paraId="172EA1A2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</w:t>
      </w:r>
      <w:r>
        <w:rPr>
          <w:rFonts w:ascii="Times New Roman CYR" w:hAnsi="Times New Roman CYR" w:cs="Times New Roman CYR"/>
          <w:sz w:val="28"/>
          <w:szCs w:val="28"/>
        </w:rPr>
        <w:t>я к применению</w:t>
      </w:r>
    </w:p>
    <w:p w14:paraId="72FB91A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Тиамина хлорид-Дарница назначают для лечения гипо- и авитаминоза В1 (в т. ч. у пациентов, находящихся на зондовом питании, на гемодиализе, страдающих синдромом мальабсорбции), при сниженном поступлении витамина в организм - нарушение всасыва</w:t>
      </w:r>
      <w:r>
        <w:rPr>
          <w:rFonts w:ascii="Times New Roman CYR" w:hAnsi="Times New Roman CYR" w:cs="Times New Roman CYR"/>
          <w:sz w:val="28"/>
          <w:szCs w:val="28"/>
        </w:rPr>
        <w:t>ния в кишечнике, голодание, хронический алкоголизм, выраженные нарушения функции печени, тиреотоксикозе, при повышенной потребности в витамине - беременность, лактация, период интенсивного роста; для терапии невритов, полиневритов, радикулита, невралгий, п</w:t>
      </w:r>
      <w:r>
        <w:rPr>
          <w:rFonts w:ascii="Times New Roman CYR" w:hAnsi="Times New Roman CYR" w:cs="Times New Roman CYR"/>
          <w:sz w:val="28"/>
          <w:szCs w:val="28"/>
        </w:rPr>
        <w:t>ериферических параличей, энцефалопатий, неврастении, язвенной болезни желудка идвенадцатиперстной кишки, атонии кишечника, дистрофии миокарда, спазмов периферических сосудов (эндартериит и др.), дерматозов неврогенного происхождения, при зуде кожи, пиодерм</w:t>
      </w:r>
      <w:r>
        <w:rPr>
          <w:rFonts w:ascii="Times New Roman CYR" w:hAnsi="Times New Roman CYR" w:cs="Times New Roman CYR"/>
          <w:sz w:val="28"/>
          <w:szCs w:val="28"/>
        </w:rPr>
        <w:t>ии, экземе, псориазе.</w:t>
      </w:r>
    </w:p>
    <w:p w14:paraId="380E95C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</w:t>
      </w:r>
    </w:p>
    <w:p w14:paraId="2295718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Тиамина хлорид-Дарница вводят внутримышечно. Начинать парентеральное введение рекомендуется с малых доз (не более 0,5 мл 5% раствора). Взрослым назначают по 0,025 - 0,05 г (0,5 - 1 мл раствора) 1 раз в день еж</w:t>
      </w:r>
      <w:r>
        <w:rPr>
          <w:rFonts w:ascii="Times New Roman CYR" w:hAnsi="Times New Roman CYR" w:cs="Times New Roman CYR"/>
          <w:sz w:val="28"/>
          <w:szCs w:val="28"/>
        </w:rPr>
        <w:t>едневно. Доза для детей при этом пути введения составляет 0,005 - 0,01 г 1 раз в день. Курс лечения - 10 - 30 инъекций. Подкожные инъекции (как иногда и внутримышечные) болезненны из-за низкого рН раствора.</w:t>
      </w:r>
    </w:p>
    <w:p w14:paraId="5A31074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</w:t>
      </w:r>
    </w:p>
    <w:p w14:paraId="25F13AB0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 аллергические реакции </w:t>
      </w:r>
      <w:r>
        <w:rPr>
          <w:rFonts w:ascii="Times New Roman CYR" w:hAnsi="Times New Roman CYR" w:cs="Times New Roman CYR"/>
          <w:sz w:val="28"/>
          <w:szCs w:val="28"/>
        </w:rPr>
        <w:t>(зуд кожи, крапивница, отек Квинке), очень редко - анафилактический шок. Указанные реакции возникают при склонности к аллергии, у женщин в климактерический и предклимактерический периоды, у больных алкоголизмом.</w:t>
      </w:r>
    </w:p>
    <w:p w14:paraId="32652A2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6E0E3D0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Тиамина хлорид-Дарница прот</w:t>
      </w:r>
      <w:r>
        <w:rPr>
          <w:rFonts w:ascii="Times New Roman CYR" w:hAnsi="Times New Roman CYR" w:cs="Times New Roman CYR"/>
          <w:sz w:val="28"/>
          <w:szCs w:val="28"/>
        </w:rPr>
        <w:t>ивопоказан при аллергических заболеваниях и медикаментозной невосприимчивости в анамнезе.</w:t>
      </w:r>
    </w:p>
    <w:p w14:paraId="33483E3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другими лекарственными средствами</w:t>
      </w:r>
    </w:p>
    <w:p w14:paraId="7587837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одновременное парентеральное введение препарата с витамином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&lt;http://vapteke.com.ua/drugs/vicasolum_darnitsa.php&gt; В6 (пиридоксином) и витамином В12 (цианокобаламином &lt;http://vapteke.com.ua/drugs/vitaminum-b12_darnitsa.php&gt;), так как соответственно первый тормозит превращение его в фосфорилированную биологически акт</w:t>
      </w:r>
      <w:r>
        <w:rPr>
          <w:rFonts w:ascii="Times New Roman CYR" w:hAnsi="Times New Roman CYR" w:cs="Times New Roman CYR"/>
          <w:sz w:val="28"/>
          <w:szCs w:val="28"/>
        </w:rPr>
        <w:t>ивную форму, а второй усиливает аллергизирующий эффект тиамина. Длительное лечение потивосудорожными препаратами (фенобарбиталом, фенитоином, карбамазепином &lt;http://vapteke.com.ua/drugs/carbamazepinum_darnitsa.php&gt;) может привести к дефициту тиамина.</w:t>
      </w:r>
    </w:p>
    <w:p w14:paraId="6ACA807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</w:t>
      </w:r>
      <w:r>
        <w:rPr>
          <w:rFonts w:ascii="Times New Roman CYR" w:hAnsi="Times New Roman CYR" w:cs="Times New Roman CYR"/>
          <w:sz w:val="28"/>
          <w:szCs w:val="28"/>
        </w:rPr>
        <w:t>едует смешивать в одном шприце Тиамина хлорид-Дарница с пенициллином или стрептомицином &lt;http://vapteke.com.ua/drugs/streptomycin_arterium.php&gt;, а также с кислотой никотиновой. Раствор Тиамина хлорида-Дарница не следует смешивать с растворами, которые соде</w:t>
      </w:r>
      <w:r>
        <w:rPr>
          <w:rFonts w:ascii="Times New Roman CYR" w:hAnsi="Times New Roman CYR" w:cs="Times New Roman CYR"/>
          <w:sz w:val="28"/>
          <w:szCs w:val="28"/>
        </w:rPr>
        <w:t>ржат сульфиты, поскольку в них он полностью распадается.</w:t>
      </w:r>
    </w:p>
    <w:p w14:paraId="75AFE76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</w:t>
      </w:r>
    </w:p>
    <w:p w14:paraId="784CD92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случаях передозировки Тиамина хлорида-Дарница не сообщалось.</w:t>
      </w:r>
    </w:p>
    <w:p w14:paraId="373336F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применения</w:t>
      </w:r>
    </w:p>
    <w:p w14:paraId="42D1339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введение препарата необходимо начинать с минимальных доз, и на большие дозы переходи</w:t>
      </w:r>
      <w:r>
        <w:rPr>
          <w:rFonts w:ascii="Times New Roman CYR" w:hAnsi="Times New Roman CYR" w:cs="Times New Roman CYR"/>
          <w:sz w:val="28"/>
          <w:szCs w:val="28"/>
        </w:rPr>
        <w:t>ть лишь при хорошей восприимчивости к первым.</w:t>
      </w:r>
    </w:p>
    <w:p w14:paraId="6EB5241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продукте</w:t>
      </w:r>
    </w:p>
    <w:p w14:paraId="36363FFA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 срок хранения. Хранят в защищенном от света, недоступном для детей месте, при температуре от 15 до 25°С. Срок годности - 3 года.</w:t>
      </w:r>
    </w:p>
    <w:p w14:paraId="5A412785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отпуска. По рецепту.</w:t>
      </w:r>
    </w:p>
    <w:p w14:paraId="10960105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 По 1 м</w:t>
      </w:r>
      <w:r>
        <w:rPr>
          <w:rFonts w:ascii="Times New Roman CYR" w:hAnsi="Times New Roman CYR" w:cs="Times New Roman CYR"/>
          <w:sz w:val="28"/>
          <w:szCs w:val="28"/>
        </w:rPr>
        <w:t>л в ампулах, по 10 ампул в упаковке.</w:t>
      </w:r>
    </w:p>
    <w:p w14:paraId="65B1DF47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</w:t>
      </w:r>
    </w:p>
    <w:p w14:paraId="73CF850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и инструкция по применению фолиевой кислотыfolicum</w:t>
      </w:r>
    </w:p>
    <w:p w14:paraId="7B3030E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является одним из представителей витаминов группы B. Вместе с цианокобаламином фолиевая кислота является одним из факторов ре</w:t>
      </w:r>
      <w:r>
        <w:rPr>
          <w:rFonts w:ascii="Times New Roman CYR" w:hAnsi="Times New Roman CYR" w:cs="Times New Roman CYR"/>
          <w:sz w:val="28"/>
          <w:szCs w:val="28"/>
        </w:rPr>
        <w:t>гуляции и стимуляции кроветворения, стимулирует эритропоэз.</w:t>
      </w:r>
    </w:p>
    <w:p w14:paraId="02D08DB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участвует в синтезе аминокислот, нуклеиновых кислот, пуриновых и пиримидиновых оснований.</w:t>
      </w:r>
    </w:p>
    <w:p w14:paraId="15D8AAA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фолиевой кислоты нарушает нормальное кроветворение, задерживает превращение ме</w:t>
      </w:r>
      <w:r>
        <w:rPr>
          <w:rFonts w:ascii="Times New Roman CYR" w:hAnsi="Times New Roman CYR" w:cs="Times New Roman CYR"/>
          <w:sz w:val="28"/>
          <w:szCs w:val="28"/>
        </w:rPr>
        <w:t>галобластических форм эритроцитов в нормобластические.</w:t>
      </w:r>
    </w:p>
    <w:p w14:paraId="34186D7E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фолиевой кислоты</w:t>
      </w:r>
    </w:p>
    <w:p w14:paraId="282D3F8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Алиментарная макроцитарная анемия, железодефицитная анемия у взрослых и детей (в сочетании с препаратами железа).</w:t>
      </w:r>
    </w:p>
    <w:p w14:paraId="6AEC210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Мегалобластическая анемия беременных и детей (в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случае кислота дает выраженное и стойкое лечебное действие, тогда как витамин B12 и очищенные экстракты печени малоэффективны).</w:t>
      </w:r>
    </w:p>
    <w:p w14:paraId="7FBCA9D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Тропические и нетропические формы спру - в этих случаях фолиевая кислота оказывает лечебное действие в виде улучшение пище</w:t>
      </w:r>
      <w:r>
        <w:rPr>
          <w:rFonts w:ascii="Times New Roman CYR" w:hAnsi="Times New Roman CYR" w:cs="Times New Roman CYR"/>
          <w:sz w:val="28"/>
          <w:szCs w:val="28"/>
        </w:rPr>
        <w:t>варения, функций кроветворения, общего состояния, особенно в комбинации с витамином В12, экстрактами печени и при назначении специальной диеты, богатой животными белками, витамином B1, витамином B6 и витамином C и содержащей мало жиров и углеводов.</w:t>
      </w:r>
    </w:p>
    <w:p w14:paraId="03CD81B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Анемии,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развившиеся вследствие недостатка витамина B12 и фолиевой кислоты и нарушения образования антианемического фактора (хронические диффузные поражения печени, хронический алкоголизм, резекция желудка, опухоли) фолиевая кислота может применяться в сочетании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витамином B12 и экстрактами печени.</w:t>
      </w:r>
    </w:p>
    <w:p w14:paraId="7DF5274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лейкопении и агранулоцитозе, вызываемых длительным введением сульфаниламидов, передозировкой метилтиоурацила, отравлением бензолом, рентгеновским облучением или другим ионизирующим излучением, воздействием микробных</w:t>
      </w:r>
      <w:r>
        <w:rPr>
          <w:rFonts w:ascii="Times New Roman CYR" w:hAnsi="Times New Roman CYR" w:cs="Times New Roman CYR"/>
          <w:sz w:val="28"/>
          <w:szCs w:val="28"/>
        </w:rPr>
        <w:t xml:space="preserve"> токсинов (висцеральный лейшманиоз, бактериальные септические инфекции и др) фолиевая кислота также оказывает положительное лечебное воздействие.</w:t>
      </w:r>
    </w:p>
    <w:p w14:paraId="40F00583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лечение заболеваний печени, ввиду влияния фолиевой кислоты на обмен холина, являющегося липотропны</w:t>
      </w:r>
      <w:r>
        <w:rPr>
          <w:rFonts w:ascii="Times New Roman CYR" w:hAnsi="Times New Roman CYR" w:cs="Times New Roman CYR"/>
          <w:sz w:val="28"/>
          <w:szCs w:val="28"/>
        </w:rPr>
        <w:t>м фактором.</w:t>
      </w:r>
    </w:p>
    <w:p w14:paraId="53105A37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хронических гастроэнтеритах и туберкулёзе кишечника также рекомендуется назначение фолиевой кислоты.</w:t>
      </w:r>
    </w:p>
    <w:p w14:paraId="3561D1D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 кожи фолиевая кислота применяется как патогенетическое средство.</w:t>
      </w:r>
    </w:p>
    <w:p w14:paraId="04BBE12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применения</w:t>
      </w:r>
    </w:p>
    <w:p w14:paraId="36B84F0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назначается внутрь в</w:t>
      </w:r>
      <w:r>
        <w:rPr>
          <w:rFonts w:ascii="Times New Roman CYR" w:hAnsi="Times New Roman CYR" w:cs="Times New Roman CYR"/>
          <w:sz w:val="28"/>
          <w:szCs w:val="28"/>
        </w:rPr>
        <w:t>зрослым по 0,0005-0,001 г (0,5-1,0 мг) 1-3 раза в день. Детям назначают, соответственно, меньшие дозы. Курс лечения составляет 20-30 дней.</w:t>
      </w:r>
    </w:p>
    <w:p w14:paraId="57BDC26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 фолиевой кислоте</w:t>
      </w:r>
    </w:p>
    <w:p w14:paraId="25D795A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взрослого человека в фолиевой кислоте составляет 2 мг; д</w:t>
      </w:r>
      <w:r>
        <w:rPr>
          <w:rFonts w:ascii="Times New Roman CYR" w:hAnsi="Times New Roman CYR" w:cs="Times New Roman CYR"/>
          <w:sz w:val="28"/>
          <w:szCs w:val="28"/>
        </w:rPr>
        <w:t>ля детей до 1 года - 0,5 мг, до 10 лет - 1 мг.</w:t>
      </w:r>
    </w:p>
    <w:p w14:paraId="5A93FB6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явления</w:t>
      </w:r>
    </w:p>
    <w:p w14:paraId="7A20AE47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реакции, крапивница.</w:t>
      </w:r>
    </w:p>
    <w:p w14:paraId="52CAD067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и лактация</w:t>
      </w:r>
    </w:p>
    <w:p w14:paraId="49A9EDF0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применяется при анемиях беременных.</w:t>
      </w:r>
    </w:p>
    <w:p w14:paraId="1719E6F5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алкоголем</w:t>
      </w:r>
    </w:p>
    <w:p w14:paraId="57BE058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данных.</w:t>
      </w:r>
    </w:p>
    <w:p w14:paraId="2FE681D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указания</w:t>
      </w:r>
    </w:p>
    <w:p w14:paraId="39106D6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пищевой макроцитарной</w:t>
      </w:r>
      <w:r>
        <w:rPr>
          <w:rFonts w:ascii="Times New Roman CYR" w:hAnsi="Times New Roman CYR" w:cs="Times New Roman CYR"/>
          <w:sz w:val="28"/>
          <w:szCs w:val="28"/>
        </w:rPr>
        <w:t xml:space="preserve"> анемии фолиевая кислота должна назначаться в сочетании с аскорбиновой кислотой и на фоне диеты, обогащённой животными белками.</w:t>
      </w:r>
    </w:p>
    <w:p w14:paraId="4642B149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злокачественной анемии фолиевую кислоту необходимо применять в сочетании с витамином B12 и препаратами печени, так как её ле</w:t>
      </w:r>
      <w:r>
        <w:rPr>
          <w:rFonts w:ascii="Times New Roman CYR" w:hAnsi="Times New Roman CYR" w:cs="Times New Roman CYR"/>
          <w:sz w:val="28"/>
          <w:szCs w:val="28"/>
        </w:rPr>
        <w:t>чебный эффект выражается только в нормализации гемопоэза, а не в устранении характерных для этого заболевания изменений нервной системы (фуникулярный миелоз).</w:t>
      </w:r>
    </w:p>
    <w:p w14:paraId="07980A53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несовместима в препаратах с минеральными кислотами, щелочами, восстановителями и</w:t>
      </w:r>
      <w:r>
        <w:rPr>
          <w:rFonts w:ascii="Times New Roman CYR" w:hAnsi="Times New Roman CYR" w:cs="Times New Roman CYR"/>
          <w:sz w:val="28"/>
          <w:szCs w:val="28"/>
        </w:rPr>
        <w:t xml:space="preserve"> окислителями, так как инактивируется при этом.</w:t>
      </w:r>
    </w:p>
    <w:p w14:paraId="6ED0CC9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форма выпуска</w:t>
      </w:r>
    </w:p>
    <w:p w14:paraId="5B45D72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Выпускают: драже и таблетки, содержащие по 0,001 г фолиевой кислоты, в упаковке 50 штук.</w:t>
      </w:r>
    </w:p>
    <w:p w14:paraId="215B0D3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годности и условия хранения</w:t>
      </w:r>
    </w:p>
    <w:p w14:paraId="3D15E279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в хорошо укупоренной, завёрнутой в чёрную бумагу таре о</w:t>
      </w:r>
      <w:r>
        <w:rPr>
          <w:rFonts w:ascii="Times New Roman CYR" w:hAnsi="Times New Roman CYR" w:cs="Times New Roman CYR"/>
          <w:sz w:val="28"/>
          <w:szCs w:val="28"/>
        </w:rPr>
        <w:t>ранжевого стекла, в защищённом от света месте. Срок годности фолиевой кислоты - 3 года.</w:t>
      </w:r>
    </w:p>
    <w:p w14:paraId="0B9E155A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</w:t>
      </w:r>
    </w:p>
    <w:p w14:paraId="4AA5C58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Фолиевая кислота - N-{4'-[(2-амино-4-окси-6-птеридил)-метил]-амино}-бензоил-L(+)-глютаминовая кислота - жёлтый или оранжево-жёлтый кристаллический порошок без </w:t>
      </w:r>
      <w:r>
        <w:rPr>
          <w:rFonts w:ascii="Times New Roman CYR" w:hAnsi="Times New Roman CYR" w:cs="Times New Roman CYR"/>
          <w:sz w:val="28"/>
          <w:szCs w:val="28"/>
        </w:rPr>
        <w:t>запаха и вкуса. На свету разлагается. Гигроскопичен. Плохо растворим в воде, лучше - в растворах щелочей.</w:t>
      </w:r>
    </w:p>
    <w:p w14:paraId="5498CAB3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содержится (в связанном с несколькими молекулами глютаминовой кислоты виде) в дрожжах, печени, свежих зелёных овощах; в меньшем колич</w:t>
      </w:r>
      <w:r>
        <w:rPr>
          <w:rFonts w:ascii="Times New Roman CYR" w:hAnsi="Times New Roman CYR" w:cs="Times New Roman CYR"/>
          <w:sz w:val="28"/>
          <w:szCs w:val="28"/>
        </w:rPr>
        <w:t>естве - в злаках, корнеплодах, фруктах и молочных продуктах. Получается также синтетически.</w:t>
      </w:r>
    </w:p>
    <w:p w14:paraId="04A5275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птероилглютаминовая кислота восстанавливается, присоединяя четыре атома водорода. Эти тетрагидропроизводные являются физиологически активными, выполняя </w:t>
      </w:r>
      <w:r>
        <w:rPr>
          <w:rFonts w:ascii="Times New Roman CYR" w:hAnsi="Times New Roman CYR" w:cs="Times New Roman CYR"/>
          <w:sz w:val="28"/>
          <w:szCs w:val="28"/>
        </w:rPr>
        <w:t>в организме функцию коферментов в переносе одноуглеродистых соединений, главным образом формильного остатка (-CHO) на соответствующие акцепторы.</w:t>
      </w:r>
    </w:p>
    <w:p w14:paraId="4EE4220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Птероилглютаминовая кислота играет важную роль в биохимических процессах, связанных с синтезом серина, образова</w:t>
      </w:r>
      <w:r>
        <w:rPr>
          <w:rFonts w:ascii="Times New Roman CYR" w:hAnsi="Times New Roman CYR" w:cs="Times New Roman CYR"/>
          <w:sz w:val="28"/>
          <w:szCs w:val="28"/>
        </w:rPr>
        <w:t>нием холина, метионина, N-метилникотинамида, тимина, пурина и др.</w:t>
      </w:r>
    </w:p>
    <w:p w14:paraId="20FA616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фолиевой кислоты в метаболизме нуклеиновых кислот объясняет как нарушения кроветворения, развивающиеся при дефиците её в организме, так и лечебный эффект при ряде анемий.</w:t>
      </w:r>
    </w:p>
    <w:p w14:paraId="4078683E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Синонимы. </w:t>
      </w:r>
      <w:r>
        <w:rPr>
          <w:rFonts w:ascii="Times New Roman CYR" w:hAnsi="Times New Roman CYR" w:cs="Times New Roman CYR"/>
          <w:sz w:val="28"/>
          <w:szCs w:val="28"/>
        </w:rPr>
        <w:t>Витамин В9. Витамин В11. Витамин Вс. Витамин М. Инкафолик. Казель-фактор. Лактобациллюс. Пиофолин. Профолин. Птероилглютаминовая кислота. Приофолин. Фоламин. Фолацид. Фолацин. Фолевая кислота. Фолемин. Фолецин. Фолиамин. Фолико-Таррико. Фоликум. Фолинор. Ф</w:t>
      </w:r>
      <w:r>
        <w:rPr>
          <w:rFonts w:ascii="Times New Roman CYR" w:hAnsi="Times New Roman CYR" w:cs="Times New Roman CYR"/>
          <w:sz w:val="28"/>
          <w:szCs w:val="28"/>
        </w:rPr>
        <w:t>олипак. Фолицидин. Фолицил. Фольбал. Фольвит. Фольдин. Фользав. Фользан. Фользоуре. Фольцидин. Цитофоль.</w:t>
      </w:r>
    </w:p>
    <w:p w14:paraId="6643DD99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(Acidum nicotinicum)</w:t>
      </w:r>
    </w:p>
    <w:p w14:paraId="549936E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</w:p>
    <w:p w14:paraId="14DD4E70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строению никотиновая кислота близка к никотинамиду.</w:t>
      </w:r>
    </w:p>
    <w:p w14:paraId="0916C97A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и нико</w:t>
      </w:r>
      <w:r>
        <w:rPr>
          <w:rFonts w:ascii="Times New Roman CYR" w:hAnsi="Times New Roman CYR" w:cs="Times New Roman CYR"/>
          <w:sz w:val="28"/>
          <w:szCs w:val="28"/>
        </w:rPr>
        <w:t>тинамид содержатся в органах животных (печени, почках, мышцах и др.), в молоке, рыбе, дрожжах, овощах, фруктах, гречневой крупе и других продуктах. Никотиновая кислота и ее амид играют существенную роль в жизнедеятельности организма: они являются простетич</w:t>
      </w:r>
      <w:r>
        <w:rPr>
          <w:rFonts w:ascii="Times New Roman CYR" w:hAnsi="Times New Roman CYR" w:cs="Times New Roman CYR"/>
          <w:sz w:val="28"/>
          <w:szCs w:val="28"/>
        </w:rPr>
        <w:t>ескими группами ферментов - кодегидразы I (дифосфопиридиннуклеотида - НАД) и кодегидразы II (трифосфопиридиннуклеотида - НАДФ), являющихся переносчиками водорода и осуществляющих окислительно-восстановительные процессы. Кодегидраза II участвует также в пер</w:t>
      </w:r>
      <w:r>
        <w:rPr>
          <w:rFonts w:ascii="Times New Roman CYR" w:hAnsi="Times New Roman CYR" w:cs="Times New Roman CYR"/>
          <w:sz w:val="28"/>
          <w:szCs w:val="28"/>
        </w:rPr>
        <w:t>еносе фосфата. Недостаточность витамина РР у человека приводит к развитию пеллагры (болезни, обусловленной недостаточностью никотиновой кислоты /витамина РР/, триптофана и рибофлавина /витамина В2/).</w:t>
      </w:r>
    </w:p>
    <w:p w14:paraId="4A3BF5EE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7956968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и ее амид яв</w:t>
      </w:r>
      <w:r>
        <w:rPr>
          <w:rFonts w:ascii="Times New Roman CYR" w:hAnsi="Times New Roman CYR" w:cs="Times New Roman CYR"/>
          <w:sz w:val="28"/>
          <w:szCs w:val="28"/>
        </w:rPr>
        <w:t>ляются специфическими противопеллагрическими средствами (средствами для лечения пеллагры), в связи с чем они и обозначаются как витамин РР. Их применение, особенно на ранних стадиях заболевания приводит к исчезновению явлений пеллагры.</w:t>
      </w:r>
    </w:p>
    <w:p w14:paraId="09D9CEE7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Никотиновая кислота </w:t>
      </w:r>
      <w:r>
        <w:rPr>
          <w:rFonts w:ascii="Times New Roman CYR" w:hAnsi="Times New Roman CYR" w:cs="Times New Roman CYR"/>
          <w:sz w:val="28"/>
          <w:szCs w:val="28"/>
        </w:rPr>
        <w:t>обладает не только противопелагрическими свойствами; она улучшает углеводный обмен, действует положительно при легких формах диабета, заболеваниях печени, сердца, язвенной болезни желудка и двенадцатиперстной кишки и энтероколитах (воспалении тонкой и толс</w:t>
      </w:r>
      <w:r>
        <w:rPr>
          <w:rFonts w:ascii="Times New Roman CYR" w:hAnsi="Times New Roman CYR" w:cs="Times New Roman CYR"/>
          <w:sz w:val="28"/>
          <w:szCs w:val="28"/>
        </w:rPr>
        <w:t>той кишки), вяло заживающих ранах и язвах. Она оказывает также сосудорасширяющее действие.</w:t>
      </w:r>
    </w:p>
    <w:p w14:paraId="03E33230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обладает липопротеидемической активностью (снижает уровень липопротеидов в крови). В больших дозах (3-4 г в день) понижает содержание триглйцерид</w:t>
      </w:r>
      <w:r>
        <w:rPr>
          <w:rFonts w:ascii="Times New Roman CYR" w:hAnsi="Times New Roman CYR" w:cs="Times New Roman CYR"/>
          <w:sz w:val="28"/>
          <w:szCs w:val="28"/>
        </w:rPr>
        <w:t>ов и бета-липопротеидов в крови. У больных с гиперхолестеринемией (с повышенным содержанием холестерина в крови) под ее влиянием уменьшается соотношение холестерин/фосфолипиды в липопротеидах низкой плотности.</w:t>
      </w:r>
    </w:p>
    <w:p w14:paraId="3E090CBE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как специфическое средство для преду</w:t>
      </w:r>
      <w:r>
        <w:rPr>
          <w:rFonts w:ascii="Times New Roman CYR" w:hAnsi="Times New Roman CYR" w:cs="Times New Roman CYR"/>
          <w:sz w:val="28"/>
          <w:szCs w:val="28"/>
        </w:rPr>
        <w:t>преждения и лечения пеллагры. Кроме того, применяют при желудочно-кишечных заболеваниях (особенно при гастрите /воспалении желудка/ с пониженной кислотностью), заболеваниях печени (острых и хронических гепатитах, циррозах), спазмах (резком сужении просвета</w:t>
      </w:r>
      <w:r>
        <w:rPr>
          <w:rFonts w:ascii="Times New Roman CYR" w:hAnsi="Times New Roman CYR" w:cs="Times New Roman CYR"/>
          <w:sz w:val="28"/>
          <w:szCs w:val="28"/>
        </w:rPr>
        <w:t>) сосудов конечностей, почек, головного мозга (см. Никоверин, Никошпан, Ксантинола никотинат, 177), при невритах лицевого нерва (воспалении лицевого нерва), атеросклерозе, длительно незаживающих ранах и язвах, инфекционных и других заболеваниях.</w:t>
      </w:r>
    </w:p>
    <w:p w14:paraId="7C3A9C6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</w:t>
      </w:r>
      <w:r>
        <w:rPr>
          <w:rFonts w:ascii="Times New Roman CYR" w:hAnsi="Times New Roman CYR" w:cs="Times New Roman CYR"/>
          <w:sz w:val="28"/>
          <w:szCs w:val="28"/>
        </w:rPr>
        <w:t>менения:</w:t>
      </w:r>
    </w:p>
    <w:p w14:paraId="6F9005C5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никотиновую кислоту внутрь (после еды) и парентерально (минуя желудочно-кишечный тракт). Для профилактических целей назначают внутрь взрослым по 0,015-0,025 г; детям -по 0,005-0,02 г в день.</w:t>
      </w:r>
    </w:p>
    <w:p w14:paraId="033A404B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пеллагре дают взрослым внутрь по 0,1 г 2-3</w:t>
      </w:r>
      <w:r>
        <w:rPr>
          <w:rFonts w:ascii="Times New Roman CYR" w:hAnsi="Times New Roman CYR" w:cs="Times New Roman CYR"/>
          <w:sz w:val="28"/>
          <w:szCs w:val="28"/>
        </w:rPr>
        <w:t>-4 раза в день в течение 15-20 дней; парентерально вводят 1% раствор по 1 мл 1-2 раза в день в течение 10-15 дней. Детям назначают внутрь от 0,005 до 0,05 г 2-3 раза в день.</w:t>
      </w:r>
    </w:p>
    <w:p w14:paraId="6CC13C1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других заболеваниях никотиновую кислоту назначают взрослым по 0,02-0,05 г (до </w:t>
      </w:r>
      <w:r>
        <w:rPr>
          <w:rFonts w:ascii="Times New Roman CYR" w:hAnsi="Times New Roman CYR" w:cs="Times New Roman CYR"/>
          <w:sz w:val="28"/>
          <w:szCs w:val="28"/>
        </w:rPr>
        <w:t>0,1 г); детям - по 0,005-0,03 г 2-3 раза в день.</w:t>
      </w:r>
    </w:p>
    <w:p w14:paraId="4C2BE739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сосудорасширяющее средство при ишемическом инсульте (недостаточном снабжении ткани головного мозга кислородом вследствие острого нарушения мозгового кровообращения) вводят внутривенно 1 мл 1% раствора.</w:t>
      </w:r>
    </w:p>
    <w:p w14:paraId="4B52599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нутривенно вводят медленно. Подкожное и внутримышечное введения никотиновой кислоты болезненны. Во избежание раздражения можно пользоваться никотинатом натрия (натриевой солью никотиновой кислоты) или никотинамидом.</w:t>
      </w:r>
    </w:p>
    <w:p w14:paraId="3143AE3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Высшие дозы для взрослых внутрь: разовая</w:t>
      </w:r>
      <w:r>
        <w:rPr>
          <w:rFonts w:ascii="Times New Roman CYR" w:hAnsi="Times New Roman CYR" w:cs="Times New Roman CYR"/>
          <w:sz w:val="28"/>
          <w:szCs w:val="28"/>
        </w:rPr>
        <w:t xml:space="preserve"> - 0,1 г, суточная - 0,5 г; в вену (в виде натриевой соли): разовая - 0,1 г, суточная -0,3 г. При приеме внутрь разовая доза может быть постепенно увеличена (при отсутствии побочных явлений) до 0,5-1 г, а суточная доза -до 3-5 г (главным образом при лечени</w:t>
      </w:r>
      <w:r>
        <w:rPr>
          <w:rFonts w:ascii="Times New Roman CYR" w:hAnsi="Times New Roman CYR" w:cs="Times New Roman CYR"/>
          <w:sz w:val="28"/>
          <w:szCs w:val="28"/>
        </w:rPr>
        <w:t>и атеросклероза и других нарушений липидного обмена).</w:t>
      </w:r>
    </w:p>
    <w:p w14:paraId="0C7ECB2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 никотиновой кислоте (и в никотинамиде) составляет для взрослого около 20 мг, при тяжелом физическом труде - около 25 мг, для детей от 6 мес. до 1 года - 6 мг, от 1 года до 1,5 лет</w:t>
      </w:r>
      <w:r>
        <w:rPr>
          <w:rFonts w:ascii="Times New Roman CYR" w:hAnsi="Times New Roman CYR" w:cs="Times New Roman CYR"/>
          <w:sz w:val="28"/>
          <w:szCs w:val="28"/>
        </w:rPr>
        <w:t xml:space="preserve"> - 9 мг, от 1,5 до 2 лет - 10 мг, от 3 до 4 лет - 12 мг, от 5 до 6 лет - 13 мг, от 7 до 10 лет - 15 мг, от 11 до 13 лет - 19 мг, для юношей 14-17 лет - 21 мг, для девушек 14-17 лет - 18 мг.</w:t>
      </w:r>
    </w:p>
    <w:p w14:paraId="7744248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</w:t>
      </w:r>
    </w:p>
    <w:p w14:paraId="0C394F7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(особенно при приеме внутрь</w:t>
      </w:r>
      <w:r>
        <w:rPr>
          <w:rFonts w:ascii="Times New Roman CYR" w:hAnsi="Times New Roman CYR" w:cs="Times New Roman CYR"/>
          <w:sz w:val="28"/>
          <w:szCs w:val="28"/>
        </w:rPr>
        <w:t xml:space="preserve"> натощак и у лиц с повышенной чувствительностью) может вызвать покраснение лица и верхней половины туловиша, головокружение, чувство прилива крови к голове, крапивную сыпь, парестезии (чувство онемения в конечностях). Эти явления проходят самостоятельно. П</w:t>
      </w:r>
      <w:r>
        <w:rPr>
          <w:rFonts w:ascii="Times New Roman CYR" w:hAnsi="Times New Roman CYR" w:cs="Times New Roman CYR"/>
          <w:sz w:val="28"/>
          <w:szCs w:val="28"/>
        </w:rPr>
        <w:t>ри быстром внутривенном введении раствора никотиновой кислоты может произойти сильное снижение артериального давления.</w:t>
      </w:r>
    </w:p>
    <w:p w14:paraId="0DA96F28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381A017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Внутривенные инъекции противопоказаны при тяжелых формах гипертонической болезни (стойком повышении артериального давле</w:t>
      </w:r>
      <w:r>
        <w:rPr>
          <w:rFonts w:ascii="Times New Roman CYR" w:hAnsi="Times New Roman CYR" w:cs="Times New Roman CYR"/>
          <w:sz w:val="28"/>
          <w:szCs w:val="28"/>
        </w:rPr>
        <w:t>ния) и атеросклероза.</w:t>
      </w:r>
    </w:p>
    <w:p w14:paraId="58B7D57A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 с повышенной чувствительностью к никотиновой кислоте следует назначать никотинамид, за исключением тех случаев, когда никотиновая кислота применяется как сосудорасширяющее средство.</w:t>
      </w:r>
    </w:p>
    <w:p w14:paraId="1F85849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длительное применение б</w:t>
      </w:r>
      <w:r>
        <w:rPr>
          <w:rFonts w:ascii="Times New Roman CYR" w:hAnsi="Times New Roman CYR" w:cs="Times New Roman CYR"/>
          <w:sz w:val="28"/>
          <w:szCs w:val="28"/>
        </w:rPr>
        <w:t>ольших доз никотиновой кислоты может привести к развитию жировой дистрофии печени. Для предупреждения этого осложнения рекомендуется включать в диету продукты, богатые метионином - незаменимой /несинтезирующейся в организме/ аминокислоты, или назначать мет</w:t>
      </w:r>
      <w:r>
        <w:rPr>
          <w:rFonts w:ascii="Times New Roman CYR" w:hAnsi="Times New Roman CYR" w:cs="Times New Roman CYR"/>
          <w:sz w:val="28"/>
          <w:szCs w:val="28"/>
        </w:rPr>
        <w:t>ионин и другие липотропные (избирательно взаимодействующий с жирами) средства.</w:t>
      </w:r>
    </w:p>
    <w:p w14:paraId="603C2B1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</w:t>
      </w:r>
    </w:p>
    <w:p w14:paraId="7F4EA8FC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таблетки по 0,05 г (в лечебных целях); 1,7% раствор натрия никотината (соответствует 0,1% раствору никотиновой кислоты) в ампулах по 1 мл; рН раствора дл</w:t>
      </w:r>
      <w:r>
        <w:rPr>
          <w:rFonts w:ascii="Times New Roman CYR" w:hAnsi="Times New Roman CYR" w:cs="Times New Roman CYR"/>
          <w:sz w:val="28"/>
          <w:szCs w:val="28"/>
        </w:rPr>
        <w:t>я инъекций 5,0-7,0.</w:t>
      </w:r>
    </w:p>
    <w:p w14:paraId="07B5C74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хранения:</w:t>
      </w:r>
    </w:p>
    <w:p w14:paraId="63A9DE4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Б. Порошок - в хорошо укупоренной таре, предохраняющей от действия света; таблетки и ампулы - в защищенном от света месте.</w:t>
      </w:r>
    </w:p>
    <w:p w14:paraId="06C0550F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</w:t>
      </w:r>
    </w:p>
    <w:p w14:paraId="1B8BD414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PP, Витамин Вз, Апелагрин, Индурацин, Липлит, Ниацин, Николаи, Никодон</w:t>
      </w:r>
      <w:r>
        <w:rPr>
          <w:rFonts w:ascii="Times New Roman CYR" w:hAnsi="Times New Roman CYR" w:cs="Times New Roman CYR"/>
          <w:sz w:val="28"/>
          <w:szCs w:val="28"/>
        </w:rPr>
        <w:t xml:space="preserve">, Никонацид, Никотен, Никовит, Пеллаграмин, Пелонин, Певитон, Витаплекс Н. </w:t>
      </w:r>
    </w:p>
    <w:p w14:paraId="5E53BC8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</w:t>
      </w:r>
    </w:p>
    <w:p w14:paraId="4D73BEB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Пиридинкарбоновая-3 кислота.</w:t>
      </w:r>
    </w:p>
    <w:p w14:paraId="6C6927A2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кристаллический порошок. Плохо растворяется в холодной воде (1:70), лучше в горячей (1:15), трудно растворим в спирте.</w:t>
      </w:r>
    </w:p>
    <w:p w14:paraId="19225CE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Дополнительно:</w:t>
      </w:r>
    </w:p>
    <w:p w14:paraId="5653B94D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</w:t>
      </w:r>
      <w:r>
        <w:rPr>
          <w:rFonts w:ascii="Times New Roman CYR" w:hAnsi="Times New Roman CYR" w:cs="Times New Roman CYR"/>
          <w:sz w:val="28"/>
          <w:szCs w:val="28"/>
        </w:rPr>
        <w:t>слота никотиновая входит в состав препаратов витайодурол, вицеин, ксантинола никотинат, липостабил, никоверин, никошпан, спазмокор и др.</w:t>
      </w:r>
    </w:p>
    <w:p w14:paraId="64F8AA91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</w:t>
      </w:r>
    </w:p>
    <w:p w14:paraId="32B47696" w14:textId="77777777" w:rsidR="00000000" w:rsidRDefault="005E5E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использованием препарата Никотиновая кислота вы должны проконсультироваться с врачом. Данная инструкция</w:t>
      </w:r>
      <w:r>
        <w:rPr>
          <w:rFonts w:ascii="Times New Roman CYR" w:hAnsi="Times New Roman CYR" w:cs="Times New Roman CYR"/>
          <w:sz w:val="28"/>
          <w:szCs w:val="28"/>
        </w:rPr>
        <w:t xml:space="preserve"> по применению приведена в свободном переводе и предназначена исключительно для ознакомления. Для получения более полной информации просим обращаться к аннотации производителя.</w:t>
      </w:r>
    </w:p>
    <w:p w14:paraId="50362046" w14:textId="77777777" w:rsidR="00000000" w:rsidRDefault="005E5E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80F7B8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Характеристика продуцента </w:t>
      </w:r>
    </w:p>
    <w:p w14:paraId="39AC22F7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61E65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Столбнячный токсин (Clostridium tetani toxin)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белок, непрочно связанный со стромой бактериальной клетки. Процесс образования токсина (тетаноспазмина) в культуре находится в прямой зависимости от наличия в питательной среде гистидинсодержащих пептидов. Предполагают, что эти пептиды и</w:t>
      </w:r>
      <w:r>
        <w:rPr>
          <w:rFonts w:ascii="Times New Roman CYR" w:hAnsi="Times New Roman CYR" w:cs="Times New Roman CYR"/>
          <w:sz w:val="28"/>
          <w:szCs w:val="28"/>
        </w:rPr>
        <w:t>ндуцируют у столбнячных палочек синтез особой протеазы (пептидазы), принимающей участие или в активации тетаноспазмина, или же в его отщеплении от субклеточных мембранных структур. В культуральной жидкости обнаруживается помимо тетаноспазмина еще один комп</w:t>
      </w:r>
      <w:r>
        <w:rPr>
          <w:rFonts w:ascii="Times New Roman CYR" w:hAnsi="Times New Roman CYR" w:cs="Times New Roman CYR"/>
          <w:sz w:val="28"/>
          <w:szCs w:val="28"/>
        </w:rPr>
        <w:t>онент - тетанолизин. Тетанолизин выделяется из клеток по типу экзотоксина с первых дней развития популяции через неповрежденные структуры клетки, по-видимому, посредством активного переноса. Тетаноспазмин через клеточные стенки не проходит и выделяется в к</w:t>
      </w:r>
      <w:r>
        <w:rPr>
          <w:rFonts w:ascii="Times New Roman CYR" w:hAnsi="Times New Roman CYR" w:cs="Times New Roman CYR"/>
          <w:sz w:val="28"/>
          <w:szCs w:val="28"/>
        </w:rPr>
        <w:t>ультуральную жидкость лишь при распаде микробных клеток, главным образом, в фазе ускоренной гибели популяции.</w:t>
      </w:r>
    </w:p>
    <w:p w14:paraId="1A88D92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столбняка относится к группе анаэробов и представляет собой грамположительную палочку длиной 4-8 мкм и толщиной 0.3-0,8мкм, располагаю</w:t>
      </w:r>
      <w:r>
        <w:rPr>
          <w:rFonts w:ascii="Times New Roman CYR" w:hAnsi="Times New Roman CYR" w:cs="Times New Roman CYR"/>
          <w:sz w:val="28"/>
          <w:szCs w:val="28"/>
        </w:rPr>
        <w:t>щуюся в одиночку или цепочкой. Она хорошо растет на средах, предназначенных для анаэробов.</w:t>
      </w:r>
    </w:p>
    <w:p w14:paraId="0EFFFD3F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 столбнячной палочки расщепляют высокомолекулярные соединения тканей микроорганизма и способствуют быстрейшему проникновению и распространению тетаноспазмина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DA31D53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Штаммы, используемые для производства вакцин, должны быть идентифицированы на основании документа, в котором содержатся сведения об их происхождении, характеристиках в момент выделения, а также подробные данные о результатах всех тестов, регулярно прово</w:t>
      </w:r>
      <w:r>
        <w:rPr>
          <w:rFonts w:ascii="Times New Roman CYR" w:hAnsi="Times New Roman CYR" w:cs="Times New Roman CYR"/>
          <w:sz w:val="28"/>
          <w:szCs w:val="28"/>
        </w:rPr>
        <w:t>димых для подтверждения свойственных этим штаммам характеристик.</w:t>
      </w:r>
    </w:p>
    <w:p w14:paraId="45A8BEE9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0CE9A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F2E19C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2C5D44B" w14:textId="77777777" w:rsidR="00000000" w:rsidRDefault="005E5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E2B0C" w14:textId="77777777" w:rsidR="005E5E14" w:rsidRDefault="005E5E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Краснопольский Ю. М. - Фармацевтическая биотехнология. Технология производства иммунобиологических препаратов: учеб. пособие - Харьков: НТУ «ХПИ», 2009. -</w:t>
      </w:r>
      <w:r>
        <w:rPr>
          <w:rFonts w:ascii="Times New Roman CYR" w:hAnsi="Times New Roman CYR" w:cs="Times New Roman CYR"/>
          <w:sz w:val="28"/>
          <w:szCs w:val="28"/>
        </w:rPr>
        <w:t xml:space="preserve"> 352 с.</w:t>
      </w:r>
    </w:p>
    <w:sectPr w:rsidR="005E5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9A"/>
    <w:rsid w:val="00314F9A"/>
    <w:rsid w:val="005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729DC"/>
  <w14:defaultImageDpi w14:val="0"/>
  <w15:docId w15:val="{3150D0DD-B73F-4EF2-90BC-993ED1E2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7009</Words>
  <Characters>39956</Characters>
  <Application>Microsoft Office Word</Application>
  <DocSecurity>0</DocSecurity>
  <Lines>332</Lines>
  <Paragraphs>93</Paragraphs>
  <ScaleCrop>false</ScaleCrop>
  <Company/>
  <LinksUpToDate>false</LinksUpToDate>
  <CharactersWithSpaces>46872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2025-01-05T11:33:00Z</dcterms:created>
  <dcterms:modified xsi:type="dcterms:W3CDTF">2025-01-05T11:33:00Z</dcterms:modified>
</cp:coreProperties>
</file>