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F26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E33830D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792E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Характерной особенностью сферы обращения лекарственных средств в нашей стране является быстрое увеличение номенклатуры лекарств. Причем в отдельные годы номенклатура лекарств увеличивалась на 1000 и более новых названий в год. Столь бурный рост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 рынка потребовал усиления государственного контроля и надзора за обращением лекарственных средств как особого вида продуктов, имеющих первоочередную медико-социальную значимость и в то же время являющихся потенциально опасными для здоровь</w:t>
      </w:r>
      <w:r>
        <w:rPr>
          <w:rFonts w:ascii="Times New Roman CYR" w:hAnsi="Times New Roman CYR" w:cs="Times New Roman CYR"/>
          <w:sz w:val="28"/>
          <w:szCs w:val="28"/>
        </w:rPr>
        <w:t>я и жизни человека. В этой связи важны все без исключения свойства и характеристики лекарственных препаратов, которые связаны с их качеством и безопасным применением.</w:t>
      </w:r>
    </w:p>
    <w:p w14:paraId="040C0B54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названий фармацевтических препаратов рассматривается на двух уровнях: при государс</w:t>
      </w:r>
      <w:r>
        <w:rPr>
          <w:rFonts w:ascii="Times New Roman CYR" w:hAnsi="Times New Roman CYR" w:cs="Times New Roman CYR"/>
          <w:sz w:val="28"/>
          <w:szCs w:val="28"/>
        </w:rPr>
        <w:t>твенной регистрации лекарственных средств, когда оценивается адекватность предложенного названия, его соответствие требованиям безопасного обращения лекарств, и в процессе фармобращения, когда во главу угла ставится правильное использование утвержденных на</w:t>
      </w:r>
      <w:r>
        <w:rPr>
          <w:rFonts w:ascii="Times New Roman CYR" w:hAnsi="Times New Roman CYR" w:cs="Times New Roman CYR"/>
          <w:sz w:val="28"/>
          <w:szCs w:val="28"/>
        </w:rPr>
        <w:t>званий.</w:t>
      </w:r>
    </w:p>
    <w:p w14:paraId="5D1B53B4" w14:textId="77777777" w:rsidR="00000000" w:rsidRDefault="003A3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названия лекарственных средств подлежит обязательному контролю и надзору. Контроль производится в соответствии с действующим российским законодательством, а также с учетом норм международного права. Международные нормы применяются в отношен</w:t>
      </w:r>
      <w:r>
        <w:rPr>
          <w:rFonts w:ascii="Times New Roman CYR" w:hAnsi="Times New Roman CYR" w:cs="Times New Roman CYR"/>
          <w:sz w:val="28"/>
          <w:szCs w:val="28"/>
        </w:rPr>
        <w:t>ии использования Международных непатентованных наименований (МНН). Осново-полагающее значение для рационального выбора названий лекарственных средств имеет Федеральный закон РФ «О лекарственных средствах» №8б-ФЗ от 22 июня 1998 г. МНН идентифицирует конкре</w:t>
      </w:r>
      <w:r>
        <w:rPr>
          <w:rFonts w:ascii="Times New Roman CYR" w:hAnsi="Times New Roman CYR" w:cs="Times New Roman CYR"/>
          <w:sz w:val="28"/>
          <w:szCs w:val="28"/>
        </w:rPr>
        <w:t>тную активную фармацевтическую субстанцию и посредством, единого международно признанного родового названия является общественным достоянием.</w:t>
      </w:r>
    </w:p>
    <w:p w14:paraId="7C671773" w14:textId="77777777" w:rsidR="00000000" w:rsidRDefault="003A3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Существуют Экспертная группа Всемирной Организации Здравоохранения, национальные комитеты и номенклатурные группы,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решают задачу стандартизации и унификации номенклатуры ЛС и связанных с ней правил в мировом масштабе для обеспечения точной и четкой информации по ЛС, чтобы предотвратить путаницу в случае, если для одного ЛС используется несколько непатентованны</w:t>
      </w:r>
      <w:r>
        <w:rPr>
          <w:rFonts w:ascii="Times New Roman CYR" w:hAnsi="Times New Roman CYR" w:cs="Times New Roman CYR"/>
          <w:sz w:val="28"/>
          <w:szCs w:val="28"/>
        </w:rPr>
        <w:t>х наименований в одной или разных странах.</w:t>
      </w:r>
    </w:p>
    <w:p w14:paraId="19FB88A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существующее строгое регулирование в названии новых лекарственных средств, существуют проблемы, связанные лингвистическими, этическими, правовыми, медицинскими особенностями. Нередко возникают конфликт</w:t>
      </w:r>
      <w:r>
        <w:rPr>
          <w:rFonts w:ascii="Times New Roman CYR" w:hAnsi="Times New Roman CYR" w:cs="Times New Roman CYR"/>
          <w:sz w:val="28"/>
          <w:szCs w:val="28"/>
        </w:rPr>
        <w:t>ы, поскольку заявителем могут представляться названия, лишенные всякой связи с объективной характеристикой препарата (химический состав, терапевтическая эффективность и др.) Поэтому проблема рационального выбора названий лекарственных средств является весь</w:t>
      </w:r>
      <w:r>
        <w:rPr>
          <w:rFonts w:ascii="Times New Roman CYR" w:hAnsi="Times New Roman CYR" w:cs="Times New Roman CYR"/>
          <w:sz w:val="28"/>
          <w:szCs w:val="28"/>
        </w:rPr>
        <w:t>ма актуальной.</w:t>
      </w:r>
    </w:p>
    <w:p w14:paraId="61B6E58E" w14:textId="77777777" w:rsidR="00000000" w:rsidRDefault="003A3CC9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9165D5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о МНН</w:t>
      </w:r>
    </w:p>
    <w:p w14:paraId="24FC6FC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8DF24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характеристик ЛС служит международное непатентованное наименование действующего вещества, входящего в состав лекарственного препарата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International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Nonproprietary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Pharmaceutical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Substances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Существо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 международной номенклатуры фармацевтических субстанций в виде МНН важно с точки зрения четкой и недвусмысленной идентификации, безопасного назначения и отпуска лекарств пациентам, а также для коммуникации и обмена информацией между специалистами здра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воохранения и учеными всего мира.</w:t>
      </w:r>
    </w:p>
    <w:p w14:paraId="03752440" w14:textId="77777777" w:rsidR="00000000" w:rsidRDefault="003A3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Соответственно, для того чтобы обеспечить в международной практике выполнение предписанного МНН назначения, они должны быть свободны от какой-либо защиты правами собственности, т. е. должны быть «несобственными». В нашей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тране в данном случае слово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nonproprietary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переведено как «непатентованное». Таким образом, в отличие от торгового названия, которое присваивается готовому препарату, содержащему одно или несколько действующих веществ, выпускаемому в определенной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венной форме и дозировке и являющемуся собственностью производителя (или заявителя).</w:t>
      </w:r>
    </w:p>
    <w:p w14:paraId="3FFC594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МНН в качестве системы, разработанной и управляемой ВОЗ с целью защиты родовых (дженерических) наименований фармацевтических субстанций от посягательств 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рава собственности и обеспечения доступности для всех, позволяет систематизировать номенклатуру ЛС, зарегистрированных под многочисленными торговыми (фирменными) названиями и выпускаемых разными фармацевтическими компаниями в различных странах мира, по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овному критерию - наличию в препарате определенного действующего вещества: Следует знать, что МНН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присваиваются химическим соединениям установленной структуры - и исключения из этого правила редки. По сути, система МНН является логичной номенклатурной клас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сификацией лекарств, основанной на взаимосвязях действующих веществ.</w:t>
      </w:r>
    </w:p>
    <w:p w14:paraId="4EF900AF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9C0CE5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Формирование номенклатуры МНН</w:t>
      </w:r>
    </w:p>
    <w:p w14:paraId="1AA7866F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DD109D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и ведение МНН является одним из направлений деятельности ВОЗ. Работа по выбору МНН возложена на соответствующее подразделение (Секретариат по МНН)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Департамента основных лекарственных средств и политики в области медикаментов ВОЗ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WHO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Department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Essential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Drugs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Medicines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Policy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Экспертную группу ВОЗ по международной фармакопее и фармацевтическим препаратам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WHO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Expert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Panei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rnational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Pharmacopoeia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Pharmaceutical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Preparations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(далее - Экспертная группа). В состав Экспертной группы входят по одному представителю от Великобритании, Испании, Нигерии, Польши, России, Сингапура, США, Туниса, Франции, Японии.</w:t>
      </w:r>
    </w:p>
    <w:p w14:paraId="66D32B0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адекватног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выбора уникального, простого и информативного непатентованного наименования, которое может быть принято в мире для каждой отдельной активной субстанции фармацевтических препаратов, ВОЗ тесно сотрудничает с национальными номенклатурными комитетами и коорд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инирует свою деятельность с национальными регламентирующими органами стран мира.</w:t>
      </w:r>
    </w:p>
    <w:p w14:paraId="4E269D2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Номенклатурные агентства существуют в США, Великобритании, Франции, Италии, Японии, Испании, скандинавских странах и Швейцарии. Они функционируют на разных уровнях власти и вм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есте с фармацевтической промышленностью занимаются подбором соответствующих непатентованных наименований ЛС, поступающих на рынок в пределах границ государства. В связи с тем, что производители ЛС поставляют свою продукцию на рынки многих стран, а медицинс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кая и фармацевтическая литература широко переводится в мире, необходимость сотрудничества в области номенклатурной работы основных стран-производителей ЛС очевидна.</w:t>
      </w:r>
    </w:p>
    <w:p w14:paraId="3A67094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Экспертная группа ВОЗ по непатентованным наименованиям разрабатывает процедуры и формулируе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основные принципы выбора МНН. Национальные номенклатурные агентства выступают обычно как представители производителей ЛС с предложениями, чтобы ВОЗ утвердила выбранные ими наименования в качестве МНН.</w:t>
      </w:r>
    </w:p>
    <w:p w14:paraId="1DDBC02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67B6C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История программы по выбору МНН</w:t>
      </w:r>
    </w:p>
    <w:p w14:paraId="2FDC51A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36421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Необходимость в 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ентификации лекарственных веществ посредством уникального и общедоступного непатентованного наименования впервые официально была признана в 1915 г. Международной фармацевтической федерацией, создавшей Комитет по международной лекарственной номенклатуре.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 Комитет в 1924 г. подготовил первый перечень таких наименований, которые были использованы в фармакопеях некоторых стран. Программа ВОЗ по выбору МНН для лекарственных веществ началась с совещания Экспертного комитета по унификации фармакопеи в 1949 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то время, когда в ВОЗ стали поступать просьбы возглавить работу по МНН, в ряде стран уже имелись национальные программы по унификации наименований лекарственных веществ, осуществляемые национальными фармакопейными комитетами. Первой задачей ВОЗ было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низовать координацию деятельности в осуществлении национальных программ. Экспертный комитет в 1949 г. разработал общие правила и план работы по созданию и выбору МНН. Программа МНН в том виде, в каком она существует в настоящее время, была впервые обнародо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вана в 1950 г, в резолюции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WHA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3.11 Всемирной ассамблеи здравоохранения и вступила в действие в 1953 г., когда был опубликован первый список МНН.</w:t>
      </w:r>
    </w:p>
    <w:p w14:paraId="66919FC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Действующая в настоящее время процедура выбора рекомендованных международных непатентованных наименований фарма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цевтических субстанций (далее - Процедура) была принята Исполнительным советом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Executive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Board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ЕВ) в 1955 г. и регламентируется резолюцией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7. Впоследствии (в 1969 году) в исходный текст было внесено только одно изменение - замена термина «фармацев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тический препарат» на термин «фармацевтическая субстанция». Однако с-годами, стало все труднее рассматривать возражения в отношении опубликованных рекомендованных МНН и заменять ранее рекомендованные МНН. Согласно действующей формулировке Процедуры, если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озражение не снимается, принятие предложенного МНН в качестве рекомендованного настоятельно блокируется. Кроме того, за последние несколько лет увеличилось количество заявок на замену ранее рекомендованных МНН (например, из-за возможной путаницы с зарегист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рированной торговой маркой или другим широко используемым наименованием, приводящей к ошибкам при назначении лекарств) [ 3].</w:t>
      </w:r>
    </w:p>
    <w:p w14:paraId="7BAB7D11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Докладу Секретариата по МНН, предложения по замене ранее рекомендованного международного непатентованного наименования 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 быть представлены любым заинтересованным лицом. Такие предложения представляются на предусмотренном для данной цели бланке и включают следующие данные:</w:t>
      </w:r>
    </w:p>
    <w:p w14:paraId="7CE9E4F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данные лица, представившего предложение;</w:t>
      </w:r>
    </w:p>
    <w:p w14:paraId="3401D83C" w14:textId="77777777" w:rsidR="00000000" w:rsidRDefault="003A3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персональные указание его заинтересованности в предлага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емой замене; и</w:t>
      </w:r>
    </w:p>
    <w:p w14:paraId="45D13D0E" w14:textId="77777777" w:rsidR="00000000" w:rsidRDefault="003A3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изложение причин для представления предложения.</w:t>
      </w:r>
    </w:p>
    <w:p w14:paraId="072011F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Такие предложения могут включать предлагаемое новое международное непатентованное наименование вместо прежнего, разработанное в соответствии с Общими принципами с учетом вещества, в отношении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которого предлагается новое международное непатентованное наименование.</w:t>
      </w:r>
    </w:p>
    <w:p w14:paraId="745DD5F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случае, если, как представляется, веской причины, по мнению Секретариата, для замены нет, Секретариат выступает в качестве посредника с целью добиться снятия предложения до его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ставления Группе экспертов по МНН. Если представлено официальное предложение о замене и если это предложение не снято в течение двух (2) месяцев с момента письменной просьбы Секретариата, направленной с этой целью (в случае наличия таковой), Секретариат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едставляет данное предложение Группе экспертов по МНН на рассмотрение. Однако Секретариат может непосредственно направить данное предложение Группе экспертов по МНН, если, по мнению Секретариата, есть веские причины для замены.</w:t>
      </w:r>
    </w:p>
    <w:p w14:paraId="4EE66F7F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Секретариат может просить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сударства-члены и национальные и региональные комиссии по фармакопее или иные органы, назначенные государствами-членами, высказать свои замечания по предлагаемой замене. Такая просьба представить комментарии излагается в виде соответствующего уведомления,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включаемого в письмо. Кроме того, просьба высказать свои замечания может быть направлена конкретным лицам, которые, как известно, имеют отношение к предложенной замене.</w:t>
      </w:r>
    </w:p>
    <w:p w14:paraId="7950444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Просьба высказать замечания содержит следующие данные:</w:t>
      </w:r>
    </w:p>
    <w:p w14:paraId="1757921D" w14:textId="77777777" w:rsidR="00000000" w:rsidRDefault="003A3CC9">
      <w:pPr>
        <w:widowControl w:val="0"/>
        <w:shd w:val="clear" w:color="auto" w:fill="FFFFFF"/>
        <w:tabs>
          <w:tab w:val="left" w:pos="110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a.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рекомендуемое наименование,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оторое предлагается заменить (и наименование, предлагаемое вместо него, если оно дается);</w:t>
      </w:r>
    </w:p>
    <w:p w14:paraId="158D1903" w14:textId="77777777" w:rsidR="00000000" w:rsidRDefault="003A3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b.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персональные данные лица, представившего предложение о замене (если данное лицо высказывает такую просьбу);.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идентификационные данные вещества, к которому относитс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предлагаемая замена, и причины, выдвинутые в связи с такой заменой;.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сроки, в течение которых должны быть получены замечания, и фамилия и адрес лица, которому они должны направляться; 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название органа, через который действует Всемирная организация здра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воохранения, и ссылка на настоящие правила процедуры.</w:t>
      </w:r>
    </w:p>
    <w:p w14:paraId="61053D96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Предложение о замене рекомендованного международного непатентованного наименования рассматривается в соответствии с общими принципами, и с учетом возможной путаницы с:</w:t>
      </w:r>
    </w:p>
    <w:p w14:paraId="211897DC" w14:textId="77777777" w:rsidR="00000000" w:rsidRDefault="003A3CC9">
      <w:pPr>
        <w:widowControl w:val="0"/>
        <w:shd w:val="clear" w:color="auto" w:fill="FFFFFF"/>
        <w:tabs>
          <w:tab w:val="left" w:pos="1134"/>
          <w:tab w:val="left" w:pos="13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зарегистрированным товарным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наком фармацевтического лекарственного изделия; или</w:t>
      </w:r>
    </w:p>
    <w:p w14:paraId="478689C5" w14:textId="77777777" w:rsidR="00000000" w:rsidRDefault="003A3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иного международного непатентованного наименования (путаница может, например, возникнуть в связи с практикой прописывания лекарства или вопросами, касающимися языка); или</w:t>
      </w:r>
    </w:p>
    <w:p w14:paraId="0F6022E9" w14:textId="77777777" w:rsidR="00000000" w:rsidRDefault="003A3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обычно используемым наименов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анием в фармацевтической практике и/или практике прописывания лекарства, помимо товарного знака или международного непатентованного наименования;</w:t>
      </w:r>
    </w:p>
    <w:p w14:paraId="7627FE09" w14:textId="77777777" w:rsidR="00000000" w:rsidRDefault="003A3CC9">
      <w:pPr>
        <w:widowControl w:val="0"/>
        <w:shd w:val="clear" w:color="auto" w:fill="FFFFFF"/>
        <w:tabs>
          <w:tab w:val="left" w:pos="109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существенного риска для безопасности пациентов, обусловленного возможной путаницей, о которой говорится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ункте (а) выше;</w:t>
      </w:r>
    </w:p>
    <w:p w14:paraId="7749A4B7" w14:textId="77777777" w:rsidR="00000000" w:rsidRDefault="003A3CC9">
      <w:pPr>
        <w:widowControl w:val="0"/>
        <w:shd w:val="clear" w:color="auto" w:fill="FFFFFF"/>
        <w:tabs>
          <w:tab w:val="left" w:pos="109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степени, в которой рекомендуемое международное непатентованное наименование (которое предлагается заменить), с одной стороны, и товарный знак, иное международное непатентованное наименование или обычно используемое наименование, как указа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в пункте выше, с другой стороны, фактически используется на практике;</w:t>
      </w:r>
    </w:p>
    <w:p w14:paraId="5F40EDA6" w14:textId="77777777" w:rsidR="00000000" w:rsidRDefault="003A3CC9">
      <w:pPr>
        <w:widowControl w:val="0"/>
        <w:shd w:val="clear" w:color="auto" w:fill="FFFFFF"/>
        <w:tabs>
          <w:tab w:val="left" w:pos="109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случае, если после рассмотрения предложения о замене Группа экспертов по МНН делает вывод о том, что рекомендуемое наименование необходимо заменить, новое международное непатентован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наименование выбирается в соответствии с общими принципами. Уведомление, подлежащее направлению Секретариатом должно в таком случае содержать указание на то, что новое наименование принято взамен предыдущего рекомендованного наименования и что государс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 - члены, возможно, пожелают принять временные меры для адаптации существующих изделий, на этикетке которых используется в соответствии с национальным законодательством международное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непатентованное наименование, которое было заменено.</w:t>
      </w:r>
    </w:p>
    <w:p w14:paraId="58E9EC2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случае, если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 рассмотрения предложения о замене Группа экспертов по МНН делает вывод о том, что веских причин для замены ранее рекомендованного наименования нет, она сохраняет это наименование. В таком случае Секретариат уведомляет государства-члены, национальные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региональные комиссии по фармакопее, иные органы, назначенные государствами-членами, о том, что, несмотря на представленное предложение о замене, было решено сохранить ранее рекомендованное наименование (с кратким описанием причин(ы), по которым(ой) предло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о замене было сочтено недостаточно веским).</w:t>
      </w:r>
    </w:p>
    <w:p w14:paraId="211618E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Любое лицо, предложившее замену, уведомляется Секретариатом о том, будет заменено ранее рекомендованное международное непатентованное наименование или нет[4].</w:t>
      </w:r>
    </w:p>
    <w:p w14:paraId="67C6CD6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C2E70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Порядок работы Группы экспертов по МНН</w:t>
      </w:r>
    </w:p>
    <w:p w14:paraId="60269026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74E503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руппа экспертов по МНН состоит из специалистов, представляющих широкий спектр опыта в области фармации, химии, биохимии и фармакологии в части, относящейся к отбору МНН. Группа также должна отражать максимально широкое географическое распределение. Группа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экспертов по МНН может приглашать, путем кооптации, экспертов в области фармацевтических товарных знаков и лингвистов для консультирования ее по вопросам, относящимся к сфере их компетенции.</w:t>
      </w:r>
    </w:p>
    <w:p w14:paraId="19826A73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Решения об отборе новых МНН принимаются в результате консульта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ций и, в случае необходимости, соответствующей переписки. Консультации проводятся два раза в год.</w:t>
      </w:r>
    </w:p>
    <w:p w14:paraId="3B3A86C2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Члены Группы экспертов по МНН излагают свои точки зрения следующим образом:</w:t>
      </w:r>
    </w:p>
    <w:p w14:paraId="4F50972B" w14:textId="77777777" w:rsidR="00000000" w:rsidRDefault="003A3CC9">
      <w:pPr>
        <w:widowControl w:val="0"/>
        <w:shd w:val="clear" w:color="auto" w:fill="FFFFFF"/>
        <w:tabs>
          <w:tab w:val="left" w:pos="108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безусловное принятие предлагаемого наименования;</w:t>
      </w:r>
    </w:p>
    <w:p w14:paraId="61C42C87" w14:textId="77777777" w:rsidR="00000000" w:rsidRDefault="003A3CC9">
      <w:pPr>
        <w:widowControl w:val="0"/>
        <w:shd w:val="clear" w:color="auto" w:fill="FFFFFF"/>
        <w:tabs>
          <w:tab w:val="left" w:pos="108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негативное мнение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предложению изменить предлагаемое наименование;</w:t>
      </w:r>
    </w:p>
    <w:p w14:paraId="3DED2410" w14:textId="77777777" w:rsidR="00000000" w:rsidRDefault="003A3CC9">
      <w:pPr>
        <w:widowControl w:val="0"/>
        <w:shd w:val="clear" w:color="auto" w:fill="FFFFFF"/>
        <w:tabs>
          <w:tab w:val="left" w:pos="108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условное мнение (например, с просьбой к автору представить дополнительную информацию о принципе действия данного вещества);</w:t>
      </w:r>
    </w:p>
    <w:p w14:paraId="4D8D5EAA" w14:textId="77777777" w:rsidR="00000000" w:rsidRDefault="003A3CC9">
      <w:pPr>
        <w:widowControl w:val="0"/>
        <w:shd w:val="clear" w:color="auto" w:fill="FFFFFF"/>
        <w:tabs>
          <w:tab w:val="left" w:pos="108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воздержание.</w:t>
      </w:r>
    </w:p>
    <w:p w14:paraId="43758C54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Новые просьбы и предложения по решению оставшихся неразре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шенных проблем, связанных с МНН, регулярно направляются Секретариатом в адрес Группы экспертов по МНН. В ходе предварительного этапа консультаций Секретариат представляет членам этой Группы копии каждого заполненного бланка с просьбой в отношении МНН вмест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 сопроводительной документацией, представленной автором каждой такой просьбы. Секретариат обычно представляет также экспертам анализ, проведенный в свете руководящих принципов, ранее рекомендованные МНН и установленные товарные знаки, а также соответств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ующую дополнительную информацию. Экспертам предлагается высказать замечания в письменном виде и направить их в Секретариат до предстоящей консультации с учетом, в частности:</w:t>
      </w:r>
    </w:p>
    <w:p w14:paraId="0F9553ED" w14:textId="77777777" w:rsidR="00000000" w:rsidRDefault="003A3CC9">
      <w:pPr>
        <w:widowControl w:val="0"/>
        <w:shd w:val="clear" w:color="auto" w:fill="FFFFFF"/>
        <w:tabs>
          <w:tab w:val="left" w:pos="82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правильности классификации и основы;</w:t>
      </w:r>
    </w:p>
    <w:p w14:paraId="6EC163AA" w14:textId="77777777" w:rsidR="00000000" w:rsidRDefault="003A3CC9">
      <w:pPr>
        <w:widowControl w:val="0"/>
        <w:shd w:val="clear" w:color="auto" w:fill="FFFFFF"/>
        <w:tabs>
          <w:tab w:val="left" w:pos="82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противоречий с существующими МНН или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варными знаками;</w:t>
      </w:r>
    </w:p>
    <w:p w14:paraId="0C197649" w14:textId="77777777" w:rsidR="00000000" w:rsidRDefault="003A3CC9">
      <w:pPr>
        <w:widowControl w:val="0"/>
        <w:shd w:val="clear" w:color="auto" w:fill="FFFFFF"/>
        <w:tabs>
          <w:tab w:val="left" w:pos="82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лингвистических аспектов.</w:t>
      </w:r>
    </w:p>
    <w:p w14:paraId="47DB760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Замечания экспертов обобщаются и анализируются Секретариатом для обсуждения в ходе консультации.</w:t>
      </w:r>
    </w:p>
    <w:p w14:paraId="494AFA00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целях проведения дважды в год консультаций МНН Группа экспертов по МНН выбирает координатора из числа своих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членов. Координатор резюмирует мнения, высказанные в ходе предварительного этапа консультаций, после чего эксперты по МНН обсуждают просьбу об утверждении нового МНН и либо выбирают предложенное МНН, либо откладывают рассмотрение этого вопроса в соответств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с положениями, изложенными в пунктах 11 и 14.</w:t>
      </w:r>
    </w:p>
    <w:p w14:paraId="5C65B295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Секретариат готовит проект доклада о работе каждого совещания, в котором отражаются все принятые решения.</w:t>
      </w:r>
    </w:p>
    <w:p w14:paraId="4480DD23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истечении приблизительно одного месяца после консультации Секретариат направляет проект док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лада всем членам Группы экспертов по МНН, предлагая им высказать в шестинедельный срок свои замечания относительно того, точно ли отражены в докладе результаты состоявшихся обсуждений и мнения, высказанные в ходе консультации. Если в течение указанного шес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тинедельного срока письменные замечания не представлены, считается, что доклад точно отражает результаты обсуждения и мнения, высказанные в ходе консультации.</w:t>
      </w:r>
    </w:p>
    <w:p w14:paraId="1EB06DD8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Эксперты, которые не могут принять участия в консультации, должны выразить свое мнение в пись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менном виде. Если мнение не получено, то считается, что данный эксперт воздержался. Решение может быть принято только в случае большинства членов Группы экспертов по МНН, высказавших свое мнение либо лично в ходе консультаций, либо в письменном виде до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сультации (кворум для принятия решений). Решения принимаются консенсусом членами Группы экспертов по МНН, выразившими свое мнение.</w:t>
      </w:r>
    </w:p>
    <w:p w14:paraId="7172C10C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отсутствия консенсуса, в соответствии с положением пункта 10 выше, этот вопрос подлежит дальнейшему обсуждению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утем переписки или, в случае необходимости, - на следующей консультации. По просьбе Группы экспертов по МНН Секретариат представляет Группе экспертов по МНН дополнительную информацию и/или альтернативные предложения по таким дальнейшим обсуждениям. Этот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оцесс продолжается до тех пор, пока не будет подтверждено предложенное МНН в соответствии с положением пункта 10 выше.</w:t>
      </w:r>
    </w:p>
    <w:p w14:paraId="5A64D16F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отсутствия замечаний по поводу того, каким образом отражено то или иное решение в проекте доклада, данное решение считается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окончательно принятым. В таком случае Секретариат информирует автора просьбы об утверждении нового МНН о наименовании, которое было выбрано в качестве предложенного наименования. Одновременно Секретариат принимает меры по включению выбранного наименования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предстоящий перечень предлагаемых МНН.</w:t>
      </w:r>
    </w:p>
    <w:p w14:paraId="68C374B3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Правила, изложенные выше в отношении новых МНН, в равной степени применяются к:</w:t>
      </w:r>
    </w:p>
    <w:p w14:paraId="2D60EE04" w14:textId="77777777" w:rsidR="00000000" w:rsidRDefault="003A3CC9">
      <w:pPr>
        <w:widowControl w:val="0"/>
        <w:shd w:val="clear" w:color="auto" w:fill="FFFFFF"/>
        <w:tabs>
          <w:tab w:val="left" w:pos="82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выбору новой общей основы;</w:t>
      </w:r>
    </w:p>
    <w:p w14:paraId="7A97D402" w14:textId="77777777" w:rsidR="00000000" w:rsidRDefault="003A3CC9">
      <w:pPr>
        <w:widowControl w:val="0"/>
        <w:shd w:val="clear" w:color="auto" w:fill="FFFFFF"/>
        <w:tabs>
          <w:tab w:val="left" w:pos="82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рассмотрению возражений, выдвинутых против предложенных МНН;</w:t>
      </w:r>
    </w:p>
    <w:p w14:paraId="2DAD58A6" w14:textId="77777777" w:rsidR="00000000" w:rsidRDefault="003A3CC9">
      <w:pPr>
        <w:widowControl w:val="0"/>
        <w:shd w:val="clear" w:color="auto" w:fill="FFFFFF"/>
        <w:tabs>
          <w:tab w:val="left" w:pos="82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решению не предлагать МНН (пункт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14 ниже);</w:t>
      </w:r>
    </w:p>
    <w:p w14:paraId="6E2E9EF6" w14:textId="77777777" w:rsidR="00000000" w:rsidRDefault="003A3CC9">
      <w:pPr>
        <w:widowControl w:val="0"/>
        <w:shd w:val="clear" w:color="auto" w:fill="FFFFFF"/>
        <w:tabs>
          <w:tab w:val="left" w:pos="82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рассмотрению вопроса о замене ранее рекомендованного МНН.</w:t>
      </w:r>
    </w:p>
    <w:p w14:paraId="0D952839" w14:textId="77777777" w:rsidR="00000000" w:rsidRDefault="003A3CC9">
      <w:pPr>
        <w:widowControl w:val="0"/>
        <w:shd w:val="clear" w:color="auto" w:fill="FFFFFF"/>
        <w:tabs>
          <w:tab w:val="left" w:pos="54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экспертов по МНН может решить совсем не предлагать МНН. Такое решение обычно принимается в тех случаях, когда уже есть общепринятое наименование, которое используется для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нного фармацевтического вещества, и когда данное наименование не соответствует критериям отбора для МНН, или когда выбор такого МНН приведет к путанице. МНН также не предлагается в тех случаях, когда не соблюдаются общие принципы отбора МНН, например в 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чае комбинации двух фармацевтических веществ.[4]</w:t>
      </w:r>
    </w:p>
    <w:p w14:paraId="2E34D911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Предлагаемые изменения Процедуры высланы в адрес свыше 240 национальных регламентирующих органов в сфере обращения лекарственных средств, фармакопейных комиссий и Международной федерации ассоциаций фармацевт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ических производителей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IFPMA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</w:t>
      </w:r>
    </w:p>
    <w:p w14:paraId="3C782A2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F6173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Международные и национальные непатентованные наименования</w:t>
      </w:r>
    </w:p>
    <w:p w14:paraId="43E5C59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DB050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некоторых странах регулярно издаются официальные справочники принятых национальных непатентованных наименований субстанций, такие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British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Approved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Dictionary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International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Drug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Japanese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Accepted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Denominations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Communes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Francaises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DCF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др. В результате длительного и постоянного сотрудничества национальные непатентованные наименования фармацевтических субста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нций (ННН), принятые фармакопейными комитетами или специальными номенклатурными комиссиями соответствующих стран мира, в настоящее время, за редким исключением, идентичны МНН. Однако в некоторых странах для фармацевтических субстанций, наряду с МНН, исполь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зуются и национальные непатентованные наименования, отличающиеся от МНН. Часто эти отличия незначительны, написание ННН отличается лишь из-за особенностей языка (французский, итальянский, испанский) или путем замены отдельных букв («т»&gt; на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на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«у» на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и т.п). Например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 Acenocoumarol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Nicoumalon (BAN), Beclo-metasone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Bedomethasone (BAN, USAN, USP), Benzathine Benzylpenicillin (MHH) - Benzilpenicillin Benzathine (JAN).</w:t>
      </w:r>
    </w:p>
    <w:p w14:paraId="4D5DCEF0" w14:textId="77777777" w:rsidR="00000000" w:rsidRDefault="003A3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применение МНН приобретает все большее значение,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прежде всего при государственной регистрации ЛС. Однако в номенклатуре разрешенных к медицинскому применению ЛС содержится определенное количество старых отечественных препаратов, названия которых представляют соответствующие наименования фармакопейных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атей на фармацевтическую субстанцию. А для вновь создаваемых субстанций целесообразно оформлять МНН в соответствии с процедурой, принятой ВОЗ.</w:t>
      </w:r>
    </w:p>
    <w:p w14:paraId="22D8B9C3" w14:textId="77777777" w:rsidR="00000000" w:rsidRDefault="003A3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5B28E1" w14:textId="77777777" w:rsidR="00000000" w:rsidRDefault="003A3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Процедура и критерии выбора МНН</w:t>
      </w:r>
    </w:p>
    <w:p w14:paraId="173C450A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314980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Актуальность направления работ по выбору МНН фармацевтической субстанции связан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в первую очередь, с созданием новых оригинальных ЛС, в процессе которого организации-разработчики ЛС готовят нормативную документацию на свою продукцию. В соответствии с действующей процедурой, заявка на получение МНН субстанции оформляется на бланке 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тановленного образца и направляется в ВОЗ.</w:t>
      </w:r>
    </w:p>
    <w:p w14:paraId="43DDAE8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некоторых странах, где существуют национальные номенклатурные комитеты, это делается через соответствующие национальные номенклатурные органы. Если в стране нет номенклатурного агентства, производитель ЛС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обращаться непосредственно в ВОЗ за получением непатентованного наименования или в номенклатурное агентство другой страны, предпочтительно той, в которой ЛС, вероятно, появится на рынке.</w:t>
      </w:r>
    </w:p>
    <w:p w14:paraId="2A7D7B2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представленной заявке указывается фирма-производитель (заявитель),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приводится химическая структура, фармакологическое действие и сведения об использовании действующего вещества, а также предлагаемые к рассмотрению международные непатентованные наименования на английском языке (от 1 до 3 вариантов). Каждая фармацевтическая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субстанция, для которой выбирается МНН, индивидуализирована регистрационным номером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Chemical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Abstracts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Service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а для субстанций, представляющих собой химические соединения установленной структуры, приведены их молекулярные формулы. Образованные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такой субстанции новые соединения (например, соли или эфиры), для которых установлены новые регистрационные номера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не имеют статуса МНН. При выборе МНН для соединения, являющегося солью или эфиром активной субстанции, рекомендованное наименование расс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матривается как модифицированное МНН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INNM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Предложенное производителем в запросе наименование изучается, и выбирается соответствующее МНН на основе консенсуса всех членов Экспертной группы. Затем наименование впервые публикуется как предлагаемое МНН.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 4 месяцев Секретариат ВОЗ по МНН принимает замечания или возражения против предлагаемого наименования, например на основании его сходства с торговым наименованием. Если предлагаемое МНН не вызывает возражений, оно публикуется вторично в качестве рек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омендуемого МНН. При выборе МНН для фармацевтических субстанций следует руководствоваться следующими основными принципами:</w:t>
      </w:r>
    </w:p>
    <w:p w14:paraId="2AE9BE7D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МНН должны быть четкими в произношении и написании; не должны быть слишком длинными; должна быть исключена возможность спутать их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другими распространенными наименованиями.</w:t>
      </w:r>
    </w:p>
    <w:p w14:paraId="643D93E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МНН для субстанций, относящихся к определенной группе фармакологически родственных веществ, должны по возможности отражать эту взаимосвязь. Следует избегать наименований, которые могут вызвать у пациента аналоги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анатомического, физиологического, патологического или терапевтического характера.</w:t>
      </w:r>
    </w:p>
    <w:p w14:paraId="2960049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упомянутых выше основных принципов, при выборе МВД следует соблюдать и некоторые другие правила, позволяющие использовать их в международной практике, и в первую очер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едь, с учетом различных лингвистических и фонетических особенностей. Например, следует избегать использования букв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»; вместо «ае» и «ое» рекомендуется использовать букву «е», вместо буквы «у»- букву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вместо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- букву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и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соответ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ственно и т.д.</w:t>
      </w:r>
    </w:p>
    <w:p w14:paraId="639D28D6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выборе МНН фармацевтических субстанций специалистам необходимо руководствоваться следующими документами ВОЗ:</w:t>
      </w:r>
    </w:p>
    <w:p w14:paraId="1F348FF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«Procedure for selection of recommended International Nonproprietary Names (INN) for Pharmaceutical Substances».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(«Процедура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ыбора рекомендованных международных непатентованных наименований фармацевтических субстанций»);</w:t>
      </w:r>
    </w:p>
    <w:p w14:paraId="3E845BC9" w14:textId="77777777" w:rsidR="00000000" w:rsidRDefault="003A3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General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principles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guidance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devising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International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Nonproprietary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Pharmaceutical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Substances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(«Общие принципы формирования Международ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непатентованных наименований фармацевтических субстанций»).</w:t>
      </w:r>
    </w:p>
    <w:p w14:paraId="76C2126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Следует отметить, что с каждым годом процесс выбора МНН становится все более сложным. Это связано с прогрессом в создании инновационных ЛС и новых классов соединений, с открытиями новых типов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рецепторов и механизмов действия препаратов, использованием в исследованиях при разработке лекарств методов направленного синтеза; определенные трудности существуют с выбором МНН для субстанций, получаемых биотехнологическими методами. Это требует совершен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ствования подходов к выбору МНН. В последние годы ВОЗ активизирует работу по внедрению компьютерных технологий в данной области.</w:t>
      </w:r>
    </w:p>
    <w:p w14:paraId="0E49A25D" w14:textId="77777777" w:rsidR="00000000" w:rsidRDefault="003A3C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9E67744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Особенности формирования МНН</w:t>
      </w:r>
    </w:p>
    <w:p w14:paraId="597A4F5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43463A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Особого внимания заслуживают документы, освещающие разработку службами ВОЗ принципов и методов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стандартизации МНН на основе классификации субстанций по общности их фармакологического действия и подобия структур.</w:t>
      </w:r>
    </w:p>
    <w:p w14:paraId="63E9F5B0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Ранее во многих странах вновь создаваемые субстанции получали непатентованные наименования на основе химической структуры действующего вещ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ества. По мере увеличения числа химических соединений, применяемых в качестве фармацевтических субстанций, в основном сложной структуры с длинными химическими названиями, такой способ формирования МНН становился непригодным.</w:t>
      </w:r>
    </w:p>
    <w:p w14:paraId="218339E1" w14:textId="77777777" w:rsidR="00000000" w:rsidRDefault="003A3CC9">
      <w:pPr>
        <w:widowControl w:val="0"/>
        <w:shd w:val="clear" w:color="auto" w:fill="FFFFFF"/>
        <w:tabs>
          <w:tab w:val="left" w:pos="1134"/>
          <w:tab w:val="left" w:pos="16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связи с появление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большого количества фармацевтических субстанций, которые проявляют аналогичное фармакологическое действие, стало возможным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классифицировать субстанции на отдельные фармакологические группы с подобным действием, а МНН субстанций, входящих в одну фармакол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огическую группу, формировать таким образом, чтобы в МНН обозначалась их групповая общность. С этой целью в МНН начали вводить условные знаки (стандартизованные слоги или некоторое сочетание букв), которые указывают принадлежность субстанций к соответствую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щим классификационным группам. Такой знак («вставка» в МНН) назван термином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который в грамматическом отношении не может рассматриваться ни как «основа», поскольку не имеет лексического значения, ни как «корень», формирующий слово с помощью префиксо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и суффиксов, хотя в ряде документов этот термин переведен на русский язык как «корень». Видимо, такой «категорийный стем» лучше рассматривать в качестве буквенного кода и использовать без перевода. ВОЗ регулярно публикует материал «Использование общих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емов при отборе международных непатентованных наименований (МНН) для фармацевтических субстанций»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common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stems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selection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International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Nonproprietary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pharmaceutical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substances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»), для субстанции установленной химическо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структуры и фармакологического действия. Эти стемы и их определения отобраны экспертами по МНН и должны использоваться при выборе новых МНН фармацевтических субстанций, относящихся к установленной группе, (серии) родственных соединений. Например, стем «-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содержат 64 МНН, классифицированные как «местные анестетики»: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benzocaine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procaine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iidocaine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tetracaine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т.д. В нашей стране по данному классу соединений- зарегистрированы различные препараты на основе 12 фармацевтических субстанций, международны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непатентованные наименования которых имеют стем «-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».</w:t>
      </w:r>
    </w:p>
    <w:p w14:paraId="42503784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таблице 1 приведены выборочные сведения из фармакологической классификации ВОЗ с примерами общих стемов. Данная фармакологическая классификация используется в Программе ВОЗ по оценке и мониторин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 ЛС.</w:t>
      </w:r>
    </w:p>
    <w:p w14:paraId="1A6EA76F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1A170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1. Примеры общих стемов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025"/>
        <w:gridCol w:w="1437"/>
        <w:gridCol w:w="3432"/>
      </w:tblGrid>
      <w:tr w:rsidR="00000000" w14:paraId="1EFEDE01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43B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605B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фармакологической группы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73D3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Стем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4DA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Определение</w:t>
            </w:r>
          </w:p>
        </w:tc>
      </w:tr>
      <w:tr w:rsidR="00000000" w14:paraId="2F1DD74E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9A2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В000</w:t>
            </w:r>
          </w:p>
        </w:tc>
        <w:tc>
          <w:tcPr>
            <w:tcW w:w="8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F61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СТИМУЛЯТОРЫ ЦНС</w:t>
            </w:r>
          </w:p>
        </w:tc>
      </w:tr>
      <w:tr w:rsidR="00000000" w14:paraId="05CF1B0E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A9F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В100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78B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Аналептики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EF3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-филлин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AA75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Производные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-метил-ксантина</w:t>
            </w:r>
          </w:p>
        </w:tc>
      </w:tr>
      <w:tr w:rsidR="00000000" w14:paraId="455F3BF7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A5A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В100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C38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D84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-вин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F0A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Виналкалоиды</w:t>
            </w:r>
          </w:p>
        </w:tc>
      </w:tr>
      <w:tr w:rsidR="00000000" w14:paraId="10403DCA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51F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В300</w:t>
            </w:r>
          </w:p>
        </w:tc>
        <w:tc>
          <w:tcPr>
            <w:tcW w:w="8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456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АНТАГОНИСТЫ БЕНЗОДИАЗЕПИНОВЫХ РЕЦЕПТОРОВ</w:t>
            </w:r>
          </w:p>
        </w:tc>
      </w:tr>
      <w:tr w:rsidR="00000000" w14:paraId="4E48ABA8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18C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С100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F63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ксиолилики, седативные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1D8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-азепам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DC5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Пр.диазепама</w:t>
            </w:r>
          </w:p>
        </w:tc>
      </w:tr>
      <w:tr w:rsidR="00000000" w14:paraId="31ACD793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3DF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С300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440A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Антидепрессанты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1CC2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-оксетин-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123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Антидепрессанты,пр. флуоксетина</w:t>
            </w:r>
          </w:p>
        </w:tc>
      </w:tr>
      <w:tr w:rsidR="00000000" w14:paraId="562F6BA5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F05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000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9CC3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9AF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-прид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C893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Производные сульпирида</w:t>
            </w:r>
          </w:p>
        </w:tc>
      </w:tr>
      <w:tr w:rsidR="00000000" w14:paraId="3D0F2324" w14:textId="77777777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744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B1B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Вещества, стимулирующие пищеварение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9D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-азепид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D4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Антагонист рецепторов холецистокинина</w:t>
            </w:r>
          </w:p>
        </w:tc>
      </w:tr>
    </w:tbl>
    <w:p w14:paraId="08C3F2C6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454F7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формирования МНН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используются и другие грамматические элементы слов (такие как суффиксы, префиксы). Эффективность данной системы построения МНН в значительной степени зависит от сохранения в течение длительного времени пригодности грамматических элементов осуществлять свое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назначение - отражать родовую общность лекарственных веществ, образующих группу тех МВД, для которых они предназначены.</w:t>
      </w:r>
    </w:p>
    <w:p w14:paraId="5E06C1FA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Такой подход к формированию МНН сделал их доступными для специалистов, связанных с номенклатурой лекарственных средств, например, для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рачей важнее информация о фармакологическом и терапевтическом действии препарата, а не о молекулярной структуре вещества. В соответствии с резолюцией Всемирной ассамблеи здравоохранения ВОЗ следует оценивать, не являются ли торговые марки производными от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 и не использованы ли стемы МНН в торговых марках. Практика необоснованного применения стемов в торговых марках или в торговых названиях лекарственных препаратов угрожает принципу, определяющему МНН как общественную собственность; она может препятствоват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дальнейшему рациональному отбору МНН для родственных субстанций и, в конце концов угрожать безопасности больных, способствуя путанице в номенклатуре ЛС[3].</w:t>
      </w:r>
    </w:p>
    <w:p w14:paraId="444C78AD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BE4B0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Особенности формирования торговых наименований-брендов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века</w:t>
      </w:r>
    </w:p>
    <w:p w14:paraId="5352397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7475B6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Брэнды в фармации- это лекарстве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средства, действительно, внесшие значительный вклад в оздоровление человечества., в борьбу с тяжелыми недугами, признанные медицинской общественностью во многих странах мира, занимающие ведущие места в рейтинге продаж ЛС определенных фармакотерапевтич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еских групп. Такое ЛС имеет, как правило, длительный жизненный цикл. Однако в процессе рыночного существования могут быть выявлены негативные (побочные) действия этого препарата на организм, что может поставить под сомнение дальнейшее применение к нему 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мина «брэнд». История лекарствоведения содержит множество таких фактов. В качестве примера можно привести препарат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Prozac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(Прозак, МНН флуоксетин), относящийся к ЛС-брэндам. Опыт применения этого ЛС показал, что в некоторых случаях Прозак оказывает противо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положный ожидаемому эффект: не устраняет депрессию, а усиливает ее. Поэтому производителям рекомендовано в аннотациях к антидепрессантам данной группы указывать на возможный риск, суицида. </w:t>
      </w:r>
    </w:p>
    <w:p w14:paraId="52D47FE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особенностей формирования торговых названий(ТН)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 средств, ставших брэндами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в. (на начальном этапе их существования на фармацевтическом рынке), представляет научный интерес. </w:t>
      </w:r>
    </w:p>
    <w:p w14:paraId="3D3C01B5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1A6474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Количественный анализ</w:t>
      </w:r>
    </w:p>
    <w:p w14:paraId="098C9EF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BB47FD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Список лекарственные средства-брэндов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в., результаты лингвистического, терминологического и информ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ационного анализа приведены в таблице2. Основные признаки классификации следующие:</w:t>
      </w:r>
    </w:p>
    <w:p w14:paraId="15C5A215" w14:textId="77777777" w:rsidR="00000000" w:rsidRDefault="003A3CC9">
      <w:pPr>
        <w:widowControl w:val="0"/>
        <w:shd w:val="clear" w:color="auto" w:fill="FFFFFF"/>
        <w:tabs>
          <w:tab w:val="left" w:pos="24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ЛС (происхождение действующих веществ, международные непатентованные наименования - МНН);</w:t>
      </w:r>
    </w:p>
    <w:p w14:paraId="59E7CC21" w14:textId="77777777" w:rsidR="00000000" w:rsidRDefault="003A3CC9">
      <w:pPr>
        <w:widowControl w:val="0"/>
        <w:shd w:val="clear" w:color="auto" w:fill="FFFFFF"/>
        <w:tabs>
          <w:tab w:val="left" w:pos="24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фармацевтические свойства ЛС (лекарственные формы, физико-химические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свойства);</w:t>
      </w:r>
    </w:p>
    <w:p w14:paraId="2C8EF949" w14:textId="77777777" w:rsidR="00000000" w:rsidRDefault="003A3CC9">
      <w:pPr>
        <w:widowControl w:val="0"/>
        <w:shd w:val="clear" w:color="auto" w:fill="FFFFFF"/>
        <w:tabs>
          <w:tab w:val="left" w:pos="245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фармакологические и фармакотерапевтические свойства ЛС;</w:t>
      </w:r>
    </w:p>
    <w:p w14:paraId="03FE438F" w14:textId="77777777" w:rsidR="00000000" w:rsidRDefault="003A3CC9">
      <w:pPr>
        <w:widowControl w:val="0"/>
        <w:shd w:val="clear" w:color="auto" w:fill="FFFFFF"/>
        <w:tabs>
          <w:tab w:val="left" w:pos="25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рыночные характеристики ЛС (потребители, компания-производитель);</w:t>
      </w:r>
    </w:p>
    <w:p w14:paraId="4C7276DA" w14:textId="77777777" w:rsidR="00000000" w:rsidRDefault="003A3CC9">
      <w:pPr>
        <w:widowControl w:val="0"/>
        <w:shd w:val="clear" w:color="auto" w:fill="FFFFFF"/>
        <w:tabs>
          <w:tab w:val="left" w:pos="25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косвенные ассоциации (мифологические, географические, прочие ассоциации).</w:t>
      </w:r>
    </w:p>
    <w:p w14:paraId="5E4661FC" w14:textId="77777777" w:rsidR="00000000" w:rsidRDefault="003A3CC9">
      <w:pPr>
        <w:widowControl w:val="0"/>
        <w:shd w:val="clear" w:color="auto" w:fill="FFFFFF"/>
        <w:tabs>
          <w:tab w:val="left" w:pos="25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таблице 2 представлены вышеперечисле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нные классификационные признаки словообразовательных элементов и их доля в числе ТН ЛС-брэндов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в. </w:t>
      </w:r>
    </w:p>
    <w:p w14:paraId="4D29E3C0" w14:textId="77777777" w:rsidR="00000000" w:rsidRDefault="003A3C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B132978" w14:textId="77777777" w:rsidR="00000000" w:rsidRDefault="003A3CC9">
      <w:pPr>
        <w:widowControl w:val="0"/>
        <w:shd w:val="clear" w:color="auto" w:fill="FFFFFF"/>
        <w:tabs>
          <w:tab w:val="left" w:pos="25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2. Результаты лингвистического, терминологического и информационного анализа торговых названий ЛС-брэндов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3"/>
        <w:gridCol w:w="1133"/>
        <w:gridCol w:w="3261"/>
        <w:gridCol w:w="1962"/>
        <w:gridCol w:w="1971"/>
      </w:tblGrid>
      <w:tr w:rsidR="00000000" w14:paraId="4BEDF3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CFF1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Патентованное название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00E1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Год поя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в-ления на рынке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97A5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Производящие слова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81F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Область применения, заболевание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9F4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Классифика-ционные признаки</w:t>
            </w:r>
          </w:p>
        </w:tc>
      </w:tr>
      <w:tr w:rsidR="00000000" w14:paraId="4F0065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232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Aricept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Арисепт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508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73C8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Aristos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-наилучший 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perceptio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восприятие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B29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Болезнь Альцгеймера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637B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Фарм. свойства ЛС</w:t>
            </w:r>
          </w:p>
        </w:tc>
      </w:tr>
      <w:tr w:rsidR="00000000" w14:paraId="03A92B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6702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Avonex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Авонекс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8D0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E13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антиви русн ы й интерфе рон + -ех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A96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муномодулирующее, рассеянный склероз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3F0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Фарм. свойства ЛС</w:t>
            </w:r>
          </w:p>
        </w:tc>
      </w:tr>
      <w:tr w:rsidR="00000000" w14:paraId="3DFA5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431A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Lipitor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Липитор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05B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CC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Ijgos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+ f + atorvastatin (MHH)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876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Гиполипидемич-еское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561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Комплекс: состав ЛС+ фарм. свойства ЛС</w:t>
            </w:r>
          </w:p>
        </w:tc>
      </w:tr>
      <w:tr w:rsidR="00000000" w14:paraId="1C44C9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C07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Zyloprim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Зилоприм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7A9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834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4-оксипиразоло [3,4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]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пиримидин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BF2B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Противоподагри-ческое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B62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ЛС</w:t>
            </w:r>
          </w:p>
        </w:tc>
      </w:tr>
      <w:tr w:rsidR="00000000" w14:paraId="48167A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4043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Rituxan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Ритуксзн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8CB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DE0A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rituximab (MHH)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 антитело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0B9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Противоопухолевое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41A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Комплекс:сос-тав ЛС+ фарм.свойства ЛС</w:t>
            </w:r>
          </w:p>
        </w:tc>
      </w:tr>
      <w:tr w:rsidR="00000000" w14:paraId="31350F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81D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Celebrex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Целебрекс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D94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AADF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celecoxib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MHH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) +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из, устранение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E41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Противовоспали-тельное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FDD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Комплекс: состав ЛС + фарм.Свойства ЛС</w:t>
            </w:r>
          </w:p>
        </w:tc>
      </w:tr>
      <w:tr w:rsidR="00000000" w14:paraId="00F4A4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DAF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Diflucan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Дифлюкан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22DB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0A92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-от части химического названия -дифторфенил-+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fluconazole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MHH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 2 1 или сап от кандидоз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42C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Противогрибковое, противоинфек-ционное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A26A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Состав Л С</w:t>
            </w:r>
          </w:p>
        </w:tc>
      </w:tr>
    </w:tbl>
    <w:p w14:paraId="44608D2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14B8C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формировании торговых наименований лекарственных средств -брэндов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столетия в основном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использованы три способа:</w:t>
      </w:r>
    </w:p>
    <w:p w14:paraId="0100E5BD" w14:textId="77777777" w:rsidR="00000000" w:rsidRDefault="003A3CC9">
      <w:pPr>
        <w:widowControl w:val="0"/>
        <w:shd w:val="clear" w:color="auto" w:fill="FFFFFF"/>
        <w:tabs>
          <w:tab w:val="left" w:pos="23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классификационных признаков, включающий, как правило, два признака (39,6% ТН);</w:t>
      </w:r>
    </w:p>
    <w:p w14:paraId="1A7A2F6C" w14:textId="77777777" w:rsidR="00000000" w:rsidRDefault="003A3CC9">
      <w:pPr>
        <w:widowControl w:val="0"/>
        <w:shd w:val="clear" w:color="auto" w:fill="FFFFFF"/>
        <w:tabs>
          <w:tab w:val="left" w:pos="23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названий действующих веществ, входящих в состав ЛС (30,2%ТН);</w:t>
      </w:r>
    </w:p>
    <w:p w14:paraId="5C79F8B5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3)на основе фармакологических групп или фармакотерапевтически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свойств действующих веществ ЛС (28,3%). Только на основе рыночных характеристик составлено название лишь одного ЛС (1,9%).</w:t>
      </w:r>
    </w:p>
    <w:p w14:paraId="4E471F1E" w14:textId="77777777" w:rsidR="00000000" w:rsidRDefault="003A3C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9819E8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Качественный анализ</w:t>
      </w:r>
    </w:p>
    <w:p w14:paraId="1CAACE8D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C2AB3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22 законов создания брэнда известные маркетологи называют закон имени: чтобы привлечь внимание потр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ебителя, брэнду нужна оригинальность. Поэтому в число важнейших требований, предъявляемых к ТН, включают следующие: краткость, легкость восприятия, написания, произношения и запоминания, уникальность, различительная сила, отсутствие возможности смешения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другими ТН. Рассмотрим,как же развивались принципы формирования ТН лекарственных средств -брэндов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 </w:t>
      </w:r>
    </w:p>
    <w:p w14:paraId="4A2F85C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в период становления номенклатуры лекарственных средств традиционно использовались указания на происхождение/источник получения, а также на химиче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скую структуру вещества, что подтверждают названия ЛС периода 1930-1960 гг. С развитием системы МНН в ТН лекарственных препаратов стали включаться их элементы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Xylocaine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часто вместе с указаниями фармакотерапевтического характера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Capoten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Выбор таких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наукообразных вариантов ТН лекарственных средств обусловлен высокой степенью вероятности признания подобных названий научной и медицинской общественностью. </w:t>
      </w:r>
    </w:p>
    <w:p w14:paraId="1C2C9FA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Важным фактором создания положительного образа ЛС является фармако-терапевтическая информация, закл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юченная в его названии, т.е. указания на профиль; заболевания, действие ЛС на организм, терапевтический эффект. Такие элементы названия ЛС рассчитаны на восприятие их врачами и потребителями с достаточно-высоким образовательным уровнем.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Diuril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Minipress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Accutan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 являются примерами названий лекарственных средств, уведомляющих о возможной значимой ценности препарата, а также определяющих ту роль, которую брэнд будет играть для целевой аудитории. В. зарубежной практике формирования ТН лекарственных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 применяется способ включения в них широко известных словообразовательных элементов, имеющих позитивный смысл, таких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для, в защиту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Protropin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-очень, усиление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Percocet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Иногда названия лекарственных средств -брэндов, созданные на основе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химических наименований, ассоциируются со словами, связанными с положительным значениями, независимо от того, имели ли в виду подобные смысловые связи сами создатели брэндов.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Benadril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сопоставим с латинским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хорошо,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Lipitor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конечной частью напоминает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суффикс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ассоциируемый с активным воздействием. В названии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Zyloprim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конечный элемент, образованный сокращением химического наименования, совпадает с латинским словом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primus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первый, нередко связываемым с понятием «лучший». Средняя часть названия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Dila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ntin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идентична префиксу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- против, что сопоставимо с противоэпилептиче-ским действием препарата. Такие названия способствуют созданию позитивного имиджа продукта на основе подсознательного восприятия. </w:t>
      </w:r>
    </w:p>
    <w:p w14:paraId="76F59A8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создании названий лекарственных средств -брэн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 нередко используется принцип формирования доверия потребителя по отношению к предлагаемому товару. Достигается это за счет включения в ТН названия компании-производителя, олицетворяющего ее мощь и высокий социальный статус, в сочетании с другими видами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информации. Это позволяет дифференцировать ЛС от других в данных терапевтических сегментах. Так, компания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учла, что факторами, необходимыми для успеха ее средства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Mevacor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должны стать указания в его названии на престиж производителя и профиль забол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еваний, при которых должен применяться препарат. Начиная с 70-х годов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в. усиливается внимание к собственно языковым сторонам ТН ЛС, что просматривается и в названиях брэндов. </w:t>
      </w:r>
    </w:p>
    <w:p w14:paraId="4735936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тенденция к укорачиванию названий ЛС-брэндов отчетливо видна из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таблицы 3.</w:t>
      </w:r>
    </w:p>
    <w:p w14:paraId="6D654536" w14:textId="77777777" w:rsidR="00000000" w:rsidRDefault="003A3C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11D248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3.Длина торговых названий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717"/>
        <w:gridCol w:w="1694"/>
        <w:gridCol w:w="1696"/>
        <w:gridCol w:w="1769"/>
      </w:tblGrid>
      <w:tr w:rsidR="00000000" w14:paraId="21480FED" w14:textId="77777777">
        <w:tblPrEx>
          <w:tblCellMar>
            <w:top w:w="0" w:type="dxa"/>
            <w:bottom w:w="0" w:type="dxa"/>
          </w:tblCellMar>
        </w:tblPrEx>
        <w:tc>
          <w:tcPr>
            <w:tcW w:w="7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F97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ЛС-брэндов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CFB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F1E61C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CC8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Период создания, годы</w:t>
            </w:r>
          </w:p>
        </w:tc>
        <w:tc>
          <w:tcPr>
            <w:tcW w:w="6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C07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слогов в торговых названиях ЛС</w:t>
            </w:r>
          </w:p>
        </w:tc>
      </w:tr>
      <w:tr w:rsidR="00000000" w14:paraId="5FD6B54A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545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CFD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37B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2692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четыре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86A2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пять</w:t>
            </w:r>
          </w:p>
        </w:tc>
      </w:tr>
      <w:tr w:rsidR="00000000" w14:paraId="0137932D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B9D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1938-1949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49E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5852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121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B195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24C9EB61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C3F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1950-1959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CC4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9F6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039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A0A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DF1599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B15E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1960-1969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47C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750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A8A6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9BA1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13252F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B12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1970-1979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E61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463D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875A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3E78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48A54A1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B19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1980-1989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8C62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55D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8CA0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965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DE0D1F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9A3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1990-1998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7E14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A027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DEA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28A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5583B83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D7E9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Всего ЛС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BDB1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040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048C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2D93" w14:textId="77777777" w:rsidR="00000000" w:rsidRDefault="003A3C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</w:tbl>
    <w:p w14:paraId="04F00C00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0915B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ТН лекарственных препаратов, созданных в 1930-19б0-е гг., состояли, в среднем, из 3,24 слога, тогда как в 1970-1990-х гг. - уже из 2,71 слога (т.е. отмечается уменьшение на полслога). Характерная тенденция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1980-1990-х гг. - появление очень кратких, двусложных , например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Taxol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5F92224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Требование легкости восприятия, написания и произношения названий лекарственных средств -брэндов реализовалось, прежде всего, путем исключения буквосочетаний, характерных для латинск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транскрипции слов греческого происхождения. Как правило, ТН составлены путем чередования гласных с согласными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Imuran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или удобопроизносимыми сочетаниями согласных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Ambien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При этом включение сочетаний взрывных согласных с плавным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стал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своеобразным приемом при создании ТН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Enbrel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Benadryl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Imitrex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Viagra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т.к. эти сочетания создают впечатление энергии, активности, прорыва и косвенно характеризуют быстрое и. аффективное действие лекарства. Цели достижения уникальности и различительно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силы названий служит активное использование с начала 1980-х гг. редко употребляемых букв латинского алфавита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х, 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что создает необычный визуальный облик слов. Так, в названиях брэндов 1930- 1970-х гг. наличие буквы было обоснованным: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Pfizerpen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названия фирмы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Pfizer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Thorazine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систематического химического названия. Затем эта буква стала намеренно ставиться в начало слов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Azacram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Zoladex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Zyloprim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или включаться в ТН искусственно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Zantac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Zovirax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Prozac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04391A9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Начиная с 1970-х гг. тенденция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зработки оригинальных названий, создающих паузу в потоке речи, усиливается в результате использования латинообразных финалей -ах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Zovirax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Avonex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а также необычных, неповторяющихся конечных элементов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Percocet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Cipro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Aricept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Ярким примером успеш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ного ТН, образованного с помощью аффикса -ах и перестановки букв начальной части названия фармакологической группы, считается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Xanax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Название ассоциируется в сознании врача с термином анксиолитик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anxietas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тревожное состояние), а в сознании потре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бителя-с английским вариантом того же слова. В то же время оно имеет позитивный оттенок устранения беспокойства, благодаря ассоциации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- отсутствие. Это название привлекает внимание и возможностью обратного чтения, что в целом создает исключительные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озможности для запоминания.</w:t>
      </w:r>
    </w:p>
    <w:p w14:paraId="1DBDD9D1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Другим примером краткого, благозвучного, оригинального названия, построенного с расчетом на определенную целевую группу потребителей, может служить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Enbrel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название, напоминающее англоговорящим врачам и пациентам фразу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enables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people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with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rheumatoid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arthritis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- помогает людям с ревматоидным артритом. Название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Rogaine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первоначально имело форму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Regaine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по-английски значит «снова» и подчеркивает связь с проблемой восстановления волос. Однако, когда обнаружилось его антигипер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тензивное действие, пришлось заменить е на о, поэтом)' ассоциация названия с первоначальным назначением ЛС стала менее явной. В другом случае пришлось изменить название брэнда для устранения возможности смешения. Известно, что название антидепрессанта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Proz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считающееся весьма удачным в силу его краткости, экспрессивности, положи-тельных ассоциаций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- для), включения для оригинальности буквы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подразумеваемой эффективности (ас-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activatio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[1].</w:t>
      </w:r>
    </w:p>
    <w:p w14:paraId="1759DAE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еще одна проблема в названии ЛС- языковая.</w:t>
      </w:r>
    </w:p>
    <w:p w14:paraId="6D30922F" w14:textId="77777777" w:rsidR="00000000" w:rsidRDefault="003A3C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B64F7FA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Лингвистические особенности наименования лекарств</w:t>
      </w:r>
    </w:p>
    <w:p w14:paraId="6B8A290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54F17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МНН и ННЛ являются названиями, предназначенными для свободного использования производителями лекарственных средств, которые, в свою очередь, не имеют исключительных прав собственности на эти наименовани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Отсутствие четких представлений о статусе различных категорий названий лекарственных средств, а также недостаточное регулирование российским законодательством этого вопроса породили ряд лингвистических проблем, связанных с названиями лекарств.</w:t>
      </w:r>
    </w:p>
    <w:p w14:paraId="0BBF7EA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восемь основных проблем языкового характера в современной номенклатуре лекарственных средств. </w:t>
      </w:r>
    </w:p>
    <w:p w14:paraId="4C6A9725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Проблема отхода от традиционной латинской орфографии и фонетики</w:t>
      </w:r>
    </w:p>
    <w:p w14:paraId="3035556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последнее десятилетие наметилась и получает все большее развитие тенденция к переходу от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радиционных названий ЛС на латинском языке к названиям на языках тех стран, которые являются лидерами в фармацевтической промышленности, и прежде всего на английском языке. Отход от традиционной латиноязычной номенклатуры порождает фонетические и связанные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ними смысловые трудности восприятия названий ЛС, в частности:</w:t>
      </w:r>
    </w:p>
    <w:p w14:paraId="091A775D" w14:textId="77777777" w:rsidR="00000000" w:rsidRDefault="003A3CC9">
      <w:pPr>
        <w:widowControl w:val="0"/>
        <w:shd w:val="clear" w:color="auto" w:fill="FFFFFF"/>
        <w:tabs>
          <w:tab w:val="left" w:pos="20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Регистрация наименований импортных ЛС (чаще товарных знаков), звуковой облик которых не соответствует традиционному произношению латинских названий, например: Чарозетта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Cerazet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а) - Италия,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оночинкве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Monocinque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Италия, Дайджин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Digen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е) - Великобритания, Прайтор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Pritor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Великобритания, Биск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Beesk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Ирландия. Коэйтдви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Великобритания;</w:t>
      </w:r>
    </w:p>
    <w:p w14:paraId="5761D29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традиционного звукобуквенного соответствия, которое затрудняет звуковое восприя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тие названия и вычленение известных частотных отрезков, несущих важную информацию о лекарстве. Например, в названии Хайпотен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Hypoien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хорошо известные отрезки греческого происхождения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и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-, указывающие на антигипертензивное действие препарата,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трудом вычленяются лицами, не владеющими английским языком; в наименовании французского препарата Тержинан.</w:t>
      </w:r>
    </w:p>
    <w:p w14:paraId="5ED8162F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Проблема удобопроизносимости названий ЛС</w:t>
      </w:r>
    </w:p>
    <w:p w14:paraId="22D7FF8A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законодательного урегулирования приводит к регистрации ЛС под; неудобопроизносимыми названиям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которые либо искажают русский язык, либо противоречат нормам русской фонетики. В качестве названий, искажающих русский язык, можно привести наименование «Длянос»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Dlianos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для русского языка характерно отдельное произношение предлога и употребление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ществительного в родительном падеже. Среди названий, противоречащих норам русской фонетики, можно выделить несколько подгрупп:</w:t>
      </w:r>
    </w:p>
    <w:p w14:paraId="53730B47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наименования, оканчивающиеся на «о», с традиционным для ЛС ударением а последний слог: Суперо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Supero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Симло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Simlo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Офло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Апо-дикло, Аккупро и т.п.; </w:t>
      </w:r>
    </w:p>
    <w:p w14:paraId="7F847AD5" w14:textId="77777777" w:rsidR="00000000" w:rsidRDefault="003A3CC9">
      <w:pPr>
        <w:widowControl w:val="0"/>
        <w:shd w:val="clear" w:color="auto" w:fill="FFFFFF"/>
        <w:tabs>
          <w:tab w:val="left" w:pos="31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названия,вкоторыхестьсочетаниедвух или трех несовместимых длярусскойфонетикисогласных:Пепфиз(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Pepfiz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для фонетики русского языка не характерно сочетание «пф»; Кампто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Campto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сочетание 3 согласных подряд «мпт» неудо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бно для произношения; Абциксимаб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Abciximab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сочетание був «бц» неудобно, т.к. в русском языке принято сочетание глухих («гщ») или звонких («бз») согласных.</w:t>
      </w:r>
    </w:p>
    <w:p w14:paraId="186927A1" w14:textId="77777777" w:rsidR="00000000" w:rsidRDefault="003A3CC9">
      <w:pPr>
        <w:widowControl w:val="0"/>
        <w:shd w:val="clear" w:color="auto" w:fill="FFFFFF"/>
        <w:tabs>
          <w:tab w:val="left" w:pos="31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наименования, оканчивающиеся на звонкую согласную: Омез(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Omez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)-в конце слова происходит оглушен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звонкой согласной.</w:t>
      </w:r>
    </w:p>
    <w:p w14:paraId="152214D9" w14:textId="77777777" w:rsidR="00000000" w:rsidRDefault="003A3CC9">
      <w:pPr>
        <w:widowControl w:val="0"/>
        <w:shd w:val="clear" w:color="auto" w:fill="FFFFFF"/>
        <w:tabs>
          <w:tab w:val="left" w:pos="31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Проблема ложных или негативных ассоциаций</w:t>
      </w:r>
    </w:p>
    <w:p w14:paraId="578675A3" w14:textId="77777777" w:rsidR="00000000" w:rsidRDefault="003A3CC9">
      <w:pPr>
        <w:widowControl w:val="0"/>
        <w:shd w:val="clear" w:color="auto" w:fill="FFFFFF"/>
        <w:tabs>
          <w:tab w:val="left" w:pos="31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исследуемом нами терминологическом материале встретилось значительное число наименований, которые в русском произношении вызывают ложные ассоциации с действием или составом препарата,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просто совпадают по звучанию с русским словом, значение которого абсолютно не связано с действием лекарственного средства. Примерами наименований, вызывающих ложные ассоциации, могут служить: Дис-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nopm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Dysport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препарат является ботулиническим токсин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ом, который оказывает миорелаксантное действие и применяется при кривошее, ДЦП, в косметологии, однако в переносе на русский язык это название указывает скорее на его применение в области спортивной медицины; Фортоваза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Fortovase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отрезок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может выз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ассоциации с сосудорасширяющим действием, но это противовирусный препарат; Проспан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вызывает ассоциации со словом «проспать» и указывает скорее на отношение к группе снотворных средств, в действительности препарат применяют как противокашл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евое, отхаркивающее и спазмолитическое средство.</w:t>
      </w:r>
    </w:p>
    <w:p w14:paraId="5C5BDFE1" w14:textId="77777777" w:rsidR="00000000" w:rsidRDefault="003A3CC9">
      <w:pPr>
        <w:widowControl w:val="0"/>
        <w:shd w:val="clear" w:color="auto" w:fill="FFFFFF"/>
        <w:tabs>
          <w:tab w:val="left" w:pos="31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Проблема неблагозвучности наименований</w:t>
      </w:r>
    </w:p>
    <w:p w14:paraId="4BA8A9A2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названия ЛС имеют неприятное, даже грубое для русского уха звучание, часто находящееся на грани нормативной лексикой. В качестве примеров неблагозвучных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именований ЛС можно привести следующие обозначения: Имудон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Imudon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Калчек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Calchek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Матерна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Materna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Мандол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Mandol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Пизина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Pyzina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Кардура,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Cardura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другие.</w:t>
      </w:r>
    </w:p>
    <w:p w14:paraId="20807F1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Слабая различительная способность наименований</w:t>
      </w:r>
    </w:p>
    <w:p w14:paraId="7C98B45A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 проблема обусловлена тем, что в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ществующем законодательстве отсутствуют соответствующие требования и допускается регистрация подобных наименований. Такие названия несут потенциальную опасность отпуска из аптеки не назначенного пациенту лекарства, и следовательно, создают риск возникновен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серьезных осложнений при лечении. Здесь можно выделить три подгруппы наименований: </w:t>
      </w:r>
    </w:p>
    <w:p w14:paraId="094BCB7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Названия, имеющие структуру кодов. Примером могут служить гомеопатические ЛС международного концерна «Эдас», которые имеют цифровые более чем для 80 препаратов, предна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значенньгх для лечения самых разных заболеваний, например: Эдас-101 -для лечения женских заболеваний, Эдас-105 - противовоспалительное, отхаркивающее средство: Эдас-101 - препарат для нормализации обмена веществ; Эдас-109 - анальгезирующее средство. Такие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обозначения обладают низкой информативностью, плохо запоминаются и легко смешиваются.</w:t>
      </w:r>
    </w:p>
    <w:p w14:paraId="3BC98E4A" w14:textId="77777777" w:rsidR="00000000" w:rsidRDefault="003A3CC9">
      <w:pPr>
        <w:widowControl w:val="0"/>
        <w:shd w:val="clear" w:color="auto" w:fill="FFFFFF"/>
        <w:tabs>
          <w:tab w:val="left" w:pos="29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Названия, сходные с морфолого-орфографической точки зрения, т.е. их легко можно перепутать вследствие психологических особенностей, например: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торговый наименование неп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атентованный номенклатура</w:t>
      </w:r>
    </w:p>
    <w:p w14:paraId="3E64829A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Леакардин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Leacardin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иммуномодулятор / Леукерин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Leukerin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иммунодепрессант; Сталон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Stalon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БАД для мужчин / Стадол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Stadol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антагонист рецепторов. Подобные наименования могут порождать юридические проблемы, связанные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нарушением прав владельцев товарных знаков и недобросовестной конкуренцией.</w:t>
      </w:r>
    </w:p>
    <w:p w14:paraId="30F31FFE" w14:textId="77777777" w:rsidR="00000000" w:rsidRDefault="003A3CC9">
      <w:pPr>
        <w:widowControl w:val="0"/>
        <w:shd w:val="clear" w:color="auto" w:fill="FFFFFF"/>
        <w:tabs>
          <w:tab w:val="left" w:pos="24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Названия-аббревиатуры, например М-М-Р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Measles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Mumps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vaccine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live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вакцина для профилактики кори, краснухи и паротита.</w:t>
      </w:r>
    </w:p>
    <w:p w14:paraId="7A1F2923" w14:textId="77777777" w:rsidR="00000000" w:rsidRDefault="003A3CC9">
      <w:pPr>
        <w:widowControl w:val="0"/>
        <w:shd w:val="clear" w:color="auto" w:fill="FFFFFF"/>
        <w:tabs>
          <w:tab w:val="left" w:pos="24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Проблема громоздкости наименований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екарственных средств</w:t>
      </w:r>
    </w:p>
    <w:p w14:paraId="187A2A10" w14:textId="77777777" w:rsidR="00000000" w:rsidRDefault="003A3CC9">
      <w:pPr>
        <w:widowControl w:val="0"/>
        <w:shd w:val="clear" w:color="auto" w:fill="FFFFFF"/>
        <w:tabs>
          <w:tab w:val="left" w:pos="24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излишнего загромождения названий неинформативными элементами также связана с отсутствием в законодательстве четко сформулированных требований к названиям. В качестве примера можно привести следующие наименования: Аддитивамульт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ивитамины с минералами шипучие таблетки с апельсиновым вкусом, Аддитива витамин С шипучие таблетки с лимонным вкусом; Аминостерил КЕ Нефро безуглеводный; Беклазон легкое дыхание.</w:t>
      </w:r>
    </w:p>
    <w:p w14:paraId="21AC7584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номенклатуре ЛС встречаются громоздкие названия, состоящие из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и более слогов, крайне неудобные для употребления, например:</w:t>
      </w:r>
    </w:p>
    <w:p w14:paraId="70250A4A" w14:textId="77777777" w:rsidR="00000000" w:rsidRDefault="003A3CC9">
      <w:pPr>
        <w:widowControl w:val="0"/>
        <w:shd w:val="clear" w:color="auto" w:fill="FFFFFF"/>
        <w:tabs>
          <w:tab w:val="left" w:pos="269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Ацетиламинонитропропоксибензен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(Acetylaminonitropropoxybenzene);</w:t>
      </w:r>
    </w:p>
    <w:p w14:paraId="5808A1B5" w14:textId="77777777" w:rsidR="00000000" w:rsidRDefault="003A3CC9">
      <w:pPr>
        <w:widowControl w:val="0"/>
        <w:shd w:val="clear" w:color="auto" w:fill="FFFFFF"/>
        <w:tabs>
          <w:tab w:val="left" w:pos="269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Гидроксиметилникотинамид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(Hydroxymethylnicotinamide).</w:t>
      </w:r>
    </w:p>
    <w:p w14:paraId="5E307B16" w14:textId="77777777" w:rsidR="00000000" w:rsidRDefault="003A3CC9">
      <w:pPr>
        <w:widowControl w:val="0"/>
        <w:shd w:val="clear" w:color="auto" w:fill="FFFFFF"/>
        <w:tabs>
          <w:tab w:val="left" w:pos="269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Использование названий, сходных с существующими научными терминам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или словами общелитературного языка</w:t>
      </w:r>
    </w:p>
    <w:p w14:paraId="04EEEF2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Примером первой подгруппы наименований может послужить название антидепрессивного средства Портал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Portal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полностью совпадающее с техническим термином «портал», обозначающим П-образную часть конструкции, например,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дъемного крана, станка и т.п., с архитектурным термином, обозначающим вход в здание, и с театральным термином, обозначающим обрамление сцены.</w:t>
      </w:r>
    </w:p>
    <w:p w14:paraId="5D58B3A8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Примеры наименований второй подгруппы более многочисленны, например название тонизирующего средства Коррида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Corri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 общелитературном языке, как известно, означает «бой быков»; название стоматологического геля Пародиум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Parodium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почти полностью совпадает со словом общелитературного языка «пародия»; название Небилет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Nebilet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совпадает с русским «не билет», что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имеет отношения к лекарственному действию; наименование Цель 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ее1 Т) совпадает с русским словом «цель», действие же препарата связано со стимуляцией регенерации хрящевой ткани; 5-НОК (5-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на слух воспринимается как «5 ног» и т.д.</w:t>
      </w:r>
    </w:p>
    <w:p w14:paraId="2EF118B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Использование 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зов литературных и мифологических героев</w:t>
      </w:r>
    </w:p>
    <w:p w14:paraId="724EC2E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использования образов литературных и мифологических героев в качестве названий ЛС также связана с отсутствием требований к обозначениям лекарств со стороны законодателя. Используемые для обозначения названи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ЛС образы литературных героев часто никоим образом не связаны с тем действием, которое эти средства оказывают. Так, международный концерн «Эдас» выпускает лекарственное средство под названием Солъвейг~Э по имени героини драмы Г.Ибсена «Пер Гюнт», которая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тридцати лет ждала своего возлюбленного.Препарат же применяется при отложении солей, полиартрите, остеохондрозе. Лекарственное средство Айвенго-Э, названное по имени героя романа В.Скотта рыцаря Айвенго, применяется при варикозном расширении вен 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еморрое.</w:t>
      </w:r>
    </w:p>
    <w:p w14:paraId="52990E1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можно сделать вывод, что языковые проблемы, существующие в современной номенклатуре ЛС, связаны с правовыми пробелами, имеющими место в нашем законодательстве. Наибольшее значение имеет проблема отхода от традиционных способов постр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оения наименований ЛС на основе греко-латинских терминоэлементов и латинской фонетики и грамматики.</w:t>
      </w:r>
    </w:p>
    <w:p w14:paraId="54BF2681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Другой важной проблемой является появление в номенклатуре неблагозвучных и неудобопроизносимых названий ЛС, звуковой облик которых не соответствует нормам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усского языка. Эти проблемы возникли из-за недостаточной регламентации российским законодательством правил регистрации ЛС, а также из-за несоблюдения фирмами-производителями норм и правил создания наименований ЛС. Только усиление законодательной базы позво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 сделать номенклатуру ЛС более удобной, понятной, правильной с терминологической точки зрения, и защитит ее от проникновения нежелательных наименований [2].</w:t>
      </w:r>
    </w:p>
    <w:p w14:paraId="44351701" w14:textId="77777777" w:rsidR="00000000" w:rsidRDefault="003A3C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3C049A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42D709D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A0C24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Современный мировой фармацевтический рынок характеризуется большим числом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венных средств, с увеличением ассортимента ЛС специалистам становится все труднее ориентироваться в лекарственной номенклатуре, что создает определенные проблемы при выборе и назначении препаратов. </w:t>
      </w:r>
    </w:p>
    <w:p w14:paraId="084A542C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ориентирования в мире лекарств, в первую очередь, сущ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ествуют МНН. МНН, обладающие экстерриториальностью обеспечивают важнейшую коммуникационную функцию, давая специалистам в разных странах, говорящим на непохожих языках, единый инструмент, позволяющий идентифицировать, дифференцировать и систематизировать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карственные средства.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268BD3CF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проблемы в правильном и точном выборе непатентованных наименований ЛС, рассматривается также проблема торговых названий лекарственных препаратов, образованных от химических наименований или МНН.</w:t>
      </w:r>
    </w:p>
    <w:p w14:paraId="5D496C09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Важной проблемой является появл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в номенклатуре неблагозвучных и неудобопроизносимых названий ЛС, звуковой облик которых не соответствует нормам русского языка. Эти проблемы возникли из-за недостаточной регламентации российским законодательством правил регистрации ЛС, а также из-за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есоблюдения фирмами-производителями норм и правил создания наименований ЛС. Только усиление законодательной базы позволит сделать номенклатуру ЛС более удобной, понятной, правильной с терминологической точки зрения, и защитит ее от проникновения нежелатель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наименований.</w:t>
      </w:r>
    </w:p>
    <w:p w14:paraId="64C28C2E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 ТН ЛС - брэндов значительно преобладают названия, образованные на основе двух признаков из пяти возможных: это признаки состава ЛС и его фармакологических либо фармакотерапевтических свойств. Анализ динамики подходов к формированию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 ЛС указывает на тенденцию к уменьшению числа ТН, содержащих явную фармацевтическую или медицинскую информацию, и росту числа ТН, которые характеризуются языковой выразительностью, экспрессией и лучше запоминаются потенциальными потребителями ЛС. В резул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ьтате преимущественного использования сокращенных частей исходных слов и их перестановок возрастает внимание к внешнему облику ТН ЛС, т.е. краткости, благозвучности, возможности создания положительных эмоций у врачей и потребителей. В погоне за популярност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ью препарата на фармацевтическом рынке важно не забывать производителям об ответственности за формирование названий ЛС.</w:t>
      </w:r>
    </w:p>
    <w:p w14:paraId="1688A4AB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21F370" w14:textId="77777777" w:rsidR="00000000" w:rsidRDefault="003A3CC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884D5D3" w14:textId="77777777" w:rsidR="00000000" w:rsidRDefault="003A3CC9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3B0BB3BA" w14:textId="77777777" w:rsidR="00000000" w:rsidRDefault="003A3CC9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FAC9A0" w14:textId="77777777" w:rsidR="00000000" w:rsidRDefault="003A3CC9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Дремова, Н.Б. Особенности формирования торговых названий лекарственных средств - брендов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века/Н.Б. Дремова,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Р.Е. Березникова, Э.А. Коржаковых//Ремедиум. - 2005. - №12. - С. 9-14.</w:t>
      </w:r>
    </w:p>
    <w:p w14:paraId="1215DDEA" w14:textId="77777777" w:rsidR="00000000" w:rsidRDefault="003A3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Лазарева, М.Н. Лингвистические особенности наименования лекарств/ М.Н. Лазарева, И.А. Хабипова, Е.С. Чепкасова// Ремедиум. - 2005. -№ 12 - С. 15-17.</w:t>
      </w:r>
    </w:p>
    <w:p w14:paraId="6BEF04DD" w14:textId="77777777" w:rsidR="00000000" w:rsidRDefault="003A3C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Шашкова, Г.М. Международные неп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атентованные наименования: их значение и использование/Г. М. Шашкова// Ремедиум. -2005. - спец. Выпуск. - С.86-92.</w:t>
      </w:r>
    </w:p>
    <w:p w14:paraId="4B9A8E97" w14:textId="77777777" w:rsidR="003A3CC9" w:rsidRDefault="003A3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Доклад Секретариата [Электронныйресурс] /Всемирная организация Здравоохранения. - 2002. - Режим доступа: &lt;http://www.who.int/medicines/org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anization/qsm/activites/qualityassurance/&gt;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innproc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</w:p>
    <w:sectPr w:rsidR="003A3C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45"/>
    <w:rsid w:val="003A3CC9"/>
    <w:rsid w:val="00B6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3794"/>
  <w14:defaultImageDpi w14:val="0"/>
  <w15:docId w15:val="{BD6ABDAA-D167-4568-AFDA-01C96956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7815</Words>
  <Characters>44547</Characters>
  <Application>Microsoft Office Word</Application>
  <DocSecurity>0</DocSecurity>
  <Lines>371</Lines>
  <Paragraphs>104</Paragraphs>
  <ScaleCrop>false</ScaleCrop>
  <Company/>
  <LinksUpToDate>false</LinksUpToDate>
  <CharactersWithSpaces>52258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2025-01-25T00:10:00Z</dcterms:created>
  <dcterms:modified xsi:type="dcterms:W3CDTF">2025-01-25T00:10:00Z</dcterms:modified>
</cp:coreProperties>
</file>