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EFB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08929375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A2F9DA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0FC0320A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5B4C74C9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F2923F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08560950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7AFED3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32C6F2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3AB14E5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3F1810CA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948E86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Курсова робота</w:t>
      </w:r>
    </w:p>
    <w:p w14:paraId="1D089B26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Застосування лікарської субстанції "Парацетамол"</w:t>
      </w:r>
    </w:p>
    <w:p w14:paraId="6E34D193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Зміст</w:t>
      </w:r>
    </w:p>
    <w:p w14:paraId="7B58ED42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1D92FCB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Вступ</w:t>
      </w:r>
    </w:p>
    <w:p w14:paraId="2AF6603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Лікарські речовини - похідні ароматичних амінів</w:t>
      </w:r>
    </w:p>
    <w:p w14:paraId="48D6B08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Властивості парацетамолу</w:t>
      </w:r>
    </w:p>
    <w:p w14:paraId="6F3EA62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Добування парацетамолу</w:t>
      </w:r>
    </w:p>
    <w:p w14:paraId="5179C73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Методи ідентифікації</w:t>
      </w:r>
    </w:p>
    <w:p w14:paraId="47DD66A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Випробування на чистоту</w:t>
      </w:r>
    </w:p>
    <w:p w14:paraId="13B8A376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Методи кількі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сного визначення</w:t>
      </w:r>
    </w:p>
    <w:p w14:paraId="2D63AA9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  <w:t>Застосування і зберігання</w:t>
      </w:r>
    </w:p>
    <w:p w14:paraId="6393B8E5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Висновки</w:t>
      </w:r>
    </w:p>
    <w:p w14:paraId="35290DD2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Список використаної літератури</w:t>
      </w:r>
    </w:p>
    <w:p w14:paraId="030408F6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4CD86669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Вступ</w:t>
      </w:r>
    </w:p>
    <w:p w14:paraId="24DDA7F6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66813C5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Парацетамол (у деяких країнах має генеричну назву ацетамінофен) - активний метаболіт фенацетину. Менш токсичний порівняно з фенацетином. Забезпечує переважно цен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тральну анальгезивну і жарознижуючу дію, характеризується дуже слабкою периферійною протизапальною активністю. Парацетамол вважається одним з найбільш безпечних НПЗП. Саме тому знайшов широке застосування у населення. Парацетамол випускають дуже багато фір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 під різними торгівельними назвами. [1]</w:t>
      </w:r>
    </w:p>
    <w:p w14:paraId="06F5BE3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До якості лікарських засобів висуваються особливі вимоги, оскільки вони покликані гарантувати ефективність та безпеку препарату, отже, й здоров’я кожного окремого пацієнта та суспільства в цілому.</w:t>
      </w:r>
    </w:p>
    <w:p w14:paraId="1C8FE6B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 xml:space="preserve">Одним з критеріїв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безпечності лікарського засобу є відсутність побічних дій при його використанні.</w:t>
      </w:r>
    </w:p>
    <w:p w14:paraId="5792583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Ефективність препарату характеризується рівнем лікувального ефекта, який досягається при використанні мінімальної дози. Таким чином, чим менша терапевтична доза і нижче токсич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ність лікарського засобу, тим він більш ефективний.[3]</w:t>
      </w:r>
    </w:p>
    <w:p w14:paraId="244FF5A0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Важливою складовою забезпечення якості лікарських засобів є фармацевтичний аналіз - сукупність методів, які дозволяють оцінити параметри якості біологічно активних речовин на всіх етапах існування лікі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в - від розробки до реалізації.[2]</w:t>
      </w:r>
    </w:p>
    <w:p w14:paraId="2A8ED052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Метою даної курсової роботи є аналіз парацетамолу, встановлення за допомогою відповідних реакцій його якісного та кількісного складу, проведення випробування на чистоту.</w:t>
      </w:r>
    </w:p>
    <w:p w14:paraId="43DAA16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356F7896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</w:rPr>
        <w:lastRenderedPageBreak/>
        <w:t>Лікарські речовини - похідні ароматичних амінів</w:t>
      </w:r>
    </w:p>
    <w:p w14:paraId="1071EFD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</w:rPr>
      </w:pPr>
    </w:p>
    <w:p w14:paraId="7E0B6478" w14:textId="28203FBA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6FF0CFF6" wp14:editId="3CA52F9C">
            <wp:extent cx="223837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A4D7A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0A1AFAC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Ця група речовин має в своїй структурі молекулу ацетаніліда: </w:t>
      </w:r>
    </w:p>
    <w:p w14:paraId="4813FD6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1EE744D" w14:textId="6F5992E4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466F094" wp14:editId="1DFF89E3">
            <wp:extent cx="186690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073CE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FFFFFF"/>
          <w:sz w:val="28"/>
          <w:szCs w:val="28"/>
          <w:lang w:val="ru-RU"/>
        </w:rPr>
        <w:t>парацетамол лікарський ідентифікація</w:t>
      </w:r>
    </w:p>
    <w:p w14:paraId="6A978AC3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Пара-амінофенол є продуктом окислення аніліна. Відомо, що анілін дуже токсична метгемоглобіноутворююча речовина. Разом з цим він володіє здатністю знижувати температуру тіла. В якості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жарознижуючого засобу багато років застосовувався антифебрин (ацетанілід). З’ясовано, що анілін, який утворився в результаті гідроліза ацетаніліда, окислюється в організмі до n-амінофенола. Таке окиснення можна розглядати як захисну реакцію, оскільки n-ам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інофенол менш токсичний і порівняно легко виводиться з організму. У результаті вивчення фармакологічної дії похідних n-амінофенолу було синтезовано малотоксичні лікарські засоби парацетамол і фенацетин. Створення нових лікарських засобів на основі дослідже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ння продуктів перетворення аніліну в організмі відоме під назвою «принцип фенацетину». [2]</w:t>
      </w:r>
    </w:p>
    <w:p w14:paraId="52B34E74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3D59C65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Властивості</w:t>
      </w:r>
    </w:p>
    <w:p w14:paraId="74DDA9E0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6CAF8B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Парацетамол (Paracetamolum) (ДФУ)</w:t>
      </w:r>
    </w:p>
    <w:p w14:paraId="63B5B9AF" w14:textId="6DAB69ED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7C2819EE" wp14:editId="37A91C32">
            <wp:extent cx="1562100" cy="1190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169FB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46BA23E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Опис</w:t>
      </w:r>
    </w:p>
    <w:p w14:paraId="703BF91D" w14:textId="77777777" w:rsidR="00000000" w:rsidRDefault="007C582A">
      <w:pPr>
        <w:widowControl w:val="0"/>
        <w:tabs>
          <w:tab w:val="left" w:pos="609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Кристалічний порошок білого кольору.</w:t>
      </w:r>
    </w:p>
    <w:p w14:paraId="47D0D082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Розчинність</w:t>
      </w:r>
    </w:p>
    <w:p w14:paraId="30DBF88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Субстанція помірно розчинна у воді P; легко розчинна у спирті Р; дуже легко розчинна в ефірі Р та метиленхлориді Р. [4]</w:t>
      </w:r>
    </w:p>
    <w:p w14:paraId="01DAED3A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6CB7FC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Добування</w:t>
      </w:r>
    </w:p>
    <w:p w14:paraId="07F271A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AFEFB8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Синтез парацетамолу здійснюють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шляхом ацетилуванням n-амінофенола. (схема 3.1)</w:t>
      </w:r>
    </w:p>
    <w:p w14:paraId="2303EDB7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8C35B92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3.1</w:t>
      </w:r>
    </w:p>
    <w:p w14:paraId="299CE4EE" w14:textId="44E9F2A5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2977BA32" wp14:editId="6B7D671F">
            <wp:extent cx="5048250" cy="990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амінофенол парацетамол [3]</w:t>
      </w:r>
    </w:p>
    <w:p w14:paraId="03073FBA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Амінофенол отримують електролітичним відновленням нітробензола або із n-нітрохлорбензола(схема3.2):</w:t>
      </w:r>
    </w:p>
    <w:p w14:paraId="48247E10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3B050E32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Схема 3.2</w:t>
      </w:r>
    </w:p>
    <w:p w14:paraId="4BFE7199" w14:textId="52F34896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712ED805" wp14:editId="4AAC66DF">
            <wp:extent cx="3267075" cy="857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нітрохлорбензол n-нітрофенолят Na n-амінофенолят Na n-амінофенол </w:t>
      </w:r>
    </w:p>
    <w:p w14:paraId="7B58E7D3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1CC2836A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 процесі синтеза n-амінофенола n-нітрохлорбензол частково гідрується і ацетилюється, утворюючи дуже токсичну речовину - n-хлорацетанілід (схема 3.3):</w:t>
      </w:r>
    </w:p>
    <w:p w14:paraId="6D38336D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019C619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3.3</w:t>
      </w:r>
    </w:p>
    <w:p w14:paraId="17D17D55" w14:textId="66BD9D95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2D221913" wp14:editId="635FA158">
            <wp:extent cx="4057650" cy="1266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нітрохлорбензол n-амінобензол n-хлорацетанілід</w:t>
      </w:r>
    </w:p>
    <w:p w14:paraId="5AC1EDF5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5CD2C62A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Також відомий спосіб синтеза парацетамола з фенола. Фенол нітрозують натрію нітритом у кислому середовищі. Утворений n-нітрозофенол відновлюють гідроген сульфідом в амоніачн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ому середовищі до n-амінофенолу, який ацетилують (схема 3.4):</w:t>
      </w:r>
    </w:p>
    <w:p w14:paraId="1D092442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02C0BA24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Схема 3.4 </w:t>
      </w:r>
    </w:p>
    <w:p w14:paraId="36B1B977" w14:textId="2D81F429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1028BF0E" wp14:editId="069C1944">
            <wp:extent cx="4267200" cy="95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4E186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[2]</w:t>
      </w:r>
    </w:p>
    <w:p w14:paraId="30ECB39D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03B35106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4. Методи ідентифікації парацетамолу</w:t>
      </w:r>
    </w:p>
    <w:p w14:paraId="1138157F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F9D5319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А. Субстанцію ідентифікують по фізичним константам:</w:t>
      </w:r>
    </w:p>
    <w:p w14:paraId="4189B522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Температуру кипіння визначають за допомогою устано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вки для виміру температури топлення: Ттопл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(парацетамолу)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= 168.0-172.0 °С</w:t>
      </w:r>
    </w:p>
    <w:p w14:paraId="5AF6A507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Б. 0.1 г субстанції розчиняють в метанолі Р і доводять об’єм розчину тим самим розчинником до 100.0 мл. До 1.0 мл одержаного розчину додають 0.5 мл розчину 10.3 г/л кислоти хлорист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оводневої Р і доводять метанолом Р до об’єму 100.0 мл. Одержаний розчин захищають від яскравого світла і відразу вимірюють оптичну густину у максимумі за довжини хвилі 249 нм. Питомий показник поглинання в максимумі повинен бути від 860 до 980.</w:t>
      </w:r>
    </w:p>
    <w:p w14:paraId="4325E8EA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В. Інфрачер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воний спектр поглинання субстанції, одержаний у дисках, має відповідати спектру ФСЗ парацетамолу.</w:t>
      </w:r>
    </w:p>
    <w:p w14:paraId="20653E03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Г. До 0.1 г випробуваної субстанції додають 1 мл кислоти хлористоводневої Р, нагрівають до кипіння протягом 3 хв, додають 1 мл води Р і охолоджують у льодяній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бані; не має утворюватися осад. До одержаного розчину додають 0.05 мл розчину 4.9 г/л калію дихромату Р; з’являється фіолетове забарвлення, що не переходить в червоне (схема 4.1):</w:t>
      </w:r>
    </w:p>
    <w:p w14:paraId="6708CD3B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57B64FF6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4.1</w:t>
      </w:r>
    </w:p>
    <w:p w14:paraId="0826700E" w14:textId="276F6AEE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63624B3" wp14:editId="3EF711B7">
            <wp:extent cx="4543425" cy="1885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7AD7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86654F5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Д. Субстанція дає позитивну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реакцію на ацетати.</w:t>
      </w:r>
    </w:p>
    <w:p w14:paraId="08D62674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До 0.1 г випробуваної субстанції додають 1 мл кислоти хлоридної Р, нагрівають до кипіння і кип’ятять протягом 3 хвилин, потім додають 10 мл води Р і охолоджують - не повинно утворюватись осаду. Після цього до 3 мл утвореного розчину по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слідовно додають 0.3 мл розчину лантан (ІІІ) нітрату Р, 0.1 мл 0.05 М розчину йоду і 0.1 мл розчину амоніаку розведеного Р2. Суміш обережно нагрівають до кипіння - протягом двохвилинного нагрівання утворюється синій осад або появляється синє забарвлення(сх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ема 4.2).</w:t>
      </w:r>
    </w:p>
    <w:p w14:paraId="1A8DF5E7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531F5684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4.2</w:t>
      </w:r>
    </w:p>
    <w:p w14:paraId="7446D73F" w14:textId="1A8C90D8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lastRenderedPageBreak/>
        <w:drawing>
          <wp:inline distT="0" distB="0" distL="0" distR="0" wp14:anchorId="662AABBC" wp14:editId="51007B71">
            <wp:extent cx="3781425" cy="1257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C8F29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8CCFABA" w14:textId="78331893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E0B3ACB" wp14:editId="7EBB72E1">
            <wp:extent cx="5410200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B7B72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057BC85E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Колір кінцевого продукту зумовлений адсорбцією молекулярного йоду на основному ацетаті лантану:</w:t>
      </w:r>
    </w:p>
    <w:p w14:paraId="78C26CAD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55D02155" w14:textId="3DDC2F83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5FDB3C03" wp14:editId="3BEE3E63">
            <wp:extent cx="4381500" cy="314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96B7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7F1C657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Е. Субстанція утворює забарвлені комплексні сполуки із катіонами Феруму (ІІІ) (ГФ ХІ) (схема 4.3):</w:t>
      </w:r>
    </w:p>
    <w:p w14:paraId="4152EBF8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533664E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Схема 4.3</w:t>
      </w:r>
    </w:p>
    <w:p w14:paraId="3FE896AD" w14:textId="00669F88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789A16C1" wp14:editId="1BBB6D8E">
            <wp:extent cx="3448050" cy="1143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4A9B" w14:textId="71653074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4A67D7E2" wp14:editId="38F385EA">
            <wp:extent cx="3924300" cy="27336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FFB65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13BC186D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До 0.1 г випробуваної субстанції до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дають 1 мл кислоти хлоридної Р, нагрівають до кипіння і кип’ятять протягом 3 хвилин, потім додають 10 мл води Р і охолоджують - не повинно утворюватись осаду. До 2-3 мл розчину додають 1 краплю 0.5% розчину ферум (ІІІ) хлориду - утворюється фіалкове забарв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лення, яке зникає (блідніє) з часом чи при додаванні 5 мл 2-пропанолу Р. [5]</w:t>
      </w:r>
    </w:p>
    <w:p w14:paraId="3201D30F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Є. Наявність у молекулі фенольного гідроксилу зумовлює реакцію парацетамолу із солями діафонію - утворюється азобарвник червоного кольору(схема 4.4):</w:t>
      </w:r>
    </w:p>
    <w:p w14:paraId="0B0AA88A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32F0718D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 xml:space="preserve">Схема 4.4 </w:t>
      </w:r>
    </w:p>
    <w:p w14:paraId="4D4109A2" w14:textId="520C3213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CD1D6FD" wp14:editId="3D7BD0F6">
            <wp:extent cx="4267200" cy="11144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7CC5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08E6123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Ж. Після кислотного гідролізу, під час якого утворюється первинна ароматична аміногрупа, лікарська речовина дає реакцію діазотування з наступним азосполученням (схема 4.5):</w:t>
      </w:r>
    </w:p>
    <w:p w14:paraId="5131782C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1DBFE82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4.5</w:t>
      </w:r>
    </w:p>
    <w:p w14:paraId="1FBFA8DB" w14:textId="41DF00F1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6931723D" wp14:editId="1DEA5581">
            <wp:extent cx="4057650" cy="21050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[2]</w:t>
      </w:r>
    </w:p>
    <w:p w14:paraId="16BD9521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020ED5FA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5.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Випробу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вання на чистоту</w:t>
      </w:r>
    </w:p>
    <w:p w14:paraId="0E339A23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CACDAA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Розчин S: 3.3 г випробуваної субстанції розчиняють в 80 мл киплячої води Р, охолоджують і доводять об’єм розчину тим самим розчинником до 100.0 мл</w:t>
      </w:r>
    </w:p>
    <w:p w14:paraId="3E4E04E7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Кольоровість розчину. Розчину S не повинен бути забарвлений (ДФУ, 2.2.2, метод ІІ).</w:t>
      </w:r>
    </w:p>
    <w:p w14:paraId="521ED4A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Прозор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ість. Розчин S повинен бути повністю прозорим (ДФУ, 2.2.1)</w:t>
      </w:r>
    </w:p>
    <w:p w14:paraId="03D1EAF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Кислотність або лужність середовища. Розчин S розбавляють рівним об’ємом води, вільної від вуглекислого газу, Р - для утвореного розчину pH~3.8…4.8 (за індикаторним папірцем) (ДФУ)</w:t>
      </w:r>
    </w:p>
    <w:p w14:paraId="27307BD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Сульфати (ГФ ХІ)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: не більше 0.045або 450 ppm.</w:t>
      </w:r>
    </w:p>
    <w:p w14:paraId="0A0CE7F1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мл Розчину S доводять водою Р до об’єму 15 мл. Отриманий розчин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повинен витримувати випробування на сульфати:</w:t>
      </w:r>
    </w:p>
    <w:p w14:paraId="2C2AB86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perscript"/>
          <w:lang w:val="ru-RU"/>
        </w:rPr>
        <w:t xml:space="preserve">2+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+ SO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4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perscript"/>
          <w:lang w:val="ru-RU"/>
        </w:rPr>
        <w:t xml:space="preserve">2-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= BaSO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4</w:t>
      </w:r>
    </w:p>
    <w:p w14:paraId="7DF2306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F387E9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До приготованого розчину додають 1 мл розчину 250 г/мл барій хлориду Р та 0.5 мл кислоти оцтово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ї Р. Стушують і через 5 хв не повинно спостерігатись опалесценції (чи білого осаду) випробуваного розчину.</w:t>
      </w:r>
    </w:p>
    <w:p w14:paraId="455E561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Важкі метали (ДФУ):не більше 20 ppm.</w:t>
      </w:r>
    </w:p>
    <w:p w14:paraId="4F191F92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.0 г випробуваної субстанції розчиняють в суміші 15 об’ємів води Р та 85 об’ємів ацетону Р; об’єм отриманого роз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чину доводять до 20 мл тією ж самою сумішшю розчинників - 12 мл отриманого розчину повинні витримувати випробування на важкі метали (схема 5.1).</w:t>
      </w:r>
    </w:p>
    <w:p w14:paraId="11DD09D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7D05DB7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5.1</w:t>
      </w:r>
    </w:p>
    <w:p w14:paraId="3FA82E0A" w14:textId="4E426787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28F86F32" wp14:editId="64CE027D">
            <wp:extent cx="4000500" cy="647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B1970" w14:textId="3E0E1FE1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5DCE8D41" wp14:editId="5F543F52">
            <wp:extent cx="2505075" cy="3333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BB56F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13C0B57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До 12 мл розчину, зазначено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го в окремій статті, додають 2 мл ацетатного буферного розчину pH 3.5 Р і перемішують. Одержану суміш додають до 1.2 мл реактиву тіоацетаміду Р і негайно перемішують. Через 2 хвилини коричневе забарвлення випробуваного розчину має бути інтенсивніше за заба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рвлення еталону (1 ррm Pb).</w:t>
      </w:r>
    </w:p>
    <w:p w14:paraId="178BBBEF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Втрата маси при висушуванні. Не більше 0.5%. 1.000 г субстанції сушать при температурі від 100 °С до 105 °С. [5]</w:t>
      </w:r>
    </w:p>
    <w:p w14:paraId="66B5838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6.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Методи кількісного визначення</w:t>
      </w:r>
    </w:p>
    <w:p w14:paraId="5C84E69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18EAF9A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1)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Цериметрія, пряме титрування, s=1/2 (ДФУ)(схема 6.1):</w:t>
      </w:r>
    </w:p>
    <w:p w14:paraId="09F3A01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251FAB5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6.1</w:t>
      </w:r>
    </w:p>
    <w:p w14:paraId="7E0BD5D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718262D" w14:textId="72B0DD57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580DEA60" wp14:editId="5A4DB8A1">
            <wp:extent cx="3752850" cy="10001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D4A50" w14:textId="4F620CDB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28E55711" wp14:editId="6290282C">
            <wp:extent cx="4019550" cy="10668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C138" w14:textId="330D4147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149FA20" wp14:editId="575355BE">
            <wp:extent cx="3648075" cy="14573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593C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73212F1B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Наважку випробуваної субстанції близько 0.3 г (точна наважка!) розчиняють в кругло донній колбі в суміші 10 мл води Р і 30 мл кислоти сульфатної розведеної Р. Отриманий розчин кип’ятя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ть зі зворотнім холодильником протягом однієї години, потім охолоджують, переносять в мірну колбу і доводять водою Р до 100 мл. До 20.0 мл отриманого розчину (точна аліквота) добавляють 40 мл води Р, 40 г льоду, 15 мл кислоти хлоридної розведеної Р і 0.1 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л фероїну Р.Титрують 0.1 М розчином церій (ІV) сульфату до появи зеленкувато-жовтого забарвлення.</w:t>
      </w:r>
    </w:p>
    <w:p w14:paraId="5B19169E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Паралельно проводять контрольний дослід.</w:t>
      </w:r>
    </w:p>
    <w:p w14:paraId="6C859652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Згідно вимог ДФУ лікарська субстанція має містити не менше 99.0% і не більше 101.0% парацетамолу.</w:t>
      </w:r>
    </w:p>
    <w:p w14:paraId="5BE4A95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2)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Нітритометрія пі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сля гідролізу лікарської речовини, пряме титрування, індикатор - йодкрохмальний папір, s=1 (схема 6.2):</w:t>
      </w:r>
    </w:p>
    <w:p w14:paraId="6E4181F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224ABC3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6.2</w:t>
      </w:r>
    </w:p>
    <w:p w14:paraId="33DE4490" w14:textId="1EE42FD4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E0D5407" wp14:editId="22EAA5B7">
            <wp:extent cx="3819525" cy="13811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9114A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1E1940F1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Точку еквівалентності визначають за посинінням йодкрохмального паперу від надлишкової краплі титранту:</w:t>
      </w:r>
    </w:p>
    <w:p w14:paraId="49DD172C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41CEC09C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KIO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+ 5NaNO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+ 2HCl I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+ 5NaNO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+ 2KCl + H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O</w:t>
      </w:r>
    </w:p>
    <w:p w14:paraId="33C00168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6802B95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3)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  <w:t>Алкаліметрія, пряме титрування після кислотного гідролізу, індикатор - фенолфталеїн, s=1. Паралельно проводять контрольний дослід (схема 6.3):</w:t>
      </w:r>
    </w:p>
    <w:p w14:paraId="4B8E02A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2094AD1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Схема 6.3</w:t>
      </w:r>
    </w:p>
    <w:p w14:paraId="5987EE98" w14:textId="07A26B49" w:rsidR="00000000" w:rsidRDefault="009A27A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305D3F13" wp14:editId="066FBC96">
            <wp:extent cx="3314700" cy="9810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3</w:t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COOH + NaOH CH</w:t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3</w:t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COONa + H</w:t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2</w:t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O+ NaOH NaCl + H</w:t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vertAlign w:val="subscript"/>
          <w:lang w:val="ru-RU"/>
        </w:rPr>
        <w:t>2</w:t>
      </w:r>
      <w:r w:rsidR="007C582A"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O</w:t>
      </w:r>
    </w:p>
    <w:p w14:paraId="4ED91FAD" w14:textId="77777777" w:rsidR="00000000" w:rsidRDefault="007C58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[2]</w:t>
      </w:r>
    </w:p>
    <w:p w14:paraId="7AA0FD3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7.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Застосування і зберігання препарату</w:t>
      </w:r>
    </w:p>
    <w:p w14:paraId="0D204C15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B136E36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Фармакотерапевтична група: Аналгетики та антипіретики.</w:t>
      </w:r>
    </w:p>
    <w:p w14:paraId="2377EA61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Парацетамол випускається під різними торгівельними назвами та входить до скл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аду багатьох комбінованих препаратів: Акамол-Тева, Демінофен, Іфімол, Лекадол, Мексален, Памол, Панадол Баралгетас, Доломол, Калпол, Парацет, Пацимол, Проходол, Цефекол, Тринелл, Грипекс, Долекс, Терафлю, Комбігрип, Німесин. </w:t>
      </w:r>
    </w:p>
    <w:p w14:paraId="4A676022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Парацетамол має протизапальну,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аналгезуючу, жарознижувальну дії. Механізм дії пов’язаний з пригніченням синтезу простагландинів та переважним впливом на центр терморегуляції в гіпоталамусі.</w:t>
      </w:r>
    </w:p>
    <w:p w14:paraId="7ADFCA7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Швидко і практично повністю всмоктується в травному тракті. Максимальна концентрація в плазмі в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изначається через 30 - 60 хв. після прийому внутрішньо. До 80% прийнятої дози метаболізується в печінці, тільки 3% виділяється з сечею в незмінному стані.</w:t>
      </w:r>
    </w:p>
    <w:p w14:paraId="766760CA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Період напіввиведення - 2 - 4 год у здорових і 8 - 12 год у пацієнтів із захворюванням печінки.</w:t>
      </w:r>
    </w:p>
    <w:p w14:paraId="76F927A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Показ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ання для застосування. Запальні процеси, зубний, головний біль, невралгії, міозити, артралгії та інші больові стани різної етіології, пропасниця, грип, застудні захворювання.</w:t>
      </w:r>
    </w:p>
    <w:p w14:paraId="4F74399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Спосіб застосування та дози. Призначають внутрішньо з великою кількістю рідини, ч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ерез 1 - 2 год після прийому їди (прийом відразу після їди призводить до затримки розвитку дії). Разова доза для дорослих та дітей старше 12 років - по 1 - 2 таблетки. Кратність призначення - до 4 разів на добу. Максимальна добова доза - 4 г. Тривалість ку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рсу лікування - 5 - 7 днів.</w:t>
      </w:r>
    </w:p>
    <w:p w14:paraId="38D34288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Разові дози для дітей: від 3 до 6 років - по 0,5 - 1 таблетці, від 6 до 12 років - по 1 - 2 таблетки. Кратність призначення - 4 рази на добу, інтервал між прийомами - не менше 4 год. Максимальна тривалість лікування - 3 дні. </w:t>
      </w:r>
    </w:p>
    <w:p w14:paraId="1BAC36F9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Ді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тям до 3 років призначають препарат в іншій лікарській формі.</w:t>
      </w:r>
    </w:p>
    <w:p w14:paraId="38C5A096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Побічна дія. Алергічні реакції (шкірне висипання, свербіж, кропив’янка, набряк Квінке), нудота, епігастральний біль; анемія, тромбоцитопенія. </w:t>
      </w:r>
    </w:p>
    <w:p w14:paraId="10AE61D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При тривалому застосуванні у великих дозах - гепато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токсична дія, гемолітична анемія, метгемоглобінемія; нефротоксичність (папілярний некроз).</w:t>
      </w:r>
    </w:p>
    <w:p w14:paraId="0CEBB27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Протипоказання. Гіперчутливість, порушення функцій нирок, печінки, цукровий діабет, хвороби крові. Не слід застосовувати особам похилого віку, дітям до 3 років, жінк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ам у періоди вагітності і лактації.</w:t>
      </w:r>
    </w:p>
    <w:p w14:paraId="492B799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Передозування. Симптоми: у перші 24 год - блідість шкірних покривів, анорексія, нудота, блювання; через 12 - 48 год - енцефалопатія, серцеві аритмії, панкреатит, кома. Ураження печінки можливі при прийомі 10 г і більше (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у дорослих).</w:t>
      </w:r>
    </w:p>
    <w:p w14:paraId="23E5872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Ризик передозування збільшується у хворих на алкогольні захворювання печінки нециротичного характеру.</w:t>
      </w:r>
    </w:p>
    <w:p w14:paraId="377FAEF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Лікування. Призначення метіоніну внутрішньо вбо внутрішньовенне введення N-ацетилцистеїну.</w:t>
      </w:r>
    </w:p>
    <w:p w14:paraId="386785CE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Особливості застосування. З обережністю призначают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ь парацетамол пацієнтам з доброякісною гіпербілірубінемією.</w:t>
      </w:r>
    </w:p>
    <w:p w14:paraId="76850E6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При тривалому застосуванні парацетамолу необхідно контролювати картину периферичної крові і функціональний стан печінки.</w:t>
      </w:r>
    </w:p>
    <w:p w14:paraId="69861B5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Взаємодія з іншими лікарськими засобами. Стимулятори мікросомального окисле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ння у печінці (фенітоїн, барбітурати, етанол, зіксорин, рифампіцин, фенілбутазон, трициклічні антидепресанти, алкоголь) збільшують продукцію гідроксильованих активних метаболітів парацетамолу, що обумовлює можливість розвитку тяжких інтоксикацій при невели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кому передозуванні. Етанол сприяє розвитку гострого панкреатиту при прийомі парацетамолу. Інгібітори мікросомального оксилення (циметидин) знижують ризик гепатотоксичної дії парацетамолу. Парацетамол знижує ефект урикозуричних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препаратів.</w:t>
      </w:r>
    </w:p>
    <w:p w14:paraId="58D4EDE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Умови та терміни 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зберігання. Зберігати в недоступному для дітей, сухому, захищеному від дії світла місці, при температурі від + 15°С до + 25°С.]</w:t>
      </w:r>
    </w:p>
    <w:p w14:paraId="7BB7309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Термін придатності - 3 роки</w:t>
      </w:r>
    </w:p>
    <w:p w14:paraId="3DD13A13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[6]</w:t>
      </w:r>
    </w:p>
    <w:p w14:paraId="1EADBD8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Висновок</w:t>
      </w:r>
    </w:p>
    <w:p w14:paraId="0A4D8B1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5BDE968C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Парацетамол - лікарська речовина, анальгетик і антипіретик із групи анілідів, виявляє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знеболюючу і жарознижуючу дію. Є широко поширеним ненаркотичним анальгетиком, володіє досить слабкими протизапальними властивостями (тому не має зв’язаних з ними побічних дій, характерних для НПЗЗ). </w:t>
      </w:r>
    </w:p>
    <w:p w14:paraId="05426FD9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Цей лікарський засіб один із найбільш поширених і найбі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льш популярних у всьому світі. Головний цьому доказ - його можна купити без рецепта лікаря. Це з однієї сторони свідчить про те, що цей лікарський засіб ефективний, а з іншої - безпечний.</w:t>
      </w:r>
    </w:p>
    <w:p w14:paraId="60C99C6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Тисячі фармацевтичних фірм в десятках країн світу виробляють парацет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амол під сотнями різноманітних назв і в самих різних формах. </w:t>
      </w:r>
    </w:p>
    <w:p w14:paraId="318189E3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Однак багаторічний досвід використання парацетамолу не є доказом його абсолютної безпечності. В останні роки появилися дані про гепототоксичну дію парацетамолу при його невеликому передозуванні,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 при назначені парацетамола у високих терапевтичних дозах і одночасному прийомі алкоголя чи індукторів мікросомальної ферментної системи печінки Р-450 (антигістамінні препарати, глюкокортикоїди, фенобарбітал, етакринова кислота).</w:t>
      </w:r>
    </w:p>
    <w:p w14:paraId="51938FF9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Одномоментний прийом парац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етамола в дозі більше 10 г у дорослих або більше 140мг/кг у дітей призводить до отруєння, яке супроводжується важким ураженням печінки.</w:t>
      </w:r>
    </w:p>
    <w:p w14:paraId="25071A60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Причина - виснаження запасів глутатіона і накопичення побічних продуктів метаболізма парацетамола, які володіють гепатот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оксичною дією.</w:t>
      </w:r>
    </w:p>
    <w:p w14:paraId="1C8BA35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Отже, парацетамол, як і будь-який лікарський засіб слід використовувати з обережністю, і коли на це є причина. Бездумне його використання призводить до численних побічних ефектів, небажаних наслідків, і в окремих випадках до летального кінця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</w:t>
      </w:r>
    </w:p>
    <w:p w14:paraId="340587D0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lastRenderedPageBreak/>
        <w:t>Список використаної літератури</w:t>
      </w:r>
    </w:p>
    <w:p w14:paraId="5337F62D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p w14:paraId="24EBFE5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[1]. О.Я. Бабак, О.М. Біловол, І.С. Чекман. Клінічна фармакологія. - Друге видання, перероблене та доповнене - Київ: Медицина, 2010. - 776 с.</w:t>
      </w:r>
    </w:p>
    <w:p w14:paraId="0C89B304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[2]. П. О. Безуглий. Фармацевтична хімія. - Вінниця: НОВА КНИГА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 xml:space="preserve">, 2008. - 560 с. </w:t>
      </w:r>
    </w:p>
    <w:p w14:paraId="19A55EA5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[3]. Глущенко Н. Н., Плетенева Т. В., Попков В. А. Фармацевтическая химия - М.: Издательский центр «Академия», 2010. - 384с.</w:t>
      </w:r>
    </w:p>
    <w:p w14:paraId="782CB0A3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[4]. Державна Фармакопея України. - Перше видання.Доповнення 1. - Харків: РІРЕГ, 2004, 494 с.</w:t>
      </w:r>
    </w:p>
    <w:p w14:paraId="65814F1B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[5]. М.В. Сливка, М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. Ю Онисько., М. В Сливка., А. О Кривов’яз., Р. М.,Усенко Р. С Шкумбатюк., В. Г Лендєл. Навчально-методичний посібник з фармацевтичної хімії - Ужгород:Патент, 2011. 336 с.</w:t>
      </w:r>
    </w:p>
    <w:p w14:paraId="2CC49C3F" w14:textId="77777777" w:rsidR="00000000" w:rsidRDefault="007C5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[6]. Державний Фармакологічний Центр МОЗ України - Довідник лікарських засобів Украї</w:t>
      </w:r>
      <w:r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  <w:t>ни 2009.</w:t>
      </w:r>
    </w:p>
    <w:p w14:paraId="0DAAE3C6" w14:textId="77777777" w:rsidR="007C582A" w:rsidRDefault="007C582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000000"/>
          <w:sz w:val="28"/>
          <w:szCs w:val="28"/>
          <w:lang w:val="ru-RU"/>
        </w:rPr>
      </w:pPr>
    </w:p>
    <w:sectPr w:rsidR="007C582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A5"/>
    <w:rsid w:val="007C582A"/>
    <w:rsid w:val="009A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3952B"/>
  <w14:defaultImageDpi w14:val="0"/>
  <w15:docId w15:val="{CD9DB9E3-3EB8-4786-BF79-66E46206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2276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2025-01-13T14:41:00Z</dcterms:created>
  <dcterms:modified xsi:type="dcterms:W3CDTF">2025-01-13T14:41:00Z</dcterms:modified>
</cp:coreProperties>
</file>