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F07" w:rsidRPr="007B7FED" w:rsidRDefault="009D2F07" w:rsidP="007B7FE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7B7FED">
        <w:rPr>
          <w:rFonts w:ascii="Times New Roman" w:hAnsi="Times New Roman"/>
          <w:color w:val="000000" w:themeColor="text1"/>
          <w:sz w:val="28"/>
          <w:szCs w:val="20"/>
        </w:rPr>
        <w:t>Государственное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образовательное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учреждение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высшего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профессионального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образования</w:t>
      </w:r>
    </w:p>
    <w:p w:rsidR="009D2F07" w:rsidRPr="007B7FED" w:rsidRDefault="009D2F07" w:rsidP="007B7FE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7B7FED">
        <w:rPr>
          <w:rFonts w:ascii="Times New Roman" w:hAnsi="Times New Roman"/>
          <w:color w:val="000000" w:themeColor="text1"/>
          <w:sz w:val="28"/>
          <w:szCs w:val="20"/>
        </w:rPr>
        <w:t>Российский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Государственный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Медицинский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Университет</w:t>
      </w:r>
    </w:p>
    <w:p w:rsidR="009D2F07" w:rsidRPr="007B7FED" w:rsidRDefault="009D2F07" w:rsidP="007B7FE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7B7FED">
        <w:rPr>
          <w:rFonts w:ascii="Times New Roman" w:hAnsi="Times New Roman"/>
          <w:color w:val="000000" w:themeColor="text1"/>
          <w:sz w:val="28"/>
          <w:szCs w:val="20"/>
        </w:rPr>
        <w:t>Им.Н.И.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Пирогова</w:t>
      </w:r>
    </w:p>
    <w:p w:rsidR="009D2F07" w:rsidRPr="007B7FED" w:rsidRDefault="009D2F07" w:rsidP="007B7FE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7B7FED">
        <w:rPr>
          <w:rFonts w:ascii="Times New Roman" w:hAnsi="Times New Roman"/>
          <w:color w:val="000000" w:themeColor="text1"/>
          <w:sz w:val="28"/>
          <w:szCs w:val="20"/>
        </w:rPr>
        <w:t>Министерства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Здравоохранения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Социального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Развития</w:t>
      </w:r>
      <w:r w:rsidR="007B7FED" w:rsidRPr="007B7FED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0"/>
        </w:rPr>
        <w:t>РФ</w:t>
      </w:r>
    </w:p>
    <w:p w:rsidR="009D2F07" w:rsidRPr="007B7FED" w:rsidRDefault="009D2F07" w:rsidP="007B7FE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830B4C" w:rsidRPr="007B7FED" w:rsidRDefault="00830B4C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История</w:t>
      </w:r>
      <w:r w:rsidR="007B7FED" w:rsidRPr="007B7F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7F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болезни</w:t>
      </w:r>
    </w:p>
    <w:p w:rsidR="005428CF" w:rsidRPr="00830B4C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Клинический</w:t>
      </w:r>
      <w:r w:rsidR="007B7FED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диагноз:</w:t>
      </w:r>
      <w:r w:rsidR="00830B4C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406857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Ж</w:t>
      </w:r>
      <w:r w:rsidR="00830B4C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елчекаменная болезнь, о</w:t>
      </w:r>
      <w:r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стрый</w:t>
      </w:r>
      <w:r w:rsidR="007B7FED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холецистит</w:t>
      </w:r>
      <w:r w:rsidR="00830B4C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и </w:t>
      </w:r>
      <w:r w:rsidR="00FD12D1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железодефицитная</w:t>
      </w:r>
      <w:r w:rsidR="007B7FED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FD12D1" w:rsidRP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анемия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P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Москва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2010</w:t>
      </w:r>
    </w:p>
    <w:p w:rsidR="007B7FED" w:rsidRDefault="007B7FED">
      <w:pPr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br w:type="page"/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lastRenderedPageBreak/>
        <w:t>П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аспортная </w:t>
      </w:r>
      <w:r w:rsid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часть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830B4C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Ф.И.О.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30B4C">
        <w:rPr>
          <w:rFonts w:ascii="Times New Roman" w:hAnsi="Times New Roman"/>
          <w:color w:val="000000" w:themeColor="text1"/>
          <w:sz w:val="28"/>
          <w:szCs w:val="24"/>
          <w:lang w:eastAsia="ru-RU"/>
        </w:rPr>
        <w:t>:__________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рождения: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01.11.1974,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35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лет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пенсии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1989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года.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Домашний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адрес: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Москва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Место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работы: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работает.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поступления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клинику: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20.10.2010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курации: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21.10.2010</w:t>
      </w:r>
    </w:p>
    <w:p w:rsidR="00954BE0" w:rsidRPr="00954BE0" w:rsidRDefault="00954BE0" w:rsidP="00954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FFFFFF" w:themeColor="background1"/>
          <w:sz w:val="28"/>
          <w:szCs w:val="24"/>
        </w:rPr>
      </w:pPr>
      <w:r w:rsidRPr="00954BE0">
        <w:rPr>
          <w:rFonts w:ascii="Times New Roman" w:hAnsi="Times New Roman"/>
          <w:b/>
          <w:color w:val="FFFFFF" w:themeColor="background1"/>
          <w:sz w:val="28"/>
          <w:szCs w:val="24"/>
        </w:rPr>
        <w:t>пациент диагноз желчекаменный холецистит</w:t>
      </w:r>
    </w:p>
    <w:p w:rsidR="005428CF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Ж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алобы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момент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осмотра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предъявляет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жалобы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слабость,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повышенную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утомляемость,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тошноту.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A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namnesis morbi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Считает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себя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20:00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19.10.2010.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отметила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чувство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тяжести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затем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сильную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Начало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приступа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связывает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нарушением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диеты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(прием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жирной,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жареной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пищи).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Купировать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пыталась.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Через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часа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после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начала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приступа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вызвала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бригаду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скорой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помощи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была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доставлена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ГКБ№55.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A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namnesis vitae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Родилась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Москве.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Единственный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ребенок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семье.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Росла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развивалась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нормально.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перенесенных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заболеваний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отмечает: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простудные,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ветряная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оспа.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05796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05796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анамнезе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05796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железо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дефицитная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анемия.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Вирусный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гепатит,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венерические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заболевания,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туберкулез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отрицает.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эпидопасные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районы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выезжала.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Контакты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инфекционными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больными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отрицает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Инъекций,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гемотрансфузий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последние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6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месяцев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было.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lastRenderedPageBreak/>
        <w:t>Эмоционально-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нервно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психический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анамнез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отягощен.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Гинекологический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анамнез: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менструации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безболезненные,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умеренные.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Беременностей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аборты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3,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роды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Вредные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привычки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отрицает.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Аллергологический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анамнез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отягощён.</w:t>
      </w:r>
    </w:p>
    <w:p w:rsidR="00180F8C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Профессиональных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вредностей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было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Наследственность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отягощён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Осмотр</w:t>
      </w:r>
      <w:r w:rsidR="00830B4C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. </w:t>
      </w:r>
      <w:r w:rsidR="005428CF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Общее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состояние:</w:t>
      </w:r>
    </w:p>
    <w:p w:rsidR="00830B4C" w:rsidRPr="007B7FED" w:rsidRDefault="00830B4C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Состояние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удовлетворительное,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сознание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ясное,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ориентирование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времени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месте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нарушено.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Внимание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концентрирует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хорошо.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Поведение,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настроение,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критика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заболеванию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адекватны.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оложение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постели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активное,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выражение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лица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осмысленное.</w:t>
      </w:r>
      <w:r w:rsidR="00830B4C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Температура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тела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36,5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С.</w:t>
      </w:r>
    </w:p>
    <w:p w:rsidR="005428CF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Кожные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покровы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бледно-розовой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окраски,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сухие,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чистые.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Влажность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сохранена.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Ногти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5F50A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волосы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изменений.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Видимые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слизистые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склеры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чистые,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окраски,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высыпаний,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влажность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сохранена.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Отеки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ногах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отсутствуют.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постоянном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горизонтальном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положении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практически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образуются.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Периферические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лимфатические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узлы: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увеличены.</w:t>
      </w:r>
    </w:p>
    <w:p w:rsidR="005428CF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Мышечная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система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развита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достаточно,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равномерно,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симметрично.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Тонус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мышц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сохранен,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незначительно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снижена.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мышцы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безболезненны,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уплотнений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обнаружено.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Форма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головы,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грудной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клетки,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позвоночника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5F50A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конечностей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нормальная.</w:t>
      </w:r>
    </w:p>
    <w:p w:rsidR="00830B4C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перкуссии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безболезненны.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Форма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изменена.</w:t>
      </w:r>
      <w:r w:rsidR="00830B4C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Суставы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конфигурации,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кожа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ними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Активные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пассивные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движения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суставах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полном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объеме,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безболезненные,</w:t>
      </w:r>
      <w:r w:rsidR="005F50A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хруста.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Кожа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суставами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изменена.</w:t>
      </w:r>
    </w:p>
    <w:p w:rsidR="00830B4C" w:rsidRDefault="00830B4C">
      <w:pPr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br w:type="page"/>
      </w:r>
    </w:p>
    <w:p w:rsidR="0051552D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Органы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дыхания: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Дыхание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через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затруднено;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голос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нормальный.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Тип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дыхания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смешанный.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Дыхание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ровное,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глубокое,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ЧД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16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минуту.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Форма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симметрична,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половины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равномерно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участвуют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акте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дыхания.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Осанка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(искривлений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позвоночника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нет),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над-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подключичные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ямки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выражены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умеренно,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одинаковы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обеих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сторон,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ширина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межреберных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промежутков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положение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лопаток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нормальное.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Болезненности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Голосовое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дрожание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проводится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одинаково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симметричных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участках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изменено.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сдавлении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упругая,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податливая.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Трение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плевры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ощупь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определяется.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Данные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сравнительной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перкуссии: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всем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протяжении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слышен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ясный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легочный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перкуторный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звук.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Данные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топографической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перкуссии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Высота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стояния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верхушки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правого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легкого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спереди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3,5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выше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ключицы,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сзади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остистый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отросток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VII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шейного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позвонка,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левого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спереди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3,5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выше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ключицы,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сзади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остистый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отросток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VII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шейного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позвонка.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Ширина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Кренига: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справа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слева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5см.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51552D" w:rsidRPr="007B7FED" w:rsidRDefault="007B7FE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Таблица.1.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Нижние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границы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легких</w:t>
      </w:r>
    </w:p>
    <w:tbl>
      <w:tblPr>
        <w:tblW w:w="7938" w:type="dxa"/>
        <w:tblInd w:w="5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 w:firstRow="1" w:lastRow="0" w:firstColumn="1" w:lastColumn="0" w:noHBand="0" w:noVBand="0"/>
      </w:tblPr>
      <w:tblGrid>
        <w:gridCol w:w="2693"/>
        <w:gridCol w:w="2410"/>
        <w:gridCol w:w="2835"/>
      </w:tblGrid>
      <w:tr w:rsidR="0051552D" w:rsidRPr="007B7FED" w:rsidTr="007B7FED">
        <w:tc>
          <w:tcPr>
            <w:tcW w:w="2693" w:type="dxa"/>
            <w:shd w:val="pct60" w:color="000000" w:fill="FFFFFF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Опознавательные</w:t>
            </w:r>
            <w:r w:rsidR="007B7FED"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линии</w:t>
            </w:r>
          </w:p>
        </w:tc>
        <w:tc>
          <w:tcPr>
            <w:tcW w:w="2410" w:type="dxa"/>
            <w:shd w:val="pct60" w:color="000000" w:fill="FFFFFF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Справа</w:t>
            </w:r>
          </w:p>
        </w:tc>
        <w:tc>
          <w:tcPr>
            <w:tcW w:w="2835" w:type="dxa"/>
            <w:shd w:val="pct60" w:color="000000" w:fill="FFFFFF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Слева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L.parasternalis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межреберье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L.mediaclavicularis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L.axillaris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anterior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L.axillaris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L.axillaris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posterior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IX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IX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L.scapularis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ребро</w:t>
            </w:r>
          </w:p>
        </w:tc>
      </w:tr>
      <w:tr w:rsidR="0051552D" w:rsidRPr="007B7FED" w:rsidTr="007B7FED">
        <w:tc>
          <w:tcPr>
            <w:tcW w:w="2693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L.paravertebralis</w:t>
            </w:r>
          </w:p>
        </w:tc>
        <w:tc>
          <w:tcPr>
            <w:tcW w:w="2410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Остистый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отросток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грудного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позвонка</w:t>
            </w:r>
          </w:p>
        </w:tc>
        <w:tc>
          <w:tcPr>
            <w:tcW w:w="2835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Остистый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отросток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XI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грудного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позвонка</w:t>
            </w:r>
          </w:p>
        </w:tc>
      </w:tr>
    </w:tbl>
    <w:p w:rsidR="00830B4C" w:rsidRDefault="00830B4C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830B4C" w:rsidRDefault="00830B4C">
      <w:pPr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br w:type="page"/>
      </w:r>
    </w:p>
    <w:p w:rsidR="0051552D" w:rsidRPr="007B7FED" w:rsidRDefault="007B7FE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Таблица.2.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Подвижность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нижнего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края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легких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вдохе,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обеих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1552D" w:rsidRPr="007B7FED">
        <w:rPr>
          <w:rFonts w:ascii="Times New Roman" w:hAnsi="Times New Roman"/>
          <w:color w:val="000000" w:themeColor="text1"/>
          <w:sz w:val="28"/>
          <w:szCs w:val="24"/>
        </w:rPr>
        <w:t>сторон:</w:t>
      </w:r>
    </w:p>
    <w:tbl>
      <w:tblPr>
        <w:tblW w:w="0" w:type="auto"/>
        <w:tblInd w:w="81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 w:firstRow="1" w:lastRow="0" w:firstColumn="1" w:lastColumn="0" w:noHBand="0" w:noVBand="0"/>
      </w:tblPr>
      <w:tblGrid>
        <w:gridCol w:w="2268"/>
        <w:gridCol w:w="1418"/>
        <w:gridCol w:w="1559"/>
      </w:tblGrid>
      <w:tr w:rsidR="0051552D" w:rsidRPr="007B7FED" w:rsidTr="007B7FED">
        <w:tc>
          <w:tcPr>
            <w:tcW w:w="2268" w:type="dxa"/>
            <w:shd w:val="pct60" w:color="000000" w:fill="FFFFFF"/>
          </w:tcPr>
          <w:p w:rsidR="0051552D" w:rsidRPr="007B7FED" w:rsidRDefault="0051552D" w:rsidP="007B7FED">
            <w:pPr>
              <w:pStyle w:val="2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B7FED">
              <w:rPr>
                <w:color w:val="000000" w:themeColor="text1"/>
                <w:sz w:val="20"/>
                <w:szCs w:val="20"/>
              </w:rPr>
              <w:t>Опознавательные</w:t>
            </w:r>
            <w:r w:rsidR="007B7FED" w:rsidRPr="007B7F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color w:val="000000" w:themeColor="text1"/>
                <w:sz w:val="20"/>
                <w:szCs w:val="20"/>
              </w:rPr>
              <w:t>линии</w:t>
            </w:r>
          </w:p>
        </w:tc>
        <w:tc>
          <w:tcPr>
            <w:tcW w:w="1418" w:type="dxa"/>
            <w:shd w:val="pct60" w:color="000000" w:fill="FFFFFF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Справа</w:t>
            </w:r>
          </w:p>
        </w:tc>
        <w:tc>
          <w:tcPr>
            <w:tcW w:w="1559" w:type="dxa"/>
            <w:shd w:val="pct60" w:color="000000" w:fill="FFFFFF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Слева</w:t>
            </w:r>
          </w:p>
        </w:tc>
      </w:tr>
      <w:tr w:rsidR="0051552D" w:rsidRPr="007B7FED" w:rsidTr="007B7FED">
        <w:tc>
          <w:tcPr>
            <w:tcW w:w="2268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L.mediaclavicularis</w:t>
            </w:r>
          </w:p>
        </w:tc>
        <w:tc>
          <w:tcPr>
            <w:tcW w:w="1418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</w:p>
        </w:tc>
        <w:tc>
          <w:tcPr>
            <w:tcW w:w="1559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1552D" w:rsidRPr="007B7FED" w:rsidTr="007B7FED">
        <w:tc>
          <w:tcPr>
            <w:tcW w:w="2268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L.axillaris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1418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</w:p>
        </w:tc>
        <w:tc>
          <w:tcPr>
            <w:tcW w:w="1559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</w:p>
        </w:tc>
      </w:tr>
      <w:tr w:rsidR="0051552D" w:rsidRPr="007B7FED" w:rsidTr="007B7FED">
        <w:tc>
          <w:tcPr>
            <w:tcW w:w="2268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L.scapularis</w:t>
            </w:r>
          </w:p>
        </w:tc>
        <w:tc>
          <w:tcPr>
            <w:tcW w:w="1418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</w:p>
        </w:tc>
        <w:tc>
          <w:tcPr>
            <w:tcW w:w="1559" w:type="dxa"/>
          </w:tcPr>
          <w:p w:rsidR="0051552D" w:rsidRPr="007B7FED" w:rsidRDefault="0051552D" w:rsidP="007B7FED">
            <w:pPr>
              <w:tabs>
                <w:tab w:val="left" w:pos="2977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</w:t>
            </w:r>
          </w:p>
        </w:tc>
      </w:tr>
    </w:tbl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Данные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аускультации: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всей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поверхностью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легких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определяется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везикулярное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дыхание,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побочных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дыхательных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шумов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Бронхофония: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симметричных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участках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легочной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тканью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звук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проводиться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слабо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одинаковой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силой.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</w:rPr>
        <w:t>Органы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</w:rPr>
        <w:t>кровообращения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клетка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деформирована.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Верхушечный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толчок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визуально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определяется.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пальпации: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сердечный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толчок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определяется,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верхушечный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толчок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расположен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V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межреберье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слева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кнутри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l.mediaclavicularis,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положительный,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силы.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Шумы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определяются.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Данные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перкуссии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границы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относительной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тупости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сердца: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правая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граница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val="en-US"/>
        </w:rPr>
        <w:t>IV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межреберье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кнаружи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правого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края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грудины,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левая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граница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val="en-US"/>
        </w:rPr>
        <w:t>V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межреберье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кнутри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l.mediaclavicularis,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верхняя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граница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уровне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третьего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ребра.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Границы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абсолютной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тупости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сердца: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правая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левый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край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грудины,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левая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2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кнутри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l.mediaclavicularis,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верхняя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val="en-US"/>
        </w:rPr>
        <w:t>IV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ребро.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Поперечник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относительной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тупости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3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+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8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=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11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конфигурация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сердца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нормальная.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Ширина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сосудистого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пучка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см.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Данные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u w:val="single"/>
        </w:rPr>
        <w:t>аускультации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ЧСС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76.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Артериальное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д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авление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(лежа):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правая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рука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125/80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мм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рт.ст.,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левая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рука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</w:rPr>
        <w:t>125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/80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мм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рт.ст.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Видимой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пульсации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артерий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симптом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Мюссе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отрицательный,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артерии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плотные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формы.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Пульс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ритмичный,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3D9E" w:rsidRPr="007B7FED">
        <w:rPr>
          <w:rFonts w:ascii="Times New Roman" w:hAnsi="Times New Roman"/>
          <w:color w:val="000000" w:themeColor="text1"/>
          <w:sz w:val="28"/>
          <w:szCs w:val="24"/>
        </w:rPr>
        <w:t>достаточного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наполнения.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Капиллярный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пульс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отсутствует.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Двойные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тоны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Траубе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шум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Виноградова-Дюрозье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бедренной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артерией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выслушиваются.</w:t>
      </w:r>
    </w:p>
    <w:p w:rsidR="0051552D" w:rsidRPr="007B7FED" w:rsidRDefault="0051552D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Набухания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видимой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пульсации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шейных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вен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венный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пульс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выражен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слабо,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отрицательный,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аускультации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шум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волчка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отсутствует.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Органы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пищеварения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: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Губы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розовой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окраски,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углы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симметричны,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герпетической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сыпи,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трещин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Полость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рта: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запаха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кровоизлияний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слизистая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розовая,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влажная,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высыпаний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Язык,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величины,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розовый,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влажный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Глотка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имеет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нормальный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цвет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слизистой,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влажная,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гладкая,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без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налета,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изъязвлений,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рубцов.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Миндалины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нормальных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размеров,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припухлости,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налета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Живот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нормальной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формы,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выпячивания,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втянутости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(западания)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симметричен,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передняя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брюшная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стенка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чуть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ниже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уровня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реберной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дуги.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пупка,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белой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линии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грыжевые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выпячивания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обнаруживаются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(в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горизонтальном,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вертикальном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положении,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натуживании).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Видимой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перистальтики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кишечника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Подкожные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вены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расширены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(в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живота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видны).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аускультации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живота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выслушивается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нормальная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перистальтика,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шума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падающей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капли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шума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плеска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шума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трения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брюшины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перкуссии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живота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слышен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тимпанический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звук.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>Данные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>поверхностной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>пальпации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: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брюшная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стенка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мягкая,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напряжённая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правого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подреберья,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болезненность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правого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подреберья.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Расхождения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прямых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мышц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живота,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грыж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белой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линии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Симптом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Щеткина-Блюмберга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</w:p>
    <w:p w:rsidR="00613D9E" w:rsidRPr="007B7FED" w:rsidRDefault="00613D9E" w:rsidP="007B7FED">
      <w:pPr>
        <w:pStyle w:val="21"/>
        <w:ind w:firstLine="709"/>
        <w:rPr>
          <w:i w:val="0"/>
          <w:color w:val="000000" w:themeColor="text1"/>
          <w:sz w:val="28"/>
          <w:szCs w:val="24"/>
        </w:rPr>
      </w:pPr>
      <w:r w:rsidRPr="007B7FED">
        <w:rPr>
          <w:i w:val="0"/>
          <w:color w:val="000000" w:themeColor="text1"/>
          <w:sz w:val="28"/>
          <w:szCs w:val="24"/>
          <w:u w:val="single"/>
        </w:rPr>
        <w:t>Данные</w:t>
      </w:r>
      <w:r w:rsidR="007B7FED" w:rsidRPr="007B7FED">
        <w:rPr>
          <w:i w:val="0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i w:val="0"/>
          <w:color w:val="000000" w:themeColor="text1"/>
          <w:sz w:val="28"/>
          <w:szCs w:val="24"/>
          <w:u w:val="single"/>
        </w:rPr>
        <w:t>глубокой</w:t>
      </w:r>
      <w:r w:rsidR="007B7FED" w:rsidRPr="007B7FED">
        <w:rPr>
          <w:i w:val="0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i w:val="0"/>
          <w:color w:val="000000" w:themeColor="text1"/>
          <w:sz w:val="28"/>
          <w:szCs w:val="24"/>
          <w:u w:val="single"/>
        </w:rPr>
        <w:t>пальпации</w:t>
      </w:r>
      <w:r w:rsidRPr="007B7FED">
        <w:rPr>
          <w:i w:val="0"/>
          <w:color w:val="000000" w:themeColor="text1"/>
          <w:sz w:val="28"/>
          <w:szCs w:val="24"/>
        </w:rPr>
        <w:t>: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левой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подвздошной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области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пальпируется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сигмовидная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кишка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виде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гладкого,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плотноватого,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безболезненного,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урчащего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цилиндра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толщиной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~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3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подвижность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~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3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правой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подвздошной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области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пальпируется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слепая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кишка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виде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гладкого,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безболезненного,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слегка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урчащего,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умеренно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упругого,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слабо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подвижного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цилиндра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толщиной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~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4-5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(расширяется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нижней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части).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Восходящая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нисходящая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части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ободочной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кишки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пальпируются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как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гладкие,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безболезненные,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слабо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подвижные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цилиндры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размером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3,5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3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соответственно.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Большая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кривизна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желудка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пальпируется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обе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стороны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от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срединной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линии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живота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как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дугообразный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валик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3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выше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пупка.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Привратник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прощупывается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фазу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сокращения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виде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плотного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эластичного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цилиндра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диаметром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~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2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при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расслаблении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–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вялый,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уплощенный,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малоподвижный,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безболезненный.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Нижняя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граница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желудка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(при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определении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перкуторно-аускультативным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методом)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~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3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выше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пупка.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Поперечно-ободочная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кишка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пальпируется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2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ниже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большой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кривизны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желудка,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виде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безболезненного,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подвижного,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урчащего,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умеренно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плотного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цилиндра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диаметром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~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2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см.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Тонкая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кишка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при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пальпации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безболезненна.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Поджелудочная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железа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пальпируется.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>Печень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>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  <w:u w:val="single"/>
        </w:rPr>
        <w:t>селезенка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: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видимого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увеличения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пульсации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печени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пальпации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печени: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нижний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край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выступает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из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под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правого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подреберья,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гладкий,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безболезненный,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мягковатой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консистенции,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острый.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Границы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печени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Курлову: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9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8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–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7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см.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Желчный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пузырь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пальпируется.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Селезенка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пальпируется.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перкуссии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размеры: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длинник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7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см,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поперечник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5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см.</w:t>
      </w:r>
    </w:p>
    <w:p w:rsidR="00334BC6" w:rsidRPr="007B7FED" w:rsidRDefault="00334BC6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Газы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отходят.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Стул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оформленный,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обычной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окраски.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Примеси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нет.</w:t>
      </w:r>
    </w:p>
    <w:p w:rsidR="00DF67EF" w:rsidRPr="007B7FED" w:rsidRDefault="00334BC6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  <w:t>Симптомы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: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Ровзинга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Ситковского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Воскресенского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Бартонье-Михельсона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Образцова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положительный.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Ортнера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положительный.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Мэрфи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положительный.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Мюсси-Георгиевскоо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(френикус-симптом)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Кертэ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Мейро-Робсона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Куленкампфа</w:t>
      </w:r>
      <w:r w:rsidR="007B7FED"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отрицательный.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  <w:t>Органы</w:t>
      </w:r>
      <w:r w:rsidR="007B7FED" w:rsidRPr="007B7FED"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  <w:t>мочевыделительной</w:t>
      </w:r>
      <w:r w:rsidR="007B7FED" w:rsidRPr="007B7FED"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b/>
          <w:snapToGrid w:val="0"/>
          <w:color w:val="000000" w:themeColor="text1"/>
          <w:sz w:val="28"/>
          <w:szCs w:val="24"/>
        </w:rPr>
        <w:t>системы</w:t>
      </w:r>
      <w:r w:rsidRPr="007B7FED">
        <w:rPr>
          <w:rFonts w:ascii="Times New Roman" w:hAnsi="Times New Roman"/>
          <w:snapToGrid w:val="0"/>
          <w:color w:val="000000" w:themeColor="text1"/>
          <w:sz w:val="28"/>
          <w:szCs w:val="24"/>
        </w:rPr>
        <w:t>: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осмотре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поясничной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области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припухлости,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покраснения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кожных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покровов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отечности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кожи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Пальпация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почек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положении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стоя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Боткину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горизонтальном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положении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Образцову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безболезненна.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Симптом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Пастернацкого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отрицательный.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перкуссии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мочевого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пузыря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болезненности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Мочеиспускание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произвольное,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свободное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безболезненное.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Недержание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мочи,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гематурия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отсутствует,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суточный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диурез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~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2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л.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</w:rPr>
        <w:t>Органы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</w:rPr>
        <w:t>эндокринной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</w:rPr>
        <w:t>системы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613D9E" w:rsidRPr="007B7FED" w:rsidRDefault="00613D9E" w:rsidP="007B7FE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</w:rPr>
        <w:t>Щитовидная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железа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увеличена,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болезненности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подвижна,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мягкой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консистенции.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Экзофтальма,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припухлости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шее,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чрезмерной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потливости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Общий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вид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больной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соответствует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возрасту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</w:rPr>
        <w:t>полу.</w:t>
      </w:r>
    </w:p>
    <w:p w:rsidR="00613D9E" w:rsidRPr="007B7FED" w:rsidRDefault="00613D9E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Неврологический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статус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:</w:t>
      </w:r>
    </w:p>
    <w:p w:rsidR="00613D9E" w:rsidRPr="007B7FED" w:rsidRDefault="00613D9E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Интеллект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эмоции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соответствуют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возрасту.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черепно-мозговых</w:t>
      </w:r>
      <w:r w:rsid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нервов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данным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осмотра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выявлено.</w:t>
      </w:r>
    </w:p>
    <w:p w:rsidR="000F76E5" w:rsidRPr="007B7FED" w:rsidRDefault="000F76E5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val="en-US" w:eastAsia="ru-RU"/>
        </w:rPr>
        <w:t>Status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val="en-US" w:eastAsia="ru-RU"/>
        </w:rPr>
        <w:t>Localis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: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объёмные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инфильтративные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образования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определяются.</w:t>
      </w:r>
    </w:p>
    <w:p w:rsidR="00613D9E" w:rsidRPr="007B7FED" w:rsidRDefault="00613D9E" w:rsidP="007B7FED">
      <w:pPr>
        <w:pStyle w:val="21"/>
        <w:ind w:firstLine="709"/>
        <w:rPr>
          <w:b/>
          <w:i w:val="0"/>
          <w:color w:val="000000" w:themeColor="text1"/>
          <w:sz w:val="28"/>
          <w:szCs w:val="24"/>
        </w:rPr>
      </w:pPr>
      <w:r w:rsidRPr="007B7FED">
        <w:rPr>
          <w:b/>
          <w:i w:val="0"/>
          <w:color w:val="000000" w:themeColor="text1"/>
          <w:sz w:val="28"/>
          <w:szCs w:val="24"/>
          <w:lang w:val="en-US"/>
        </w:rPr>
        <w:t>Per</w:t>
      </w:r>
      <w:r w:rsidR="007B7FED" w:rsidRPr="007B7FED">
        <w:rPr>
          <w:b/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b/>
          <w:i w:val="0"/>
          <w:color w:val="000000" w:themeColor="text1"/>
          <w:sz w:val="28"/>
          <w:szCs w:val="24"/>
          <w:lang w:val="en-US"/>
        </w:rPr>
        <w:t>rectum</w:t>
      </w:r>
      <w:r w:rsidR="00DF67EF" w:rsidRPr="007B7FED">
        <w:rPr>
          <w:b/>
          <w:i w:val="0"/>
          <w:color w:val="000000" w:themeColor="text1"/>
          <w:sz w:val="28"/>
          <w:szCs w:val="24"/>
        </w:rPr>
        <w:t>:</w:t>
      </w:r>
    </w:p>
    <w:p w:rsidR="00613D9E" w:rsidRPr="007B7FED" w:rsidRDefault="00613D9E" w:rsidP="007B7FED">
      <w:pPr>
        <w:pStyle w:val="21"/>
        <w:ind w:firstLine="709"/>
        <w:rPr>
          <w:i w:val="0"/>
          <w:color w:val="000000" w:themeColor="text1"/>
          <w:sz w:val="28"/>
          <w:szCs w:val="24"/>
        </w:rPr>
      </w:pPr>
      <w:r w:rsidRPr="007B7FED">
        <w:rPr>
          <w:i w:val="0"/>
          <w:color w:val="000000" w:themeColor="text1"/>
          <w:sz w:val="28"/>
          <w:szCs w:val="24"/>
        </w:rPr>
        <w:t>Сфинктер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тоничный,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ампула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прямой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кишки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пустая,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новообразований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нет.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На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перчатке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следы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кала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коричневого</w:t>
      </w:r>
      <w:r w:rsidR="007B7FED" w:rsidRPr="007B7FED">
        <w:rPr>
          <w:i w:val="0"/>
          <w:color w:val="000000" w:themeColor="text1"/>
          <w:sz w:val="28"/>
          <w:szCs w:val="24"/>
        </w:rPr>
        <w:t xml:space="preserve"> </w:t>
      </w:r>
      <w:r w:rsidRPr="007B7FED">
        <w:rPr>
          <w:i w:val="0"/>
          <w:color w:val="000000" w:themeColor="text1"/>
          <w:sz w:val="28"/>
          <w:szCs w:val="24"/>
        </w:rPr>
        <w:t>цвета.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П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редварительный диагноз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основании: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Жалоб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тяжесть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тошноту.</w:t>
      </w:r>
    </w:p>
    <w:p w:rsidR="005428CF" w:rsidRPr="007B7FED" w:rsidRDefault="00C80187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Данных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объективного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обследования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больной: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напряжение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брюшной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стенки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олезненность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Предварительный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диагноз:</w:t>
      </w:r>
    </w:p>
    <w:p w:rsidR="005428CF" w:rsidRPr="007B7FED" w:rsidRDefault="00C80187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Основной: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ЖКБ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холецистит.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Сопутствующий: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FD12D1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Железодефицитная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FD12D1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анемия.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П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лан дополнительного обследования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I.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Лабораторные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методы</w:t>
      </w:r>
    </w:p>
    <w:p w:rsidR="005428CF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Общий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анализ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крови.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Цель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назначения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степени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активности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воспалительной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реакции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C80187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рганизма</w:t>
      </w:r>
      <w:r w:rsidR="00C80187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</w:p>
    <w:p w:rsidR="005428CF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Ожидаемый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результат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возможно,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нейтрофильный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лейкоцитоз</w:t>
      </w:r>
      <w:r w:rsidR="005F50A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сдвига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формулы,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некоторое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увеличение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СОЭ.</w:t>
      </w:r>
    </w:p>
    <w:p w:rsidR="008A0AEA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Коагулограмма.</w:t>
      </w:r>
    </w:p>
    <w:p w:rsidR="005428CF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3.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Биохимическое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исследование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крови.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Цель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назначения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Исключение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осложнений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виде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механической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желтухи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830B4C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поражения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печени.</w:t>
      </w:r>
    </w:p>
    <w:p w:rsidR="005428CF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Ожидаемый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результат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Возможно,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увеличение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содержания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сыворотке</w:t>
      </w:r>
      <w:r w:rsidR="005F50A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билирубина,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преимущественно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счет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прямого.</w:t>
      </w:r>
    </w:p>
    <w:p w:rsidR="008A0AEA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группы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крови</w:t>
      </w:r>
    </w:p>
    <w:p w:rsidR="005428CF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Общий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анализ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мочи.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Цель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назначения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Исключение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сопутствующей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стороны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органов</w:t>
      </w:r>
      <w:r w:rsid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выделения.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Ожидаемый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результат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Возможно,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проявления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интоксикационного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синдрома.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II.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Инструментальные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методы</w:t>
      </w:r>
    </w:p>
    <w:p w:rsidR="005428CF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6.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УЗИ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органов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брюшной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полости</w:t>
      </w:r>
    </w:p>
    <w:p w:rsidR="005428CF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Цель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назначения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морфологических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пузыре,</w:t>
      </w:r>
      <w:r w:rsidR="005F50A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наличия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локализации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камней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путях,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определение</w:t>
      </w:r>
      <w:r w:rsid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просвета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внутри-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внепеченочных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протоков,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выявление</w:t>
      </w:r>
      <w:r w:rsid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печени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pancreas.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Ожидаемый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результат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Выявление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изменений,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характерных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для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желчекаменной</w:t>
      </w:r>
      <w:r w:rsid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болезни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калькулезного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холецистита.</w:t>
      </w:r>
    </w:p>
    <w:p w:rsidR="008A0AEA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7.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Рентгенограмма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органов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грудной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клетки</w:t>
      </w:r>
    </w:p>
    <w:p w:rsidR="005428CF" w:rsidRP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>8</w:t>
      </w:r>
      <w:r w:rsidR="008A0AEA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ЭКГ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+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консультация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терапевта.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Цель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назначения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для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исключения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противопоказаний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операции.</w:t>
      </w:r>
    </w:p>
    <w:p w:rsidR="005428CF" w:rsidRPr="007B7FED" w:rsidRDefault="007B7FED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>9</w:t>
      </w:r>
      <w:r w:rsidR="008A0AEA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334BC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ГДС</w:t>
      </w:r>
    </w:p>
    <w:p w:rsidR="00830B4C" w:rsidRDefault="005428CF" w:rsidP="00830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Цель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назначения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степени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выраженности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патологии</w:t>
      </w:r>
      <w:r w:rsidR="00830B4C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органов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желудочно-кишечного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тракта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(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желудок,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двенадцатиперстная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кишка).</w:t>
      </w:r>
    </w:p>
    <w:p w:rsidR="00830B4C" w:rsidRDefault="00830B4C">
      <w:pPr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br w:type="page"/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Р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езультаты дополнительных методов обследования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0F76E5" w:rsidRPr="007B7FED" w:rsidRDefault="007B7FED" w:rsidP="007B7FE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 w:rsidRPr="007B7FED">
        <w:rPr>
          <w:rFonts w:ascii="Times New Roman" w:hAnsi="Times New Roman"/>
          <w:color w:val="000000" w:themeColor="text1"/>
          <w:sz w:val="28"/>
        </w:rPr>
        <w:t>Таблица.3</w:t>
      </w:r>
      <w:r w:rsidR="005F50AF">
        <w:rPr>
          <w:rFonts w:ascii="Times New Roman" w:hAnsi="Times New Roman"/>
          <w:color w:val="000000" w:themeColor="text1"/>
          <w:sz w:val="28"/>
        </w:rPr>
        <w:t>.</w:t>
      </w:r>
      <w:r w:rsidR="00180F8C" w:rsidRPr="007B7FED">
        <w:rPr>
          <w:rFonts w:ascii="Times New Roman" w:hAnsi="Times New Roman"/>
          <w:color w:val="000000" w:themeColor="text1"/>
          <w:sz w:val="28"/>
        </w:rPr>
        <w:t>Общий</w:t>
      </w:r>
      <w:r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</w:rPr>
        <w:t>анализ</w:t>
      </w:r>
      <w:r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180F8C" w:rsidRPr="007B7FED">
        <w:rPr>
          <w:rFonts w:ascii="Times New Roman" w:hAnsi="Times New Roman"/>
          <w:color w:val="000000" w:themeColor="text1"/>
          <w:sz w:val="28"/>
        </w:rPr>
        <w:t>крови</w:t>
      </w:r>
    </w:p>
    <w:tbl>
      <w:tblPr>
        <w:tblW w:w="793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134"/>
        <w:gridCol w:w="992"/>
        <w:gridCol w:w="1418"/>
        <w:gridCol w:w="1701"/>
      </w:tblGrid>
      <w:tr w:rsidR="000F76E5" w:rsidRPr="007B7FED" w:rsidTr="007B7FED">
        <w:trPr>
          <w:trHeight w:val="84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Ед.изм.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Комментарии</w:t>
            </w: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Референтные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пределы</w:t>
            </w:r>
          </w:p>
        </w:tc>
      </w:tr>
      <w:tr w:rsidR="000F76E5" w:rsidRPr="007B7FED" w:rsidTr="007B7FED">
        <w:trPr>
          <w:trHeight w:val="329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Эритроциты,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RBC</w:t>
            </w:r>
          </w:p>
        </w:tc>
        <w:tc>
          <w:tcPr>
            <w:tcW w:w="1134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3.19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12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ниже</w:t>
            </w: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4,2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5,6</w:t>
            </w:r>
          </w:p>
        </w:tc>
      </w:tr>
      <w:tr w:rsidR="000F76E5" w:rsidRPr="007B7FED" w:rsidTr="007B7FED">
        <w:trPr>
          <w:trHeight w:val="25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Гемоглобин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HGB</w:t>
            </w:r>
          </w:p>
        </w:tc>
        <w:tc>
          <w:tcPr>
            <w:tcW w:w="1134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ниже</w:t>
            </w: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-172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Гематокрит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HCT</w:t>
            </w:r>
          </w:p>
        </w:tc>
        <w:tc>
          <w:tcPr>
            <w:tcW w:w="1134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29.5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5796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ниже</w:t>
            </w:r>
          </w:p>
        </w:tc>
        <w:tc>
          <w:tcPr>
            <w:tcW w:w="1701" w:type="dxa"/>
          </w:tcPr>
          <w:p w:rsidR="000F76E5" w:rsidRPr="007B7FED" w:rsidRDefault="0005796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36-49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эритроцитов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MCV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117EB4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куб.мкм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F76E5" w:rsidRPr="007B7FED" w:rsidTr="007B7FED">
        <w:trPr>
          <w:trHeight w:val="438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Среднее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гемоглобина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эритроците,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MCH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</w:t>
            </w:r>
            <w:r w:rsidR="00117EB4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пг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0F76E5" w:rsidRPr="007B7FED" w:rsidTr="007B7FED">
        <w:trPr>
          <w:trHeight w:val="447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концентрация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гемоглобина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эритроците,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MCHC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17EB4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</w:t>
            </w:r>
          </w:p>
        </w:tc>
      </w:tr>
      <w:tr w:rsidR="000F76E5" w:rsidRPr="007B7FED" w:rsidTr="007B7FED">
        <w:trPr>
          <w:trHeight w:val="438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Распределение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эритроцитов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объему,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RDW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тромбоцитов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PLT</w:t>
            </w:r>
          </w:p>
        </w:tc>
        <w:tc>
          <w:tcPr>
            <w:tcW w:w="1134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/л</w:t>
            </w:r>
          </w:p>
        </w:tc>
        <w:tc>
          <w:tcPr>
            <w:tcW w:w="1418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выше</w:t>
            </w: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0F76E5" w:rsidRPr="007B7FED" w:rsidTr="007B7FED">
        <w:trPr>
          <w:trHeight w:val="272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тромбоцитов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MPV</w:t>
            </w:r>
          </w:p>
        </w:tc>
        <w:tc>
          <w:tcPr>
            <w:tcW w:w="1134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куб.мкм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F76E5" w:rsidRPr="007B7FED" w:rsidTr="007B7FED">
        <w:trPr>
          <w:trHeight w:val="447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Распределение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тромбоцитов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объему,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PDW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</w:t>
            </w:r>
            <w:r w:rsidR="00117EB4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Лейкоциты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</w:tc>
        <w:tc>
          <w:tcPr>
            <w:tcW w:w="1134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0F76E5" w:rsidRPr="007B7FED" w:rsidRDefault="00117EB4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выше</w:t>
            </w: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F76E5" w:rsidRPr="007B7FED" w:rsidTr="007B7FED">
        <w:trPr>
          <w:trHeight w:val="272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Скорость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оседания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эритроцитов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СОЭ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:rsidR="000F76E5" w:rsidRPr="007B7FED" w:rsidRDefault="0005796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1418" w:type="dxa"/>
          </w:tcPr>
          <w:p w:rsidR="000F76E5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выше</w:t>
            </w: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пожилых</w:t>
            </w:r>
          </w:p>
        </w:tc>
      </w:tr>
      <w:tr w:rsidR="000F76E5" w:rsidRPr="007B7FED" w:rsidTr="007B7FED">
        <w:trPr>
          <w:trHeight w:val="281"/>
        </w:trPr>
        <w:tc>
          <w:tcPr>
            <w:tcW w:w="7938" w:type="dxa"/>
            <w:gridSpan w:val="5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Лейкоцитарная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формула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Нейтрофилы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палочкоядерные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F76E5" w:rsidRPr="007B7FED" w:rsidTr="007B7FED">
        <w:trPr>
          <w:trHeight w:val="272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Нейтрофилы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сегментоядерные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05796F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Лимфоциты</w:t>
            </w:r>
          </w:p>
        </w:tc>
        <w:tc>
          <w:tcPr>
            <w:tcW w:w="1134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Моноциты</w:t>
            </w:r>
          </w:p>
        </w:tc>
        <w:tc>
          <w:tcPr>
            <w:tcW w:w="1134" w:type="dxa"/>
          </w:tcPr>
          <w:p w:rsidR="000F76E5" w:rsidRPr="007B7FED" w:rsidRDefault="0005796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F76E5" w:rsidRPr="007B7FED" w:rsidTr="007B7FED">
        <w:trPr>
          <w:trHeight w:val="281"/>
        </w:trPr>
        <w:tc>
          <w:tcPr>
            <w:tcW w:w="2693" w:type="dxa"/>
          </w:tcPr>
          <w:p w:rsidR="000F76E5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ретикулоциты</w:t>
            </w:r>
          </w:p>
        </w:tc>
        <w:tc>
          <w:tcPr>
            <w:tcW w:w="1134" w:type="dxa"/>
          </w:tcPr>
          <w:p w:rsidR="000F76E5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F76E5" w:rsidRPr="007B7FED" w:rsidRDefault="000F76E5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F76E5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выше</w:t>
            </w:r>
          </w:p>
        </w:tc>
        <w:tc>
          <w:tcPr>
            <w:tcW w:w="1701" w:type="dxa"/>
          </w:tcPr>
          <w:p w:rsidR="000F76E5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0.5-1.2</w:t>
            </w:r>
          </w:p>
        </w:tc>
      </w:tr>
    </w:tbl>
    <w:p w:rsidR="007B7FED" w:rsidRDefault="007B7FED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5428CF" w:rsidRPr="007B7FED" w:rsidRDefault="000F76E5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Заключение: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анемия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регенераторная</w:t>
      </w:r>
      <w:r w:rsidRPr="007B7FED">
        <w:rPr>
          <w:rFonts w:ascii="Times New Roman" w:hAnsi="Times New Roman"/>
          <w:color w:val="000000" w:themeColor="text1"/>
          <w:sz w:val="28"/>
        </w:rPr>
        <w:t>.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также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можно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д</w:t>
      </w:r>
      <w:r w:rsidR="006763EF" w:rsidRPr="007B7FED">
        <w:rPr>
          <w:rFonts w:ascii="Times New Roman" w:hAnsi="Times New Roman"/>
          <w:color w:val="000000" w:themeColor="text1"/>
          <w:sz w:val="28"/>
        </w:rPr>
        <w:t>умать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о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наличии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воспалительного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процесса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(лейкоцитоз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увеличенная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СОЭ</w:t>
      </w:r>
      <w:r w:rsidR="007B7FED"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</w:rPr>
        <w:t>).</w:t>
      </w:r>
    </w:p>
    <w:p w:rsidR="00830B4C" w:rsidRDefault="00830B4C">
      <w:pPr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br w:type="page"/>
      </w:r>
    </w:p>
    <w:p w:rsidR="006763EF" w:rsidRPr="007B7FED" w:rsidRDefault="006763EF" w:rsidP="007B7FED">
      <w:pPr>
        <w:pStyle w:val="a4"/>
        <w:spacing w:line="360" w:lineRule="auto"/>
        <w:ind w:left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Коагулограмма</w:t>
      </w: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Протромбин(%)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–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92%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(70-130)</w:t>
      </w: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АЧТВ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–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41.1”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(24”-34”)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811E5A" w:rsidRPr="007B7FED">
        <w:rPr>
          <w:rFonts w:ascii="Times New Roman" w:hAnsi="Times New Roman"/>
          <w:b/>
          <w:color w:val="000000" w:themeColor="text1"/>
          <w:sz w:val="28"/>
        </w:rPr>
        <w:t>выше</w:t>
      </w: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Фибриноген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–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7.41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г/л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(1,8-3,5)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811E5A" w:rsidRPr="007B7FED">
        <w:rPr>
          <w:rFonts w:ascii="Times New Roman" w:hAnsi="Times New Roman"/>
          <w:b/>
          <w:color w:val="000000" w:themeColor="text1"/>
          <w:sz w:val="28"/>
        </w:rPr>
        <w:t>выше</w:t>
      </w: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МНО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–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1.05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(0,85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–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</w:rPr>
        <w:t>1,15)</w:t>
      </w: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Заключение:</w:t>
      </w:r>
      <w:r w:rsidRPr="007B7FED">
        <w:rPr>
          <w:rFonts w:ascii="Times New Roman" w:hAnsi="Times New Roman"/>
          <w:color w:val="000000" w:themeColor="text1"/>
          <w:sz w:val="28"/>
        </w:rPr>
        <w:t>.</w:t>
      </w: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763EF" w:rsidRPr="007B7FED" w:rsidRDefault="007B7FED" w:rsidP="007B7FE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 w:rsidRPr="007B7FED">
        <w:rPr>
          <w:rFonts w:ascii="Times New Roman" w:hAnsi="Times New Roman"/>
          <w:color w:val="000000" w:themeColor="text1"/>
          <w:sz w:val="28"/>
        </w:rPr>
        <w:t>Таблица.4.</w:t>
      </w:r>
      <w:r w:rsidR="006763EF" w:rsidRPr="007B7FED">
        <w:rPr>
          <w:rFonts w:ascii="Times New Roman" w:hAnsi="Times New Roman"/>
          <w:color w:val="000000" w:themeColor="text1"/>
          <w:sz w:val="28"/>
        </w:rPr>
        <w:t>Биохимический</w:t>
      </w:r>
      <w:r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анализ</w:t>
      </w:r>
      <w:r w:rsidRPr="007B7FED">
        <w:rPr>
          <w:rFonts w:ascii="Times New Roman" w:hAnsi="Times New Roman"/>
          <w:color w:val="000000" w:themeColor="text1"/>
          <w:sz w:val="28"/>
        </w:rPr>
        <w:t xml:space="preserve"> </w:t>
      </w:r>
      <w:r w:rsidR="006763EF" w:rsidRPr="007B7FED">
        <w:rPr>
          <w:rFonts w:ascii="Times New Roman" w:hAnsi="Times New Roman"/>
          <w:color w:val="000000" w:themeColor="text1"/>
          <w:sz w:val="28"/>
        </w:rPr>
        <w:t>крови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417"/>
        <w:gridCol w:w="1418"/>
      </w:tblGrid>
      <w:tr w:rsidR="006763EF" w:rsidRPr="007B7FED" w:rsidTr="007B7FED">
        <w:tc>
          <w:tcPr>
            <w:tcW w:w="2410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изм.</w:t>
            </w:r>
          </w:p>
        </w:tc>
        <w:tc>
          <w:tcPr>
            <w:tcW w:w="1417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Комментарий</w:t>
            </w:r>
          </w:p>
        </w:tc>
        <w:tc>
          <w:tcPr>
            <w:tcW w:w="1418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Референтные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пределы</w:t>
            </w:r>
          </w:p>
        </w:tc>
      </w:tr>
      <w:tr w:rsidR="006763EF" w:rsidRPr="007B7FED" w:rsidTr="007B7FED">
        <w:tc>
          <w:tcPr>
            <w:tcW w:w="2410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Аланинаминотрансфераза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(АЛТ)</w:t>
            </w:r>
          </w:p>
        </w:tc>
        <w:tc>
          <w:tcPr>
            <w:tcW w:w="1134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0-40</w:t>
            </w:r>
          </w:p>
        </w:tc>
      </w:tr>
      <w:tr w:rsidR="006763EF" w:rsidRPr="007B7FED" w:rsidTr="007B7FED">
        <w:tc>
          <w:tcPr>
            <w:tcW w:w="2410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Аспартатаминотрансфераза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(АСТ)</w:t>
            </w:r>
          </w:p>
        </w:tc>
        <w:tc>
          <w:tcPr>
            <w:tcW w:w="1134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0-40</w:t>
            </w:r>
          </w:p>
        </w:tc>
      </w:tr>
      <w:tr w:rsidR="006763EF" w:rsidRPr="007B7FED" w:rsidTr="007B7FED">
        <w:tc>
          <w:tcPr>
            <w:tcW w:w="2410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Креатинин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сыворотки</w:t>
            </w:r>
          </w:p>
        </w:tc>
        <w:tc>
          <w:tcPr>
            <w:tcW w:w="1134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мкмоль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62-115</w:t>
            </w:r>
          </w:p>
        </w:tc>
      </w:tr>
      <w:tr w:rsidR="006763EF" w:rsidRPr="007B7FED" w:rsidTr="007B7FED">
        <w:tc>
          <w:tcPr>
            <w:tcW w:w="2410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Мочевина</w:t>
            </w:r>
          </w:p>
        </w:tc>
        <w:tc>
          <w:tcPr>
            <w:tcW w:w="1134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ммоль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2,5-8,3</w:t>
            </w:r>
          </w:p>
        </w:tc>
      </w:tr>
      <w:tr w:rsidR="006763EF" w:rsidRPr="007B7FED" w:rsidTr="007B7FED">
        <w:tc>
          <w:tcPr>
            <w:tcW w:w="2410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Глюкоза</w:t>
            </w:r>
          </w:p>
        </w:tc>
        <w:tc>
          <w:tcPr>
            <w:tcW w:w="1134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5.87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ммоль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3.89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="007B7FED"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6.3</w:t>
            </w:r>
          </w:p>
        </w:tc>
      </w:tr>
      <w:tr w:rsidR="006763EF" w:rsidRPr="007B7FED" w:rsidTr="007B7FED">
        <w:tc>
          <w:tcPr>
            <w:tcW w:w="2410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Железо</w:t>
            </w:r>
          </w:p>
        </w:tc>
        <w:tc>
          <w:tcPr>
            <w:tcW w:w="1134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992" w:type="dxa"/>
          </w:tcPr>
          <w:p w:rsidR="006763EF" w:rsidRPr="007B7FED" w:rsidRDefault="006763EF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ммоль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ниже</w:t>
            </w:r>
          </w:p>
        </w:tc>
        <w:tc>
          <w:tcPr>
            <w:tcW w:w="1418" w:type="dxa"/>
          </w:tcPr>
          <w:p w:rsidR="006763EF" w:rsidRPr="007B7FED" w:rsidRDefault="00811E5A" w:rsidP="007B7FE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8.0-28</w:t>
            </w:r>
          </w:p>
        </w:tc>
      </w:tr>
    </w:tbl>
    <w:p w:rsidR="007B7FED" w:rsidRDefault="007B7FED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763EF" w:rsidRPr="007B7FED" w:rsidRDefault="006763EF" w:rsidP="007B7FED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7FED">
        <w:rPr>
          <w:rFonts w:ascii="Times New Roman" w:hAnsi="Times New Roman"/>
          <w:b/>
          <w:color w:val="000000" w:themeColor="text1"/>
          <w:sz w:val="28"/>
        </w:rPr>
        <w:t>Заключение: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811E5A" w:rsidRPr="007B7FED">
        <w:rPr>
          <w:rFonts w:ascii="Times New Roman" w:hAnsi="Times New Roman"/>
          <w:b/>
          <w:color w:val="000000" w:themeColor="text1"/>
          <w:sz w:val="28"/>
        </w:rPr>
        <w:t>железодефицитная</w:t>
      </w:r>
      <w:r w:rsidR="007B7FED" w:rsidRPr="007B7FED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811E5A" w:rsidRPr="007B7FED">
        <w:rPr>
          <w:rFonts w:ascii="Times New Roman" w:hAnsi="Times New Roman"/>
          <w:b/>
          <w:color w:val="000000" w:themeColor="text1"/>
          <w:sz w:val="28"/>
        </w:rPr>
        <w:t>анемия.</w:t>
      </w:r>
    </w:p>
    <w:p w:rsidR="00811E5A" w:rsidRPr="007B7FED" w:rsidRDefault="00811E5A" w:rsidP="007B7F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Группа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крови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А(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  <w:t>II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)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  <w:t>Rh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+</w:t>
      </w:r>
    </w:p>
    <w:p w:rsidR="00811E5A" w:rsidRPr="007B7FED" w:rsidRDefault="00811E5A" w:rsidP="007B7F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Общий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анализ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мочи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</w:p>
    <w:p w:rsidR="00811E5A" w:rsidRPr="007B7FED" w:rsidRDefault="00811E5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Цвет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соломенно-жёлтый,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прозрачная,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реакция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кислая,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белок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0.033,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глюкозы,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кетоновых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тел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Эпителий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плоский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количество,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лейкоциты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3-4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зрения.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Закючение: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моча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грубых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патологических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нарушений</w:t>
      </w:r>
    </w:p>
    <w:p w:rsidR="005428CF" w:rsidRPr="007B7FED" w:rsidRDefault="005428CF" w:rsidP="007B7F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УЗИ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</w:t>
      </w:r>
      <w:r w:rsidR="00811E5A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рганов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811E5A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брюшной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811E5A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полости</w:t>
      </w:r>
    </w:p>
    <w:p w:rsidR="00811E5A" w:rsidRPr="007B7FED" w:rsidRDefault="00811E5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пузырь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увеличен,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стенки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утолщены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0,4см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(до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0.3см),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просвет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гомогенный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взвесь,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единичные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камни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0.3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см,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холедох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расширен,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внутрипечёночные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протоки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расширены.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Поджелудочная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железа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увеличена,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контуры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ровные,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чёткие,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эхогенность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умеренная.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Селезёнка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F5199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увеличена.</w:t>
      </w:r>
    </w:p>
    <w:p w:rsidR="005428CF" w:rsidRPr="007B7FED" w:rsidRDefault="002F5199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Заключение: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ЖКБ.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истит.</w:t>
      </w:r>
    </w:p>
    <w:p w:rsidR="002F5199" w:rsidRPr="007B7FED" w:rsidRDefault="002F5199" w:rsidP="007B7F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Рентгенография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органов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грудной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клетки</w:t>
      </w:r>
    </w:p>
    <w:p w:rsidR="002F5199" w:rsidRPr="007B7FED" w:rsidRDefault="002F5199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Заключение: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венозный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застой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малому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кругу.</w:t>
      </w:r>
    </w:p>
    <w:p w:rsidR="002F5199" w:rsidRPr="007B7FED" w:rsidRDefault="002F5199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Заключение: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пузырь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уменьшился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размерах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7,6х2.0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см.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просвете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мелкие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камни,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0,3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см.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Стенка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0,3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структура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однородная,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свободной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жидкости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Положительная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динамика.</w:t>
      </w:r>
    </w:p>
    <w:p w:rsidR="005428CF" w:rsidRPr="007B7FED" w:rsidRDefault="005428CF" w:rsidP="007B7F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ЭКГ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24.03.01г.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Ритм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синусовый,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A0AEA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Чсс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A0AEA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90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A0AEA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A0AEA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минуту.</w:t>
      </w:r>
    </w:p>
    <w:p w:rsidR="005428CF" w:rsidRPr="007B7FED" w:rsidRDefault="008A0AEA" w:rsidP="007B7F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ГДС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5428CF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</w:t>
      </w:r>
    </w:p>
    <w:p w:rsidR="008A0AEA" w:rsidRPr="007B7FED" w:rsidRDefault="008A0AEA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Заключение: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очаговый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гастрит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Д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ифференциальный диагноз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холецистит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требует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дифференцирования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Острым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аппендицитом</w:t>
      </w:r>
    </w:p>
    <w:p w:rsidR="005428CF" w:rsidRDefault="00FD12D1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Правосторонней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почечной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коликой.</w:t>
      </w:r>
    </w:p>
    <w:p w:rsidR="00C158D8" w:rsidRDefault="00C158D8">
      <w:pPr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C158D8" w:rsidRPr="007B7FED" w:rsidRDefault="00830B4C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аблица.5.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638"/>
        <w:gridCol w:w="1971"/>
        <w:gridCol w:w="2061"/>
        <w:gridCol w:w="2268"/>
      </w:tblGrid>
      <w:tr w:rsidR="00FD12D1" w:rsidRPr="00C158D8" w:rsidTr="00C158D8">
        <w:tc>
          <w:tcPr>
            <w:tcW w:w="1638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симптом</w:t>
            </w:r>
          </w:p>
        </w:tc>
        <w:tc>
          <w:tcPr>
            <w:tcW w:w="1971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Острый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холецистит</w:t>
            </w:r>
          </w:p>
        </w:tc>
        <w:tc>
          <w:tcPr>
            <w:tcW w:w="2061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Острый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аппендицит</w:t>
            </w:r>
          </w:p>
        </w:tc>
        <w:tc>
          <w:tcPr>
            <w:tcW w:w="2268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Почечная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колика</w:t>
            </w:r>
          </w:p>
        </w:tc>
      </w:tr>
      <w:tr w:rsidR="00FD12D1" w:rsidRPr="00C158D8" w:rsidTr="00C158D8">
        <w:tc>
          <w:tcPr>
            <w:tcW w:w="1638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Характер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болей</w:t>
            </w:r>
          </w:p>
        </w:tc>
        <w:tc>
          <w:tcPr>
            <w:tcW w:w="1971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подреберье,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сильные,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приступообразные,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затем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постоянные.</w:t>
            </w:r>
          </w:p>
        </w:tc>
        <w:tc>
          <w:tcPr>
            <w:tcW w:w="2061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эпигастрии,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умеренной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интенсивности,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затем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перемещаются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правую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подвздошную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область,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тянущие,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2268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пояснице,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приступообразные,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интенсивыне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иррадиацией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пах,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уменьшаются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приминением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спазмолитиков.</w:t>
            </w:r>
          </w:p>
        </w:tc>
      </w:tr>
      <w:tr w:rsidR="00FD12D1" w:rsidRPr="00C158D8" w:rsidTr="00C158D8">
        <w:tc>
          <w:tcPr>
            <w:tcW w:w="1638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Прочие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1971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Тошнота,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рвота.</w:t>
            </w:r>
          </w:p>
        </w:tc>
        <w:tc>
          <w:tcPr>
            <w:tcW w:w="2061" w:type="dxa"/>
          </w:tcPr>
          <w:p w:rsidR="001F6CE2" w:rsidRPr="00C158D8" w:rsidRDefault="001F6CE2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Тошнота,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рвота,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задержка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стула,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лихорадка</w:t>
            </w:r>
          </w:p>
        </w:tc>
        <w:tc>
          <w:tcPr>
            <w:tcW w:w="2268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Возможна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дизурия</w:t>
            </w:r>
          </w:p>
        </w:tc>
      </w:tr>
      <w:tr w:rsidR="00FD12D1" w:rsidRPr="00C158D8" w:rsidTr="00C158D8">
        <w:tc>
          <w:tcPr>
            <w:tcW w:w="1638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Анамнез</w:t>
            </w:r>
          </w:p>
        </w:tc>
        <w:tc>
          <w:tcPr>
            <w:tcW w:w="1971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ЖКБ</w:t>
            </w:r>
          </w:p>
        </w:tc>
        <w:tc>
          <w:tcPr>
            <w:tcW w:w="2061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Мочекаменная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болезнь</w:t>
            </w:r>
          </w:p>
        </w:tc>
      </w:tr>
      <w:tr w:rsidR="00FD12D1" w:rsidRPr="00C158D8" w:rsidTr="00C158D8">
        <w:tc>
          <w:tcPr>
            <w:tcW w:w="1638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971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Острое</w:t>
            </w:r>
          </w:p>
        </w:tc>
        <w:tc>
          <w:tcPr>
            <w:tcW w:w="2061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Острое</w:t>
            </w:r>
          </w:p>
        </w:tc>
        <w:tc>
          <w:tcPr>
            <w:tcW w:w="2268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Острое</w:t>
            </w:r>
          </w:p>
        </w:tc>
      </w:tr>
      <w:tr w:rsidR="00FD12D1" w:rsidRPr="00C158D8" w:rsidTr="00C158D8">
        <w:tc>
          <w:tcPr>
            <w:tcW w:w="1638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Объективное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971" w:type="dxa"/>
          </w:tcPr>
          <w:p w:rsidR="001F6CE2" w:rsidRPr="00C158D8" w:rsidRDefault="00A66CED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Билезненность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напряжение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мышц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подреберье,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симптомы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Ортнера,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Мерфи,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Мюсси,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Мейо-Робсона,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Менделя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подреберье</w:t>
            </w:r>
            <w:r w:rsidR="00FD12D1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D12D1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умеренная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D12D1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интоксикацияю</w:t>
            </w:r>
          </w:p>
        </w:tc>
        <w:tc>
          <w:tcPr>
            <w:tcW w:w="2061" w:type="dxa"/>
          </w:tcPr>
          <w:p w:rsidR="001F6CE2" w:rsidRPr="00C158D8" w:rsidRDefault="00FD12D1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Болезненность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напряжение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мышц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подвздошной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области,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симптомы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раздражения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брюшины,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симптомы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Воскресенского,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Раздольского,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Образцова,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Ровзинга,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Ситковского.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Выражена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интоксикация.</w:t>
            </w:r>
          </w:p>
        </w:tc>
        <w:tc>
          <w:tcPr>
            <w:tcW w:w="2268" w:type="dxa"/>
          </w:tcPr>
          <w:p w:rsidR="001F6CE2" w:rsidRPr="00C158D8" w:rsidRDefault="00FD12D1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Пальпация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безболезненна,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положительный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симптом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Пастренацкого,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интоксикация.</w:t>
            </w:r>
          </w:p>
        </w:tc>
      </w:tr>
      <w:tr w:rsidR="00A66CED" w:rsidRPr="00C158D8" w:rsidTr="00C158D8">
        <w:tc>
          <w:tcPr>
            <w:tcW w:w="1638" w:type="dxa"/>
          </w:tcPr>
          <w:p w:rsidR="00A66CED" w:rsidRPr="00C158D8" w:rsidRDefault="00FD12D1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Дополнительное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971" w:type="dxa"/>
          </w:tcPr>
          <w:p w:rsidR="00A66CED" w:rsidRPr="00C158D8" w:rsidRDefault="00FD12D1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УЗИ,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изменения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воспалительного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характера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общем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2061" w:type="dxa"/>
          </w:tcPr>
          <w:p w:rsidR="00A66CED" w:rsidRPr="00C158D8" w:rsidRDefault="00FD12D1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Воспалительные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изменения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общем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анализе</w:t>
            </w:r>
            <w:r w:rsidR="007B7FED"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2268" w:type="dxa"/>
          </w:tcPr>
          <w:p w:rsidR="00A66CED" w:rsidRPr="00C158D8" w:rsidRDefault="00FD12D1" w:rsidP="00C1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158D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Эритроцитурия</w:t>
            </w:r>
          </w:p>
        </w:tc>
      </w:tr>
    </w:tbl>
    <w:p w:rsidR="001F6CE2" w:rsidRPr="007B7FED" w:rsidRDefault="001F6CE2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C158D8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C158D8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К</w:t>
      </w:r>
      <w:r w:rsidR="00C158D8" w:rsidRPr="00C158D8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линический</w:t>
      </w:r>
      <w:r w:rsidR="007B7FED" w:rsidRPr="00C158D8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C158D8" w:rsidRPr="00C158D8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диагноз</w:t>
      </w:r>
    </w:p>
    <w:p w:rsidR="00C158D8" w:rsidRPr="007B7FED" w:rsidRDefault="00C158D8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основании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предварительного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диагноза,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данных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дополнительного</w:t>
      </w:r>
    </w:p>
    <w:p w:rsidR="005428CF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обследования: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утолщение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стенки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пузыря,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наличие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взвеси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единичных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камней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желчном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пузыре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даметром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0.3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см,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анализах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крови</w:t>
      </w:r>
    </w:p>
    <w:p w:rsidR="002E308B" w:rsidRPr="007B7FED" w:rsidRDefault="005428CF" w:rsidP="005F5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лейкоцитоз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повышенное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СОЭ,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что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говорит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воспалении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ставим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диагноз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ЖКБ.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холецистит.</w:t>
      </w:r>
    </w:p>
    <w:p w:rsidR="005428CF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основании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понижения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гемоглобина,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гематокрита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повышения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числа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ретикулоцитов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общем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анализе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крови,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так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основании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уменьшения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содержания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железа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сыворотке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крови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ставим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диагноз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железодефицитная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анемия.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Заключительный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клинический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диагноз:</w:t>
      </w:r>
    </w:p>
    <w:p w:rsidR="005428CF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Основной: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ЖКБ.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холецистит.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Сопутствующий: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Железодефицитная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анемия.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ЛЕЧЕНИЕ</w:t>
      </w:r>
    </w:p>
    <w:p w:rsidR="005428CF" w:rsidRPr="007B7FED" w:rsidRDefault="005428CF" w:rsidP="00C1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наличии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желчекаменной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болезни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острого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холецистита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имеет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смысл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проведение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консервативного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лечения.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Однако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заболевание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может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осложняться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холедохолитиазом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следствие,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механичческой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желтухой.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Появление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этих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осложнений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достаточно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грозный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признак,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котором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больному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жизненно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показано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оперативное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лечение.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Обычно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консервативное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лечение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проводится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три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дня,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течении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которых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судят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наличии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или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отсутствии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положительной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динамики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проводимом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лечении,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или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признаках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наступающих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осложнений.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Если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эффекта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проводимой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терапии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наблюдается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прибегают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оперативному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вмешательству.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Режим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постельный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Стол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N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Купирование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болевого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синдрома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Analgini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50%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струйно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Dimedroli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струйно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Papaverini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в/м</w:t>
      </w:r>
    </w:p>
    <w:p w:rsidR="005428CF" w:rsidRPr="007B7FED" w:rsidRDefault="005428CF" w:rsidP="00C1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неэффективности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ненаркотических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анальгетиков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показано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применение</w:t>
      </w:r>
      <w:r w:rsidR="00C158D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опиатов: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Promedoli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в/м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Дополнительно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возможно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применение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Novocaini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0,25%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200ml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капельно,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контроль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АД.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После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купирования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болей: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Analgini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50%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день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Papaverini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день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Купирование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воспалительного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процесса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Ampicillini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день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Дезинтоксикация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Natrii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Chloridi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0,9%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400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капельно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+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Euphyllini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2,4%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Glucosae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400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в/в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капельно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+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Sol.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Ac.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Ascorbinici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5%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-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5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ml</w:t>
      </w:r>
    </w:p>
    <w:p w:rsidR="002E308B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Планируется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оперативное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вмешательство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–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холецистэктомия.</w:t>
      </w:r>
    </w:p>
    <w:p w:rsidR="005428CF" w:rsidRPr="007B7FED" w:rsidRDefault="005428CF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Д</w:t>
      </w:r>
      <w:r w:rsidR="00C158D8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невник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C158D8" w:rsidRPr="007B7FED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курации</w:t>
      </w:r>
    </w:p>
    <w:p w:rsidR="002E308B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21.10.2010.</w:t>
      </w:r>
    </w:p>
    <w:p w:rsidR="002E308B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Жалобы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E308B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подреберье.</w:t>
      </w:r>
    </w:p>
    <w:p w:rsidR="002E308B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Состояние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отрицательной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динамики.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Ночью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спала.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сознании,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контактна,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адекватна.</w:t>
      </w:r>
    </w:p>
    <w:p w:rsidR="002E308B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Кожные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покровы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видимые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слизистые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окраски.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лёгких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дыхание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везикулярное,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проводится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все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отделы,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хрипов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16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минуту.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Тоны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сердца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ясные,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ритмичные.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Пульс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ритмичный,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наполненный.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76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минуту.</w:t>
      </w:r>
    </w:p>
    <w:p w:rsidR="002E308B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Язык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влажный,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обложен.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Живот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вздут,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перистальтика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выслушивается.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живот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мягкий,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болезненный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Симптомов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раздражения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брюшины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Патологические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образования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брюшной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пальпаторно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определяются.</w:t>
      </w:r>
    </w:p>
    <w:p w:rsidR="002E308B" w:rsidRPr="007B7FED" w:rsidRDefault="002E308B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Стула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было,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газы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отходят,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Дизурии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63546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</w:p>
    <w:p w:rsidR="00863546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22.10.2010</w:t>
      </w:r>
    </w:p>
    <w:p w:rsidR="00863546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Жалобы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подреберье.</w:t>
      </w:r>
    </w:p>
    <w:p w:rsidR="00863546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Состояние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без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отрицательной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динамики.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Ночью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спала.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сознании,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контактна,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адекватна.</w:t>
      </w:r>
    </w:p>
    <w:p w:rsidR="00863546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Кожные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покровы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видимые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слизистые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нормальной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окраски.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лёгких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дыхание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везикулярное,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проводится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все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отделы,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хрипов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ЧД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16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минуту.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Тоны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сердца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ясные,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патологических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шумов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Пульс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ритмичный,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наполненный,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78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ударов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минуту.</w:t>
      </w:r>
    </w:p>
    <w:p w:rsidR="00863546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Язык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влажный,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обложен.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Живот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вздут,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перистальтика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выслушивается.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пальпации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живот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мягкий,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умеренно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болезненный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правом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подреберье.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Симптомов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раздражения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брюшины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нет.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Патологические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образования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брюшной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полости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пальпаторно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определяются.</w:t>
      </w:r>
    </w:p>
    <w:p w:rsidR="00863546" w:rsidRPr="007B7FED" w:rsidRDefault="00863546" w:rsidP="007B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Стул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оформленный,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газы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отходят,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Дизурии</w:t>
      </w:r>
      <w:r w:rsidR="007B7FED"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7B7FED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нет</w:t>
      </w:r>
    </w:p>
    <w:p w:rsidR="008D20A2" w:rsidRPr="007B7FED" w:rsidRDefault="008D20A2" w:rsidP="007B7F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7B7FED">
        <w:rPr>
          <w:rFonts w:ascii="Times New Roman" w:hAnsi="Times New Roman"/>
          <w:b/>
          <w:color w:val="000000" w:themeColor="text1"/>
          <w:sz w:val="28"/>
          <w:szCs w:val="24"/>
        </w:rPr>
        <w:t>Э</w:t>
      </w:r>
      <w:r w:rsidR="00C158D8" w:rsidRPr="007B7FED">
        <w:rPr>
          <w:rFonts w:ascii="Times New Roman" w:hAnsi="Times New Roman"/>
          <w:b/>
          <w:color w:val="000000" w:themeColor="text1"/>
          <w:sz w:val="28"/>
          <w:szCs w:val="24"/>
        </w:rPr>
        <w:t>тиология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C158D8" w:rsidRPr="007B7FED">
        <w:rPr>
          <w:rFonts w:ascii="Times New Roman" w:hAnsi="Times New Roman"/>
          <w:b/>
          <w:color w:val="000000" w:themeColor="text1"/>
          <w:sz w:val="28"/>
          <w:szCs w:val="24"/>
        </w:rPr>
        <w:t>и</w:t>
      </w:r>
      <w:r w:rsidR="007B7FED" w:rsidRPr="007B7FE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C158D8" w:rsidRPr="007B7FED">
        <w:rPr>
          <w:rFonts w:ascii="Times New Roman" w:hAnsi="Times New Roman"/>
          <w:b/>
          <w:color w:val="000000" w:themeColor="text1"/>
          <w:sz w:val="28"/>
          <w:szCs w:val="24"/>
        </w:rPr>
        <w:t>патогенез</w:t>
      </w:r>
    </w:p>
    <w:p w:rsidR="008D20A2" w:rsidRPr="007B7FED" w:rsidRDefault="008D20A2" w:rsidP="007B7FE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B7FED">
        <w:rPr>
          <w:color w:val="000000" w:themeColor="text1"/>
          <w:sz w:val="28"/>
        </w:rPr>
        <w:t>Камни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прежде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всего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почти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исключительно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развиваются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пузыре.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Образование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камней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неизмененном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(неповрежденном)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общем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протоке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наблюдается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очень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редко.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развитии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заболеваний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путей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важную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роль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играют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переедание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гиподинамия.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Холециститами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(особенно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каменными)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чаще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болеют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люди,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страдающие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ожирением.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Предрасполагающим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фактором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служит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избыточное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потребление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мяса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животных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жиров.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вегетарианском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рационе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холециститы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ЖКБ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встречаются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реже.</w:t>
      </w:r>
    </w:p>
    <w:p w:rsidR="008D20A2" w:rsidRPr="007B7FED" w:rsidRDefault="008D20A2" w:rsidP="007B7FE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B7FED">
        <w:rPr>
          <w:color w:val="000000" w:themeColor="text1"/>
          <w:sz w:val="28"/>
        </w:rPr>
        <w:t>Причинами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развития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камней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являются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застой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желчи,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изменение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ее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состава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(дисхолия)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инфекционно-воспалительные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процессы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протоках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пузыре.</w:t>
      </w:r>
    </w:p>
    <w:p w:rsidR="008D20A2" w:rsidRPr="007B7FED" w:rsidRDefault="008D20A2" w:rsidP="007B7FE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последние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десятилетия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утвердились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представления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продукции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как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сложном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секреторном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процессе,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решающая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роль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котором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отводится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гепатоциту.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Формирование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неполноценных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мицелл,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которых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отмечается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избыточное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количество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холестерина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уменьшенное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содержание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фосфолипидов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кислот,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создает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предпосылки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для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формирования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камней: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становится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литогенной.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Таким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путем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образуются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наиболее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распространенные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—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холестериновые.</w:t>
      </w:r>
    </w:p>
    <w:p w:rsidR="008D20A2" w:rsidRPr="007B7FED" w:rsidRDefault="008D20A2" w:rsidP="007B7FE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B7FED">
        <w:rPr>
          <w:color w:val="000000" w:themeColor="text1"/>
          <w:sz w:val="28"/>
        </w:rPr>
        <w:t>Высказано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мнение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ятрогенных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заболеваниях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желчевыводящих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путей.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Диета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большим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содержанием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жира,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ограниченный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двигательный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режим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способствуют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повышению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литогенности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желчи.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Ваготомия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(нарушение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нормального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опорожнения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пузыря),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резекция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дистальных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отделов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тонкой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кишки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(нарушение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печеночно-кишечной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циркуляции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кислот),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также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лигатуры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общего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протока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нередко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оказываются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факторами,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способствующими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развитию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ЖКБ.</w:t>
      </w:r>
    </w:p>
    <w:p w:rsidR="008D20A2" w:rsidRPr="007B7FED" w:rsidRDefault="008D20A2" w:rsidP="007B7FE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B7FED">
        <w:rPr>
          <w:color w:val="000000" w:themeColor="text1"/>
          <w:sz w:val="28"/>
        </w:rPr>
        <w:t>Возникновению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ЖКБ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может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способствовать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также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длительный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прием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лекарств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(пероральные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контрацептивы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др.).</w:t>
      </w:r>
    </w:p>
    <w:p w:rsidR="00B30A77" w:rsidRPr="007B7FED" w:rsidRDefault="00B30A77" w:rsidP="007B7FE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B7FED">
        <w:rPr>
          <w:color w:val="000000" w:themeColor="text1"/>
          <w:sz w:val="28"/>
        </w:rPr>
        <w:t>При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острой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закупорке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всегда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развивается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острый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холецистит.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непродолжительной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блокаде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неинфицированного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как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правило,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возникает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лишь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приступ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желчнопузырной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колики.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большинства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подобных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больных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довольно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быстро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желчединамика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восстанавливается,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так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как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камень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либо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возвращается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полость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либо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пролабирует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общий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желчный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проток.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меньшинства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колика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также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быстро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стихает,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однако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ущемление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следовательно,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блокада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сохраняются.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Возможно,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этих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случаях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имеет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место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неполное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нарушение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желчединамики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зоне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ущемления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камня.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больных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непродолжительным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приступом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желчнопузырной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колики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выраженных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признаков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острого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холецистита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развивается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в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частности,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не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регистрируется,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данным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УЗИ,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значительного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утолщения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стенок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пузыря.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Таким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образом,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следует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различать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простую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миграцию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сопровождающуюся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желчнопузырной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коликой,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и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осложненную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миграцию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камня,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приводящую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к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острому</w:t>
      </w:r>
      <w:r w:rsidR="007B7FED" w:rsidRPr="007B7FED">
        <w:rPr>
          <w:color w:val="000000" w:themeColor="text1"/>
          <w:sz w:val="28"/>
        </w:rPr>
        <w:t xml:space="preserve"> </w:t>
      </w:r>
      <w:r w:rsidRPr="007B7FED">
        <w:rPr>
          <w:color w:val="000000" w:themeColor="text1"/>
          <w:sz w:val="28"/>
        </w:rPr>
        <w:t>холециститу.</w:t>
      </w:r>
    </w:p>
    <w:p w:rsidR="000F7685" w:rsidRPr="00406857" w:rsidRDefault="000F7685" w:rsidP="000F7685">
      <w:pPr>
        <w:spacing w:line="360" w:lineRule="auto"/>
        <w:jc w:val="center"/>
        <w:rPr>
          <w:color w:val="FFFFFF"/>
          <w:sz w:val="28"/>
          <w:szCs w:val="28"/>
        </w:rPr>
      </w:pPr>
      <w:r w:rsidRPr="00F46926">
        <w:rPr>
          <w:color w:val="FFFFFF"/>
          <w:sz w:val="28"/>
          <w:szCs w:val="28"/>
        </w:rPr>
        <w:t xml:space="preserve"> </w:t>
      </w:r>
    </w:p>
    <w:sectPr w:rsidR="000F7685" w:rsidRPr="00406857" w:rsidSect="007B7FED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C18" w:rsidRDefault="00C03C18" w:rsidP="008D20A2">
      <w:pPr>
        <w:spacing w:after="0" w:line="240" w:lineRule="auto"/>
      </w:pPr>
      <w:r>
        <w:separator/>
      </w:r>
    </w:p>
  </w:endnote>
  <w:endnote w:type="continuationSeparator" w:id="0">
    <w:p w:rsidR="00C03C18" w:rsidRDefault="00C03C18" w:rsidP="008D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C18" w:rsidRDefault="00C03C18" w:rsidP="008D20A2">
      <w:pPr>
        <w:spacing w:after="0" w:line="240" w:lineRule="auto"/>
      </w:pPr>
      <w:r>
        <w:separator/>
      </w:r>
    </w:p>
  </w:footnote>
  <w:footnote w:type="continuationSeparator" w:id="0">
    <w:p w:rsidR="00C03C18" w:rsidRDefault="00C03C18" w:rsidP="008D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685" w:rsidRPr="000F7685" w:rsidRDefault="000F7685" w:rsidP="000F7685">
    <w:pPr>
      <w:pStyle w:val="a7"/>
      <w:jc w:val="center"/>
      <w:rPr>
        <w:rFonts w:ascii="Times New Roman" w:hAnsi="Times New Roman"/>
        <w:sz w:val="28"/>
        <w:szCs w:val="28"/>
      </w:rPr>
    </w:pPr>
    <w:r w:rsidRPr="000F7685">
      <w:rPr>
        <w:rFonts w:ascii="Times New Roman" w:hAnsi="Times New Roman"/>
        <w:sz w:val="28"/>
        <w:szCs w:val="28"/>
      </w:rPr>
      <w:t xml:space="preserve"> </w:t>
    </w:r>
    <w:hyperlink r:id="rId1" w:history="1">
      <w:r w:rsidRPr="000F7685">
        <w:rPr>
          <w:rStyle w:val="ac"/>
          <w:rFonts w:ascii="Times New Roman" w:eastAsiaTheme="minorEastAsia" w:hAnsi="Times New Roman"/>
          <w:sz w:val="28"/>
          <w:szCs w:val="28"/>
          <w:lang w:val="en-US"/>
        </w:rPr>
        <w:t>http</w:t>
      </w:r>
      <w:r w:rsidRPr="000F7685">
        <w:rPr>
          <w:rStyle w:val="ac"/>
          <w:rFonts w:ascii="Times New Roman" w:eastAsiaTheme="minorEastAsia" w:hAnsi="Times New Roman"/>
          <w:sz w:val="28"/>
          <w:szCs w:val="28"/>
        </w:rPr>
        <w:t>://</w:t>
      </w:r>
      <w:r w:rsidRPr="000F7685">
        <w:rPr>
          <w:rStyle w:val="ac"/>
          <w:rFonts w:ascii="Times New Roman" w:eastAsiaTheme="minorEastAsia" w:hAnsi="Times New Roman"/>
          <w:sz w:val="28"/>
          <w:szCs w:val="28"/>
          <w:lang w:val="en-US"/>
        </w:rPr>
        <w:t>www</w:t>
      </w:r>
      <w:r w:rsidRPr="000F7685">
        <w:rPr>
          <w:rStyle w:val="ac"/>
          <w:rFonts w:ascii="Times New Roman" w:eastAsiaTheme="minorEastAsia" w:hAnsi="Times New Roman"/>
          <w:sz w:val="28"/>
          <w:szCs w:val="28"/>
        </w:rPr>
        <w:t>..</w:t>
      </w:r>
      <w:r w:rsidRPr="000F7685">
        <w:rPr>
          <w:rStyle w:val="ac"/>
          <w:rFonts w:ascii="Times New Roman" w:eastAsiaTheme="minorEastAsia" w:hAnsi="Times New Roman"/>
          <w:sz w:val="28"/>
          <w:szCs w:val="28"/>
          <w:lang w:val="en-US"/>
        </w:rPr>
        <w:t>ru</w:t>
      </w:r>
      <w:r w:rsidRPr="000F7685">
        <w:rPr>
          <w:rStyle w:val="ac"/>
          <w:rFonts w:ascii="Times New Roman" w:eastAsiaTheme="minorEastAsia" w:hAnsi="Times New Roman"/>
          <w:sz w:val="28"/>
          <w:szCs w:val="28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027"/>
    <w:multiLevelType w:val="hybridMultilevel"/>
    <w:tmpl w:val="CAA24CE4"/>
    <w:lvl w:ilvl="0" w:tplc="17B0F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F0C1B"/>
    <w:multiLevelType w:val="hybridMultilevel"/>
    <w:tmpl w:val="CAA24CE4"/>
    <w:lvl w:ilvl="0" w:tplc="17B0F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5008F8"/>
    <w:multiLevelType w:val="hybridMultilevel"/>
    <w:tmpl w:val="671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07"/>
    <w:rsid w:val="0005796F"/>
    <w:rsid w:val="000F7685"/>
    <w:rsid w:val="000F76E5"/>
    <w:rsid w:val="00117EB4"/>
    <w:rsid w:val="00180F8C"/>
    <w:rsid w:val="001F6CE2"/>
    <w:rsid w:val="002E308B"/>
    <w:rsid w:val="002F5199"/>
    <w:rsid w:val="00334BC6"/>
    <w:rsid w:val="00406857"/>
    <w:rsid w:val="00432253"/>
    <w:rsid w:val="004D43A8"/>
    <w:rsid w:val="0051552D"/>
    <w:rsid w:val="005428CF"/>
    <w:rsid w:val="005F50AF"/>
    <w:rsid w:val="00613D9E"/>
    <w:rsid w:val="006763EF"/>
    <w:rsid w:val="007B7FED"/>
    <w:rsid w:val="00811E5A"/>
    <w:rsid w:val="00813CB6"/>
    <w:rsid w:val="00830B4C"/>
    <w:rsid w:val="00863546"/>
    <w:rsid w:val="008A0AEA"/>
    <w:rsid w:val="008D20A2"/>
    <w:rsid w:val="00954BE0"/>
    <w:rsid w:val="00986EEC"/>
    <w:rsid w:val="009D2F07"/>
    <w:rsid w:val="00A66CED"/>
    <w:rsid w:val="00B30A77"/>
    <w:rsid w:val="00C03C18"/>
    <w:rsid w:val="00C158D8"/>
    <w:rsid w:val="00C511CE"/>
    <w:rsid w:val="00C80187"/>
    <w:rsid w:val="00C85FEB"/>
    <w:rsid w:val="00DC3B14"/>
    <w:rsid w:val="00DF67EF"/>
    <w:rsid w:val="00EC674A"/>
    <w:rsid w:val="00F46926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B7194-CDA2-4850-9A13-361F579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EEC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9D2F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2F0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2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428CF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5428CF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13D9E"/>
    <w:pPr>
      <w:tabs>
        <w:tab w:val="left" w:pos="2977"/>
      </w:tabs>
      <w:spacing w:after="0" w:line="360" w:lineRule="auto"/>
      <w:ind w:firstLine="284"/>
      <w:jc w:val="both"/>
    </w:pPr>
    <w:rPr>
      <w:rFonts w:ascii="Times New Roman" w:hAnsi="Times New Roman"/>
      <w:i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13D9E"/>
    <w:rPr>
      <w:rFonts w:ascii="Times New Roman" w:hAnsi="Times New Roman" w:cs="Times New Roman"/>
      <w:i/>
      <w:snapToGrid w:val="0"/>
      <w:sz w:val="20"/>
      <w:szCs w:val="20"/>
      <w:lang w:val="x-none" w:eastAsia="ru-RU"/>
    </w:rPr>
  </w:style>
  <w:style w:type="paragraph" w:styleId="a4">
    <w:name w:val="Plain Text"/>
    <w:basedOn w:val="a"/>
    <w:link w:val="a5"/>
    <w:uiPriority w:val="99"/>
    <w:rsid w:val="000F76E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0F76E5"/>
    <w:rPr>
      <w:rFonts w:ascii="Courier New" w:hAnsi="Courier New" w:cs="Times New Roman"/>
      <w:sz w:val="20"/>
      <w:szCs w:val="20"/>
      <w:lang w:val="x-none" w:eastAsia="ru-RU"/>
    </w:rPr>
  </w:style>
  <w:style w:type="table" w:styleId="a6">
    <w:name w:val="Table Grid"/>
    <w:basedOn w:val="a1"/>
    <w:uiPriority w:val="59"/>
    <w:rsid w:val="001F6CE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D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D20A2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8D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D20A2"/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8D2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0F76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3231</Words>
  <Characters>18417</Characters>
  <Application>Microsoft Office Word</Application>
  <DocSecurity>0</DocSecurity>
  <Lines>153</Lines>
  <Paragraphs>43</Paragraphs>
  <ScaleCrop>false</ScaleCrop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Whimsical</dc:creator>
  <cp:keywords/>
  <dc:description/>
  <cp:lastModifiedBy>Igor</cp:lastModifiedBy>
  <cp:revision>3</cp:revision>
  <cp:lastPrinted>2010-10-25T01:56:00Z</cp:lastPrinted>
  <dcterms:created xsi:type="dcterms:W3CDTF">2025-02-09T19:59:00Z</dcterms:created>
  <dcterms:modified xsi:type="dcterms:W3CDTF">2025-02-09T19:59:00Z</dcterms:modified>
</cp:coreProperties>
</file>