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0E96" w14:textId="77777777" w:rsidR="00E84687" w:rsidRPr="00E84687" w:rsidRDefault="00E84687" w:rsidP="00E8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14:paraId="12245E32" w14:textId="77777777" w:rsidR="00E84687" w:rsidRPr="00E84687" w:rsidRDefault="00E84687" w:rsidP="00E8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14:paraId="183E6581" w14:textId="77777777" w:rsidR="00E84687" w:rsidRPr="00E84687" w:rsidRDefault="00E84687" w:rsidP="00E8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14:paraId="2CC8C854" w14:textId="77777777" w:rsidR="00E84687" w:rsidRPr="00E84687" w:rsidRDefault="00E84687" w:rsidP="00E8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14:paraId="2DB9F66A" w14:textId="77777777" w:rsidR="00E84687" w:rsidRPr="00E84687" w:rsidRDefault="00E84687" w:rsidP="00E8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14:paraId="522F0750" w14:textId="77777777" w:rsidR="00E84687" w:rsidRPr="00E84687" w:rsidRDefault="00E84687" w:rsidP="00E8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14:paraId="71387ADA" w14:textId="77777777" w:rsidR="00E84687" w:rsidRPr="00E84687" w:rsidRDefault="00E84687" w:rsidP="00E8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14:paraId="1ECDE187" w14:textId="77777777" w:rsidR="00E84687" w:rsidRPr="00E84687" w:rsidRDefault="00E84687" w:rsidP="00E8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14:paraId="5B51B3E9" w14:textId="77777777" w:rsidR="00E84687" w:rsidRPr="00E84687" w:rsidRDefault="00E84687" w:rsidP="00E8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14:paraId="686FD080" w14:textId="77777777" w:rsidR="00E84687" w:rsidRPr="00E84687" w:rsidRDefault="00E84687" w:rsidP="00E8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14:paraId="249EBD0E" w14:textId="77777777" w:rsidR="00E84687" w:rsidRPr="00E84687" w:rsidRDefault="00E84687" w:rsidP="00E8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14:paraId="78C793E8" w14:textId="77777777" w:rsidR="00E84687" w:rsidRPr="00E84687" w:rsidRDefault="00E84687" w:rsidP="00E8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14:paraId="1B82129C" w14:textId="77777777" w:rsidR="00E84687" w:rsidRPr="00E84687" w:rsidRDefault="00E84687" w:rsidP="00E8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14:paraId="6810B0BA" w14:textId="77777777" w:rsidR="00CB559B" w:rsidRPr="00E84687" w:rsidRDefault="00CB559B" w:rsidP="00E84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E8468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Контрольная работа</w:t>
      </w:r>
    </w:p>
    <w:p w14:paraId="6358C967" w14:textId="77777777" w:rsidR="00E84687" w:rsidRPr="00E84687" w:rsidRDefault="00CB559B" w:rsidP="00E84687">
      <w:pPr>
        <w:pStyle w:val="af"/>
        <w:spacing w:before="0" w:line="360" w:lineRule="auto"/>
        <w:ind w:firstLine="709"/>
        <w:jc w:val="center"/>
        <w:rPr>
          <w:rFonts w:ascii="Times New Roman" w:hAnsi="Times New Roman"/>
          <w:color w:val="000000" w:themeColor="text1"/>
        </w:rPr>
      </w:pPr>
      <w:r w:rsidRPr="00E84687">
        <w:rPr>
          <w:rFonts w:ascii="Times New Roman" w:hAnsi="Times New Roman"/>
          <w:color w:val="000000" w:themeColor="text1"/>
          <w:lang w:eastAsia="ru-RU"/>
        </w:rPr>
        <w:br w:type="page"/>
      </w:r>
      <w:bookmarkStart w:id="0" w:name="_Toc259731012"/>
      <w:r w:rsidR="00E84687" w:rsidRPr="00E84687">
        <w:rPr>
          <w:rFonts w:ascii="Times New Roman" w:hAnsi="Times New Roman"/>
          <w:color w:val="000000" w:themeColor="text1"/>
        </w:rPr>
        <w:lastRenderedPageBreak/>
        <w:t>Содержание</w:t>
      </w:r>
    </w:p>
    <w:p w14:paraId="60335B98" w14:textId="77777777" w:rsidR="00E84687" w:rsidRPr="00E84687" w:rsidRDefault="00E84687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4DB4A1" w14:textId="77777777" w:rsidR="00E84687" w:rsidRPr="00E84687" w:rsidRDefault="00E84687" w:rsidP="00E84687">
      <w:pPr>
        <w:pStyle w:val="a5"/>
        <w:suppressAutoHyphens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Введение</w:t>
      </w:r>
    </w:p>
    <w:p w14:paraId="1917593C" w14:textId="77777777" w:rsidR="00E84687" w:rsidRPr="00E84687" w:rsidRDefault="00E84687" w:rsidP="00E84687">
      <w:pPr>
        <w:pStyle w:val="a5"/>
        <w:suppressAutoHyphens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1. Правовое регулирование музейно-выставочной деятельности</w:t>
      </w:r>
    </w:p>
    <w:p w14:paraId="2FC716FC" w14:textId="77777777" w:rsidR="00E84687" w:rsidRPr="00E84687" w:rsidRDefault="00E84687" w:rsidP="00E84687">
      <w:pPr>
        <w:pStyle w:val="a5"/>
        <w:suppressAutoHyphens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2. Международные стандарты в СКСиТ</w:t>
      </w:r>
    </w:p>
    <w:p w14:paraId="03C98044" w14:textId="77777777" w:rsidR="00E84687" w:rsidRPr="00E84687" w:rsidRDefault="00E84687" w:rsidP="00E84687">
      <w:pPr>
        <w:pStyle w:val="a5"/>
        <w:suppressAutoHyphens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Заключение</w:t>
      </w:r>
    </w:p>
    <w:p w14:paraId="644A6573" w14:textId="77777777" w:rsidR="00E84687" w:rsidRPr="00E84687" w:rsidRDefault="00E84687" w:rsidP="00E84687">
      <w:pPr>
        <w:pStyle w:val="a5"/>
        <w:suppressAutoHyphens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Список литературы</w:t>
      </w:r>
    </w:p>
    <w:p w14:paraId="1522E830" w14:textId="77777777" w:rsidR="00E84687" w:rsidRPr="00E84687" w:rsidRDefault="00E84687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323321" w14:textId="77777777" w:rsidR="00CB559B" w:rsidRPr="00E84687" w:rsidRDefault="00E84687" w:rsidP="00E84687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CB559B" w:rsidRPr="00E8468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5BE073F2" w14:textId="77777777" w:rsidR="00E84687" w:rsidRPr="00E84687" w:rsidRDefault="00E84687" w:rsidP="00E84687">
      <w:pPr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4CCCE79A" w14:textId="77777777" w:rsidR="006369B9" w:rsidRPr="00E84687" w:rsidRDefault="006369B9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Правовые аспекты в области музейного дела необходимы для его дальнейшего развития и эволюции. Они закрепляют деятельность и условия регулирования культурных ценностей, а также влияют на отношения музеев с государством, физическими и юридическими лицами.</w:t>
      </w:r>
    </w:p>
    <w:p w14:paraId="6BDDCCDE" w14:textId="77777777" w:rsidR="00E84687" w:rsidRDefault="006369B9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На современном этапе туризм является наиболее динамичной отраслью мировой экономики. Туризм относят к разряду отраслей, которые будут определять мировое экономическое развитие в будущем столетии. Структурная перестройка современного туристского рынка - очевидный процесс. Важно придать ему разумное направление, помочь и поддержать государственной, законодательной и исполнительной властью на федеральном, региональном и местном уровнях.</w:t>
      </w:r>
    </w:p>
    <w:p w14:paraId="37095D41" w14:textId="77777777" w:rsidR="008112E5" w:rsidRDefault="008112E5" w:rsidP="00E8468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 w:eastAsia="ru-RU"/>
        </w:rPr>
      </w:pPr>
    </w:p>
    <w:p w14:paraId="7D4B6325" w14:textId="77777777" w:rsidR="007319BB" w:rsidRPr="008112E5" w:rsidRDefault="00CB559B" w:rsidP="008112E5">
      <w:pPr>
        <w:pStyle w:val="af2"/>
        <w:numPr>
          <w:ilvl w:val="0"/>
          <w:numId w:val="14"/>
        </w:num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lang w:eastAsia="ru-RU"/>
        </w:rPr>
      </w:pPr>
      <w:r w:rsidRPr="008112E5">
        <w:rPr>
          <w:rFonts w:ascii="Times New Roman" w:hAnsi="Times New Roman"/>
          <w:color w:val="000000" w:themeColor="text1"/>
          <w:sz w:val="28"/>
          <w:lang w:eastAsia="ru-RU"/>
        </w:rPr>
        <w:br w:type="page"/>
      </w:r>
      <w:bookmarkStart w:id="1" w:name="_Toc259731013"/>
      <w:r w:rsidR="007319BB" w:rsidRPr="008112E5">
        <w:rPr>
          <w:rFonts w:ascii="Times New Roman" w:hAnsi="Times New Roman"/>
          <w:b/>
          <w:color w:val="000000" w:themeColor="text1"/>
          <w:sz w:val="28"/>
          <w:lang w:eastAsia="ru-RU"/>
        </w:rPr>
        <w:lastRenderedPageBreak/>
        <w:t>Правовое регулирование муз</w:t>
      </w:r>
      <w:r w:rsidRPr="008112E5">
        <w:rPr>
          <w:rFonts w:ascii="Times New Roman" w:hAnsi="Times New Roman"/>
          <w:b/>
          <w:color w:val="000000" w:themeColor="text1"/>
          <w:sz w:val="28"/>
          <w:lang w:eastAsia="ru-RU"/>
        </w:rPr>
        <w:t>ейно - выставочной деятельности</w:t>
      </w:r>
      <w:bookmarkEnd w:id="1"/>
    </w:p>
    <w:p w14:paraId="50278F28" w14:textId="77777777" w:rsidR="008112E5" w:rsidRDefault="008112E5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18ABD02B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Музей стал необходимой составной частью социальной и культурной жизни. Приобщение к общечеловеческим и национальным культурным ценностям является неотъемлемым элементом становления человеческой личности. По выражению Н.А. Бердяева «человек входит в человечество через национальную индивидуальность, как национальный человек». Духовная жизнь общества включает наследие исторического прошлого в качестве своего активного компонента, придает прошлому функции своеобразного аналитика поступков настоящего. К. Ясперс считал, что настоящее совершается на основе исторического прошлого, воздействие которого мы ощущаем на себе. Сейчас в мировой цивилизации обозначился новый этап осмысления культурного наследия. Проблема сохранения и эффективного использования материальных и духовных свидетельств минувшего становится в один ряд с такими глобальными проблемами, как экологическая, демографическая, энергетическая, проблема войны и мира. Императив безусловного сохранения культурного наследия был прочно интегрирован в поведение людей повсеместно в мире на протяжении всей человеческой истории. Стремление к охране своего прошлого - это, в сущности, проявление инстинкта самосохранения человека как вида. Питирим Сорокин усматривал в уважении национальной культуры важнейшее условие, как внутреннего социального мира, так и мира международного. «Когда их (т.е. культурных ценностей) единство, усвоение и гармония ослабевают... увеличиваются шансы международной и гражданской войны».</w:t>
      </w:r>
      <w:r w:rsidR="00E846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>Очевидно, насколько тесно это связано с сегодняшней ситуацией в российском обществе. Разрушение ценностных ориентиров ведет к социальным проблемам, с которыми мы столкнулись сегодня: кризис нравственности и правосознания, социальная нестабильность, и, как следствие, рост преступности, обесценивание человеческой жизни</w:t>
      </w:r>
      <w:r w:rsidR="007C1FC1" w:rsidRPr="00E84687">
        <w:rPr>
          <w:rStyle w:val="a8"/>
          <w:rFonts w:ascii="Times New Roman" w:hAnsi="Times New Roman"/>
          <w:color w:val="000000" w:themeColor="text1"/>
          <w:sz w:val="28"/>
          <w:szCs w:val="28"/>
          <w:vertAlign w:val="baseline"/>
        </w:rPr>
        <w:footnoteReference w:id="1"/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25DC4E9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Музей является связующим элементом в системе культурное наследие — общество. Однако эта связь не может быть идентифицирована однозначно, привязана к одной определенной системе координат. В разные эпохи в понятия «культурное наследие» и «музей» вкладывалось различное содержание, основанное на смене социально-экономической, идеологической и культурно-образовательной парадигм. Важно также учитывать аксиологические установки социума по отношению к культурному наследию и его интерпретации в музее. «Ценность, подобно времени, относительна», - констатирует А. Тойнби.</w:t>
      </w:r>
    </w:p>
    <w:p w14:paraId="3257D678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 xml:space="preserve">Музей является хранителем культурного наследия, транслятором культурно-исторической памяти народа. Длительное время отечественный музей рассматривался как пассивный участник социально-экономических отношений, как организация, нуждающаяся в инвестировании, не способная быть интересным партнером. Такой традиционный взгляд на российский музей популярен и сейчас. Его устойчивость обусловлена в том числе слабой проработанностью гражданско-правового статуса музейных организаций, не позволяющей музеям ярко проявлять себя в социально-экономических отношениях. Этот взгляд не отражает современных тенденций социализации культурной сферы. Музей участвует в формировании вектора развития общества, определяет знаковые элементы духовной сферы, придает им материальное воплощение через свои коллекции. Однако формы участия музея в отношениях во многом зависят от государственной музейной политики. Государство, как наиболее заинтересованный в сохранении культурного наследия субъект, с помощью механизмов правового, экономического регулирования должно создать специфические правила активного поведения музея. Важная роль в государственном регулировании музейной деятельности принадлежит гражданско-правовым нормам. Именно гражданско-правовое законодательство определяет возможности легитимного участия субъекта в социально-экономическом пространстве. Разработка правового статуса музея должна быть направлена на предание 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музею статуса активного, самостоятельного участника общественных отношений. Вторым актуальным направлением государственного регулирования в музейной сфере является разработка гражданско-правового компонента охраны музейных ценностей, как специфических объектов гражданских прав. В связи с либерализацией отношений собственности, развитием негосударственного музейного сектора, включением музейных ценностей в экономический оборот необходимо в законодательстве создать систему норм, регламентирующих этот сегмент отношений.</w:t>
      </w:r>
    </w:p>
    <w:p w14:paraId="6ECB796E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Данная работа посвящена историческим особенностям формирования правового статуса музея в России, анализу юридического статуса отечественных музейных организаций, исследованию возможных путей оптимизации правового регулирования музейной деятельности, гражданско-правовым особенностям оборота музейных ценностей</w:t>
      </w:r>
      <w:r w:rsidR="007C1FC1" w:rsidRPr="00E84687">
        <w:rPr>
          <w:rStyle w:val="a8"/>
          <w:rFonts w:ascii="Times New Roman" w:hAnsi="Times New Roman"/>
          <w:color w:val="000000" w:themeColor="text1"/>
          <w:sz w:val="28"/>
          <w:szCs w:val="28"/>
          <w:vertAlign w:val="baseline"/>
        </w:rPr>
        <w:footnoteReference w:id="2"/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EFE67E0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Степень разработанности проблемы. Вопросы правового обеспечения музеев и музейной деятельности в настоящее время актуальны. Необходимость реформирования культурного сектора осознается не только властными кругами, но и общественностью. Правовые аспекты деятельности культурных организаций в целом, и музеев в частности, составляют ядро новой концепции роли и места организаций культуры в жизни России. Задача правового регулирования - создать реальный, адаптированный к современным условиям механизм правовой интеграции культурных учреждений (в нашем случае музеев) в социальное пространство. Однако проблемы новой организации культурной жизни поднимаются, преимущественно, на страницах публицистической печати, этим вопросам практически не уделяется внимание на научном уровне. Проблема юридической личности музеев, легитимного поведения музеев в пределах правового пространства России до настоящего времени оставалась за рамками научных интересов ученых-правоведов.</w:t>
      </w:r>
    </w:p>
    <w:p w14:paraId="50E3BA0A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lastRenderedPageBreak/>
        <w:t>В 90-е г.г. прошлого века появились работы, в которых анализируются вопросы экономической составляющей деятельности музея. В работах В.Ю. Дукельского, М. Гнедовского, Л.Н. Годуновой анализируются различные аспекты маркетинговой политики музея, исследуются направления экономической деятельности музейных организаций. Музей как субъект экономических отношений, по мнению этих авторов, нуждается в расширении поля экономической деятельности. Исследователи экономических отношений в музейной сфере отмечают отсутствие традиции самостоятельной экономической деятельности музея в России, неразработанность правовой базы для патисипаторного поведения музея в бизнес-отношениях.</w:t>
      </w:r>
    </w:p>
    <w:p w14:paraId="4B64FE47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 xml:space="preserve">В последнее время стала достаточно популярна тема оборота и охраны культурных </w:t>
      </w:r>
      <w:r w:rsidR="00057BE2" w:rsidRPr="00E84687">
        <w:rPr>
          <w:rFonts w:ascii="Times New Roman" w:hAnsi="Times New Roman"/>
          <w:color w:val="000000" w:themeColor="text1"/>
          <w:sz w:val="28"/>
          <w:szCs w:val="28"/>
        </w:rPr>
        <w:t>ценностей. Работы А.П. Сергеева, Д.В. Мазеина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>, Н.В. Михайловой посвящены культурным ценностям как специфическим объектам гражданских прав. Авторы анализируют особенности правоотношений, возникающих по поводу культурных ценностей. Особое место во всех работах занимают вопросы их гражданско-правовой охраны. Работа А.П. Сергеева сохраняет свою значимость и как труд, в котором имеется теоретическое обоснование ряда правовых дефиниций (культурная ценность, памятник истории и культуры и другие), раскрываются традиционные для нашей правовой системы механизмы регулирования общественных отношений в сфере оборота культурных ценностей. Книга имеет научный интерес как правовое исследование пограничных с музейными отношений, была использована для формирования методики юриди ческого анализа настоящего исследования. Р.Б. Булатов,</w:t>
      </w:r>
      <w:r w:rsidR="00057BE2" w:rsidRPr="00E84687">
        <w:rPr>
          <w:rFonts w:ascii="Times New Roman" w:hAnsi="Times New Roman"/>
          <w:color w:val="000000" w:themeColor="text1"/>
          <w:sz w:val="28"/>
          <w:szCs w:val="28"/>
        </w:rPr>
        <w:t xml:space="preserve"> Л.И. Вилков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 xml:space="preserve"> исследуют международно-правовые акты, посвященные охране культурных ценностей, возможность применения международного опыта в этой сфере.</w:t>
      </w:r>
    </w:p>
    <w:p w14:paraId="7C7BD22A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В цивилистической науке ряд работ посвящен исследованию правового статуса некоммерческих организаций. В работ</w:t>
      </w:r>
      <w:r w:rsidR="00057BE2" w:rsidRPr="00E84687">
        <w:rPr>
          <w:rFonts w:ascii="Times New Roman" w:hAnsi="Times New Roman"/>
          <w:color w:val="000000" w:themeColor="text1"/>
          <w:sz w:val="28"/>
          <w:szCs w:val="28"/>
        </w:rPr>
        <w:t>ах Н.В. Козловой, О. П. Кашков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 xml:space="preserve">ского, Е.А. Абросимовой и других исследуются вопросы 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lastRenderedPageBreak/>
        <w:t>юридической личности некоммерческих организаций, пределы их правоспособности, способы участия в г</w:t>
      </w:r>
      <w:r w:rsidR="00057BE2" w:rsidRPr="00E84687">
        <w:rPr>
          <w:rFonts w:ascii="Times New Roman" w:hAnsi="Times New Roman"/>
          <w:color w:val="000000" w:themeColor="text1"/>
          <w:sz w:val="28"/>
          <w:szCs w:val="28"/>
        </w:rPr>
        <w:t>ражданско-правовых отношениях.</w:t>
      </w:r>
      <w:r w:rsidR="00E846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>И.В. Ершова, Г.Б. Леонова, Ю.Г. Лескова, и другие анализируют особенности организационно-правовой формы «учреждение», специфику вещного права — оперативного управления. Акцент в этих работах сделан на исследовании правовых возможностей, содержащихся в конструкциях «учреждение» и «оперативное управление». По мнению авторов гражданско-правовой статус учреждений нуждается в дополнительной правовой разработке, конкретизации.</w:t>
      </w:r>
    </w:p>
    <w:p w14:paraId="353A966F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В настоящем исследовании использовались работы по истории музейного дела в России. В работах A.M. Разгон на основе архивных данных анализировался процесс становления музейной сети, формирования официального государственного интереса к сохранению исторического прошлого в дореволюционной России. Сборник «Музей и власть» объединил в себе статьи, посвященные анализу взаимоотношений отечественной государственной власти и музея как института культу</w:t>
      </w:r>
      <w:r w:rsidR="00057BE2" w:rsidRPr="00E84687">
        <w:rPr>
          <w:rFonts w:ascii="Times New Roman" w:hAnsi="Times New Roman"/>
          <w:color w:val="000000" w:themeColor="text1"/>
          <w:sz w:val="28"/>
          <w:szCs w:val="28"/>
        </w:rPr>
        <w:t>ры в течение XVI</w:t>
      </w:r>
      <w:r w:rsidR="00057BE2" w:rsidRPr="00E84687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057BE2" w:rsidRPr="00E84687">
        <w:rPr>
          <w:rFonts w:ascii="Times New Roman" w:hAnsi="Times New Roman"/>
          <w:color w:val="000000" w:themeColor="text1"/>
          <w:sz w:val="28"/>
          <w:szCs w:val="28"/>
        </w:rPr>
        <w:t xml:space="preserve"> -XX веков. 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>Эти идеологически корректные, основанные на первоисточниках исследования, дают научное представление о том, как обстояли дела в сфере функционирования музеев с момента их появления в России до современного этапа. Спецификой вышеназванных работ является то, что, несмотря на использование в них нормативного материала, они не содержат юридического анализа законов и подзаконных актов Российской империи и СССР. Авторы не ставили себе эту задачу. Их работа ограничивалась политологическими и историческими аспектами. Разработка и конкретизация понятийного аппарата (музей, памятник истории и культуры, наследие, музейная коллекция), правовые методы защиты музейных ценностей, правовой статус музея и так далее, то есть то, что является предметом юридического анализа, осталось за пределами внимания исследователей музейного дела в СССР.</w:t>
      </w:r>
    </w:p>
    <w:p w14:paraId="23A9FFDC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Современное иностранное музееведение уделяет серьезное внимание политико-правовому регулированию своих национальных музейных систем. Зарубежные музеи изначально были достаточно самостоятельными организациями. Государства Европы и США наработали заслуживающую внимания практику нормативного регулирования музейной сферы. Использование международного и зарубежного опыта полезно для построения адекватного правового регулирования отечественного музейного сек тора, позволит избежать ошибок, совершенных иностранными государствами при реализации ими музейного законодательства.</w:t>
      </w:r>
    </w:p>
    <w:p w14:paraId="4BC9651A" w14:textId="77777777" w:rsidR="00CB559B" w:rsidRPr="00E84687" w:rsidRDefault="00057BE2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B559B" w:rsidRPr="00E84687">
        <w:rPr>
          <w:rFonts w:ascii="Times New Roman" w:hAnsi="Times New Roman"/>
          <w:color w:val="000000" w:themeColor="text1"/>
          <w:sz w:val="28"/>
          <w:szCs w:val="28"/>
        </w:rPr>
        <w:t>ыносятся следующие положения:</w:t>
      </w:r>
    </w:p>
    <w:p w14:paraId="0838698B" w14:textId="77777777" w:rsidR="00CB559B" w:rsidRPr="00E84687" w:rsidRDefault="00CB559B" w:rsidP="00E84687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Правовое регулирование музейного дела в России складывалось под воздействием специфических национальных черт политико-правовой сферы. Правовые трансформации в музейной сфере обусловлены изменениями в правовой доктрине российского государства, эволюцией государственности в целом. Историко-правовое наследие предопределило особенности правового статуса музейных организаций и правового режима музейных ценностей в настоящее время.</w:t>
      </w:r>
    </w:p>
    <w:p w14:paraId="7735BDD4" w14:textId="77777777" w:rsidR="00E84687" w:rsidRDefault="00CB559B" w:rsidP="00E84687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Регулирование отношений в музейной сфере нуждается в оформлении новой системой нормативных актов, состоящей из двух законов: о музеях в Российской Федерации и о музейных ценностях в Российской Федерации, а также из принятых в соответствии с ними подзаконных актов.</w:t>
      </w:r>
    </w:p>
    <w:p w14:paraId="63C06107" w14:textId="77777777" w:rsidR="00CB559B" w:rsidRPr="00E84687" w:rsidRDefault="00CB559B" w:rsidP="00E84687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 xml:space="preserve">В законе о музеях в нормативной дефиниции термина «музей» предлагается закрепить альтернативность организационно-правовых форм музейных организаций, разрешить создавать музеи в формах автономных учреждений, фондов, автономных некоммерческих организаций. Новая организационно — правовая форма «автономное учреждение» должна быть предусмотрена законом «О некоммерческих организациях». Автономным учреждением предлагается признать организацию, созданную собственником для осуществления общественно полезной деятельности в том числе 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lastRenderedPageBreak/>
        <w:t>социальной, культурной, образовательной и частично финансируемую им для достижения уставных целей.</w:t>
      </w:r>
    </w:p>
    <w:p w14:paraId="665742DA" w14:textId="77777777" w:rsidR="00CB559B" w:rsidRPr="00E84687" w:rsidRDefault="00CB559B" w:rsidP="00E84687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Новый законодательный подход к конструкции «музей» заключается в расширении содержания этого понятия. Музеем предлагается признавать организацию, имеющую особый способ участия в социально-экономической и культурной жизни России. Предлагается ввести в научно-правовой оборот, включить в текст закона о музеях следующую дефиницию термина «музей»: Музей - это некоммерческая организация, призванная служить обществу и способствовать его духовному развитию, доступная широкой публике, занимающаяся исследовательской работой, созданная в целях изучения, сохранения материальных ценностей народов и их окружения, образования, развлечения граждан. Под это определение должны подпадать не только музейные организации в привычном для нас понимании этого термина, но и зоологические и ботанические сады, музеи — заповедники, музеи - города, иные аналогичные организации.</w:t>
      </w:r>
    </w:p>
    <w:p w14:paraId="3CAC81F5" w14:textId="77777777" w:rsidR="00CB559B" w:rsidRPr="00E84687" w:rsidRDefault="00CB559B" w:rsidP="00E84687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Социальная роль музея обуславливается его целевой правоспособностью. Интеграция музея в социальное пространство обеспечивается расширением целей его создания и, как следствие, предоставлением дополнительных возможностей участия в гражданско-правовых отношениях. В законе о музеях необходимо установить следующие цели создания музеев</w:t>
      </w:r>
      <w:r w:rsidR="007C1FC1" w:rsidRPr="00E84687">
        <w:rPr>
          <w:rStyle w:val="a8"/>
          <w:rFonts w:ascii="Times New Roman" w:hAnsi="Times New Roman"/>
          <w:color w:val="000000" w:themeColor="text1"/>
          <w:sz w:val="28"/>
          <w:szCs w:val="28"/>
          <w:vertAlign w:val="baseline"/>
        </w:rPr>
        <w:footnoteReference w:id="3"/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10268E6" w14:textId="77777777" w:rsidR="00CB559B" w:rsidRPr="00E84687" w:rsidRDefault="00CB559B" w:rsidP="00E84687">
      <w:pPr>
        <w:pStyle w:val="a5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хранение, выявление, изучение музейных ценностей;</w:t>
      </w:r>
    </w:p>
    <w:p w14:paraId="147F11AE" w14:textId="77777777" w:rsidR="00CB559B" w:rsidRPr="00E84687" w:rsidRDefault="00CB559B" w:rsidP="00E84687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сохранение, восстановление, изучение культурного, природного наследия;</w:t>
      </w:r>
    </w:p>
    <w:p w14:paraId="69D5F6AE" w14:textId="77777777" w:rsidR="00CB559B" w:rsidRPr="00E84687" w:rsidRDefault="00CB559B" w:rsidP="00E84687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осуществление социальной коммуникации посредством осуществления экспозиционно-выставочной, издательской, образовательной, просветительской иной форм деятельности;</w:t>
      </w:r>
    </w:p>
    <w:p w14:paraId="50657370" w14:textId="77777777" w:rsidR="00CB559B" w:rsidRPr="00E84687" w:rsidRDefault="00CB559B" w:rsidP="00E84687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осуществление научно — исследовательской деятельности</w:t>
      </w:r>
    </w:p>
    <w:p w14:paraId="5F0A5DB0" w14:textId="77777777" w:rsidR="00CB559B" w:rsidRPr="00E84687" w:rsidRDefault="00CB559B" w:rsidP="00E84687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организация досуга граждан с целью удовлетворения их духовных потребностей</w:t>
      </w:r>
    </w:p>
    <w:p w14:paraId="2BB90626" w14:textId="77777777" w:rsidR="00CB559B" w:rsidRPr="00E84687" w:rsidRDefault="00CB559B" w:rsidP="00E84687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развитие идей патриотизма, развитие и сохранение национальных культур народов России,</w:t>
      </w:r>
    </w:p>
    <w:p w14:paraId="742DB824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6. Российский музей нуждается в государственном патронаже, состоящем, в том числе в создании особого механизма финансовой поддержки музейных организаций. Обосновывается необходимость включения в закон о музеях правовых норм, посвященных взаимодействию государства и музейных организаций. Закон о музеях должен содержать: во-первых, гарантии государственной поддержки музеев, как организаций, осуществляющих государственно-значимое дело: сохранение культурного наследия, его популяризацию в обществе. Во-вторых, формы государственной поддержки музейных организаций (финансовое обеспечение, налоговые льготы, создание специальных компонентов в государственных программах развития культуры). В-третьих, перечень направлений деятельности музеев, которые должны быть обеспечены государственным финансированием.</w:t>
      </w:r>
    </w:p>
    <w:p w14:paraId="18FE4334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7. Показано, что для музея, выбравшего путь активного участника общественных отношений, важно иметь определенный уровень свободы в осуществлении своей деятельности. Мотивировано, что для музея критерием правомерности использования переданного ему имущества должно стать соответствие целям создания. Обосновывается необходимость установления для музея, созданного в форме автономного учреждения, нового вещного права: права целевого использования имущества, в содержание которого должно входить право владения, пользования и распоряжения имуществом в соответствии с целями создания организации.</w:t>
      </w:r>
    </w:p>
    <w:p w14:paraId="6D64DAC2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 xml:space="preserve">8. Культурные ценности являются особым объектом гражданских прав. В Гражданский кодекс Российской Федерации (далее - ГК РФ) предлагается включить статью 136.1, посвященную культурным ценностям следующего содержания: «Культурными ценностями считаются движимые и недвижимые 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объекты, которые являются выражением или свидетельством творчества человека или эволюции природы, созданные не менее 100 лет назад.</w:t>
      </w:r>
    </w:p>
    <w:p w14:paraId="51293F82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Уникальные объекты творчества человека, созданные менее 100 лет назад могут быть отнесены к культурным ценностям, в случае их особого исторического, художественного, научного или технического значения, устанавливаемого на основании экспертного заключения.</w:t>
      </w:r>
    </w:p>
    <w:p w14:paraId="367641F5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В случаях, предусмотренных законом, к культурным ценностям могут относится коллекции и уникальные отдельные объекты живого мира (флоры и фауны).</w:t>
      </w:r>
    </w:p>
    <w:p w14:paraId="71CD24C6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Правила оборота отдельных видов культурных ценностей устанавливаются законом.</w:t>
      </w:r>
    </w:p>
    <w:p w14:paraId="6608B8C9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Сделки в отношении культурных ценностей должны заключаться в письменной форме, если законом не предусмотрена иная форма сделки. Сделки, заключенные с нарушением установленного порядка, являются ничтожными».</w:t>
      </w:r>
    </w:p>
    <w:p w14:paraId="77A5F6C5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Унифицированный подход к определению круга объектов - культурных ценностей, оборот которых должен осуществляться с учетом предлагаемых правил позволит создать усовершенствованный гражданско-правовой механизм их участия в правоотношениях и их защиты.</w:t>
      </w:r>
    </w:p>
    <w:p w14:paraId="34F8D828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9. Предложен новый термин, обозначающий музеефицированные объекты - музейные ценности. Предлагается в закон о музейных ценностях включить дефиницию термина «музейные ценности» следующего содержания: «Музейными ценностями (музейным предметом и музейной коллекцией) считаются музеефицированные культурные ценности, иные объекты, хранящиеся в музеях и являющиеся частью их экспонируемых фондов, представляющие научный, историко-просветительский, учебно-воспитательный интерес. Музейные ценности являются культурным ценностями федерального значения».</w:t>
      </w:r>
    </w:p>
    <w:p w14:paraId="49894249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 xml:space="preserve">10. Система гражданско-правовых норм, посвященных обороту музейных ценностей, создает механизм их участия в общественных 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отношениях, служит способом их защиты и сохранности. С этой целью предлагается изменить абзац первый статьи 240 ГК РФ, изложить его в следующей редакции: «В случаях, когда собственник культурных ценностей бесхозяйственно содержит их, что грозит утратой ими своего значения, такие ценности могут быть изъяты у собственника путем выкупа государством и продажи с публичных торгов». Такая формулировка позволит распространить механизм защиты от бесхозяйственного содержания на все культурные ценности, а не только на их особо ценные объекты.</w:t>
      </w:r>
    </w:p>
    <w:p w14:paraId="31C0B67F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Предлагается включить норму о праве государства (как наилучшего публичного собственника) преимущественной покупки культурных ценностей в главу 14 «Приобретение права собственности» ГК РФ, дополнив пункт 2 статьи 218 ГК РФ «Основания приобретения права собственности» четвертым абзацем: «Государству принадлежит право преимущественного приобретения культурных ценностей, в порядке, определенном действующим законодательством».</w:t>
      </w:r>
    </w:p>
    <w:p w14:paraId="49260705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Мотивируется, что социализация музейных ценностей допустима путем распространения на них арендных отношений. Предлагается назвать в качестве объектов аренды в статье 607 ГК РФ «Объекты аренды» музейные ценности. В законе о музейных ценностях должны быть нормы, предоставляющие музеям право сдавать в аренду музейные ценности другим организациям.</w:t>
      </w:r>
    </w:p>
    <w:p w14:paraId="52E81F56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Обосновано, что в закон о музейных ценностях необходимо включить специальные нормы, посвященные правилам совершения сделок с музейными ценностями. В частности: сделки с музейными ценностями, совершенные без разрешения Федерального агентства по культуре и кинематографии должны рассматриваться как оспоримые. В закон о музейных ценностях необходимо включить норму об антисоциальном характере сделок с музейными ценностями, не прошедшими государственную регистрацию, распространить на них правила, предусмотренные ст. 169 ГК РФ.</w:t>
      </w:r>
    </w:p>
    <w:p w14:paraId="2E06FBE3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lastRenderedPageBreak/>
        <w:t>Научная и практическая значимость диссертации определяется расширением представлений о специфике гражданско-правовых отношений в музейной сфере современной России и возможностью выделения новых акцентов в музейном правовом поле. Настоящая работа является первым и пока единственным гражданско-правовым в частности и правовым в целом научным исследованием отношений в музейной сфере. В работе показаны особые способы участия музея в гражданско-правовых отношениях, значение гражданско-правового регулирования в деятельности музейных организаций.</w:t>
      </w:r>
    </w:p>
    <w:p w14:paraId="5CF9FE8B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Работа содержит рекомендации по оптимизации деятельности музейных организаций в рамках дозволенного легитимного пространства.</w:t>
      </w:r>
    </w:p>
    <w:p w14:paraId="7DA6F47B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Настоящее исследование дает возможность внести коррективы в действующее законодательство, регулирующее музейную деятельность, позволяет расширить круг отношений, подпадающих под действие норм музейного законодательства.</w:t>
      </w:r>
    </w:p>
    <w:p w14:paraId="08FE18A9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Собранный материал использован при разработке специальных учебных курсов, посвященных правовому обеспечению музейного дела, музейному менеджменту, охране культурного наследия России.</w:t>
      </w:r>
    </w:p>
    <w:p w14:paraId="1704B62E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Апробация результатов исследования. Основные положения работы были изложены в опубликованных 10 научных статьях, 2 монографиях и выступлениях на научно-практических семинарах с музейными работниками, внутривузовских, межрегиональных, международных конференциях.</w:t>
      </w:r>
    </w:p>
    <w:p w14:paraId="2ACDD1B0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Структура диссертационной работы определяется логикой анализа и содержанием излагаемого материала. Диссертация состоит из введения, трех глав, подразделенных на параграфы, заключения, библиографического списка, двух приложений</w:t>
      </w:r>
      <w:r w:rsidR="00057BE2" w:rsidRPr="00E846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4F211A6" w14:textId="77777777" w:rsidR="00CB559B" w:rsidRPr="00E84687" w:rsidRDefault="00CB559B" w:rsidP="00E8468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eastAsia="ru-RU"/>
        </w:rPr>
      </w:pPr>
    </w:p>
    <w:p w14:paraId="459BD66F" w14:textId="77777777" w:rsidR="007319BB" w:rsidRPr="00670597" w:rsidRDefault="00CB559B" w:rsidP="0067059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lang w:eastAsia="ru-RU"/>
        </w:rPr>
      </w:pPr>
      <w:r w:rsidRPr="00E84687">
        <w:rPr>
          <w:rFonts w:ascii="Times New Roman" w:hAnsi="Times New Roman"/>
          <w:color w:val="000000" w:themeColor="text1"/>
          <w:sz w:val="28"/>
          <w:lang w:eastAsia="ru-RU"/>
        </w:rPr>
        <w:br w:type="page"/>
      </w:r>
      <w:bookmarkStart w:id="2" w:name="_Toc259731014"/>
      <w:r w:rsidR="007319BB" w:rsidRPr="00670597">
        <w:rPr>
          <w:rFonts w:ascii="Times New Roman" w:hAnsi="Times New Roman"/>
          <w:b/>
          <w:color w:val="000000" w:themeColor="text1"/>
          <w:sz w:val="28"/>
          <w:lang w:eastAsia="ru-RU"/>
        </w:rPr>
        <w:lastRenderedPageBreak/>
        <w:t>2. Международные стандарты в СКСиТ</w:t>
      </w:r>
      <w:bookmarkEnd w:id="2"/>
    </w:p>
    <w:p w14:paraId="067E44F5" w14:textId="77777777" w:rsidR="00670597" w:rsidRDefault="00670597" w:rsidP="00E84687">
      <w:pPr>
        <w:pStyle w:val="a5"/>
        <w:tabs>
          <w:tab w:val="left" w:pos="2977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5281C4F" w14:textId="77777777" w:rsidR="00CB559B" w:rsidRPr="00E84687" w:rsidRDefault="00CB559B" w:rsidP="00E84687">
      <w:pPr>
        <w:pStyle w:val="a5"/>
        <w:tabs>
          <w:tab w:val="left" w:pos="2977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Международно-правовое регулирование туризма и туристических услуг основывается на международных договорах и международных обычаях, а также актах специализированных международных организаций.</w:t>
      </w:r>
    </w:p>
    <w:p w14:paraId="5ED2CA1B" w14:textId="77777777" w:rsidR="00CB559B" w:rsidRPr="00E84687" w:rsidRDefault="00CB559B" w:rsidP="00E84687">
      <w:pPr>
        <w:pStyle w:val="a5"/>
        <w:tabs>
          <w:tab w:val="left" w:pos="2977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Можно выделить следующие многосторонние международные договора</w:t>
      </w:r>
      <w:r w:rsidRPr="00E84687">
        <w:rPr>
          <w:rStyle w:val="a8"/>
          <w:rFonts w:ascii="Times New Roman" w:hAnsi="Times New Roman"/>
          <w:color w:val="000000" w:themeColor="text1"/>
          <w:sz w:val="28"/>
          <w:szCs w:val="28"/>
          <w:vertAlign w:val="baseline"/>
        </w:rPr>
        <w:footnoteReference w:id="4"/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7A04B9E" w14:textId="77777777" w:rsidR="00E84687" w:rsidRDefault="00CB559B" w:rsidP="00670597">
      <w:pPr>
        <w:pStyle w:val="a5"/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Международный пакт об экономических, социальных и культурных правах от 16 декабря 1966 года;</w:t>
      </w:r>
    </w:p>
    <w:p w14:paraId="3B81D61F" w14:textId="77777777" w:rsidR="00E84687" w:rsidRDefault="00CB559B" w:rsidP="00670597">
      <w:pPr>
        <w:pStyle w:val="a5"/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Всеобщая декларация прав человека от 10 декабря 1948 года;</w:t>
      </w:r>
    </w:p>
    <w:p w14:paraId="7F004869" w14:textId="77777777" w:rsidR="00E84687" w:rsidRDefault="00CB559B" w:rsidP="00670597">
      <w:pPr>
        <w:pStyle w:val="a5"/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Конвенция о таможенных льготах для туризма от 4 июля 1954 года и соответствующий, Протокол к ней (Дополнительный протокол к Конвенции о таможенных льготах для туристов, касающийся ввоза относящихся к туризму осведомительных документов и материалов (Нью-Йорк, 4 июня 1954 г.));</w:t>
      </w:r>
    </w:p>
    <w:p w14:paraId="48E6EC97" w14:textId="77777777" w:rsidR="00E84687" w:rsidRDefault="00CB559B" w:rsidP="00670597">
      <w:pPr>
        <w:pStyle w:val="a5"/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Международный пакт о гражданских и политических правах от 16 декабря 1966 года;</w:t>
      </w:r>
    </w:p>
    <w:p w14:paraId="5E0F2DDA" w14:textId="77777777" w:rsidR="00CB559B" w:rsidRPr="00E84687" w:rsidRDefault="00CB559B" w:rsidP="00670597">
      <w:pPr>
        <w:pStyle w:val="a5"/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Конвенция о защите мирового культурного и природного наследия от 23 ноября 1972 года;</w:t>
      </w:r>
    </w:p>
    <w:p w14:paraId="075EEB9A" w14:textId="77777777" w:rsidR="00E84687" w:rsidRDefault="00CB559B" w:rsidP="00670597">
      <w:pPr>
        <w:pStyle w:val="a5"/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Генеральное соглашение по торговле и услугам от 15 апреля 1994 года;</w:t>
      </w:r>
    </w:p>
    <w:p w14:paraId="5F811988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Следующий источник международного туристского права – это международные двухсторонние договора. С участием Российской Федерации в настоящее время действует более 40 межправительственных двусторонних соглашений о сотрудничестве в области туризма, в том числе с Италией, Болгарией, Францией, Кипром, Австрией, Испанией, Китаем, Кубой, Тунисом, Коста-Рикой, Бразилией, Таиландом</w:t>
      </w:r>
      <w:r w:rsidRPr="00E84687">
        <w:rPr>
          <w:rStyle w:val="a8"/>
          <w:rFonts w:ascii="Times New Roman" w:hAnsi="Times New Roman"/>
          <w:color w:val="000000" w:themeColor="text1"/>
          <w:sz w:val="28"/>
          <w:szCs w:val="28"/>
          <w:vertAlign w:val="baseline"/>
        </w:rPr>
        <w:footnoteReference w:id="5"/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6BD6526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lastRenderedPageBreak/>
        <w:t>Широкое развитие туристских связей обусловило объективную необходимость создания специализированных международных организаций. Исследователи выделяют следующие причины создание специализированных организаций</w:t>
      </w:r>
      <w:r w:rsidRPr="00E84687">
        <w:rPr>
          <w:rStyle w:val="a8"/>
          <w:rFonts w:ascii="Times New Roman" w:hAnsi="Times New Roman"/>
          <w:color w:val="000000" w:themeColor="text1"/>
          <w:sz w:val="28"/>
          <w:szCs w:val="28"/>
          <w:vertAlign w:val="baseline"/>
        </w:rPr>
        <w:footnoteReference w:id="6"/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ADE4E7A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Во-первых, бурный рост туризма, сложность складывающихся отношений, многостороннее влияние, оказываемое туризмом на международные отношения.</w:t>
      </w:r>
    </w:p>
    <w:p w14:paraId="1D7578E9" w14:textId="77777777" w:rsid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Во-вторых, развитие международного туризма государства находится на разных уровнях, а поэтому имеющиеся там национальные органы по туризму обладают весьма неодинаковым объемом прав и полномочий.</w:t>
      </w:r>
    </w:p>
    <w:p w14:paraId="3EAC4D46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Итак, в настоящее время одной из, пожалуй, самых эффективных форм координации усилий государств по развитию сотрудничества в сфере туризма является деятельность международных туристских организаций.</w:t>
      </w:r>
    </w:p>
    <w:p w14:paraId="731D4CF8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В юридической литературе такие организации подразделяют на два основных вида:</w:t>
      </w:r>
    </w:p>
    <w:p w14:paraId="461EBE6E" w14:textId="77777777" w:rsidR="00CB559B" w:rsidRPr="00E84687" w:rsidRDefault="00CB559B" w:rsidP="00E84687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всемирные организации;</w:t>
      </w:r>
    </w:p>
    <w:p w14:paraId="247C5103" w14:textId="77777777" w:rsidR="00CB559B" w:rsidRPr="00E84687" w:rsidRDefault="00CB559B" w:rsidP="00E84687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региональные организации.</w:t>
      </w:r>
    </w:p>
    <w:p w14:paraId="503CABC4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К всемирным организациям относятся Организация Объединенных Наций (ООН) и Всемирная туристская организация (ВТО).</w:t>
      </w:r>
    </w:p>
    <w:p w14:paraId="42966993" w14:textId="77777777" w:rsid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ООН была создана в 1945г. и функционирует на основании Устава ООН, принятого в том же году странами – участницами Сан-Францисской конференции. Помимо выполнения многих функций эта крупнейшая международная организация является координатором деятельности государств и национальных туристских администраций в области туризма и международных путешествий.</w:t>
      </w:r>
    </w:p>
    <w:p w14:paraId="1F5D1168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 xml:space="preserve">Одной из эффективных форм координации деятельности является проведение международных конференций и совещаний, на которых обсуждаются и принимаются документы, содержащие различные 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рекомендации по международному сотрудничеству в сфере туризма. Принятые ООН резолюции включают в себя вопросы по:</w:t>
      </w:r>
    </w:p>
    <w:p w14:paraId="507196ED" w14:textId="77777777" w:rsidR="00CB559B" w:rsidRPr="00E84687" w:rsidRDefault="00CB559B" w:rsidP="00E84687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упрощению туристских формальностей;</w:t>
      </w:r>
    </w:p>
    <w:p w14:paraId="30B7DB43" w14:textId="77777777" w:rsidR="00CB559B" w:rsidRPr="00E84687" w:rsidRDefault="00CB559B" w:rsidP="00E84687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правовому регулированию положения иностранных туристов;</w:t>
      </w:r>
    </w:p>
    <w:p w14:paraId="18637907" w14:textId="77777777" w:rsidR="00CB559B" w:rsidRPr="00E84687" w:rsidRDefault="00CB559B" w:rsidP="00E84687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обеспечению безопасности туристов и их имущества;</w:t>
      </w:r>
    </w:p>
    <w:p w14:paraId="3B26B34C" w14:textId="77777777" w:rsidR="00CB559B" w:rsidRPr="00E84687" w:rsidRDefault="00CB559B" w:rsidP="00E84687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техническому сотрудничеству в области международного туризма, а также по ряду других аспектов межгосударственного сотрудничества в сфере туризма.</w:t>
      </w:r>
    </w:p>
    <w:p w14:paraId="56B93576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Правовым регулированием мирового туризма, а также изучением национального законодательства государств по данному вопросу в ООН занимаются не только ее главные органы, но и вспомогательные, в первую очередь экономические комиссии ООН, осуществляющие работу по проблемам развития регионального туризма.</w:t>
      </w:r>
    </w:p>
    <w:p w14:paraId="1A44DB51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 xml:space="preserve">Следующий орган - </w:t>
      </w:r>
      <w:r w:rsidRPr="00E84687">
        <w:rPr>
          <w:rFonts w:ascii="Times New Roman" w:hAnsi="Times New Roman"/>
          <w:iCs/>
          <w:color w:val="000000" w:themeColor="text1"/>
          <w:sz w:val="28"/>
          <w:szCs w:val="28"/>
        </w:rPr>
        <w:t>Европейская экономическая комиссия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 xml:space="preserve"> (ЕЭК). В разветвленной системе разнообразных комитетов и других вспомогательных органов ЕЭК обсуждаются конкретные вопросы туристской деятельности, в том числе развития и совершенствования сферы туристских услуг; организации текущего контроля операций, специальных исследований и анализа изменений, происходящих на различных рынках туризма; обеспечения финансовых стимулов для развития туризма; контроля операций и формулирования политики авиакомпаний, судоходных и автодорожных компаний и агентств, занимающихся обслуживанием туристов; таможенных формальностей в отношении туристов как въезжающих в данную страну из-за границы, так и выезжающих из нее. ЕЭК также занимается разработкой вопросов статистики туризма.</w:t>
      </w:r>
    </w:p>
    <w:p w14:paraId="5E9E7808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В рамках ООН действует ряд региональных комиссий, связанных с международным туризмом:</w:t>
      </w:r>
      <w:r w:rsidRPr="00E84687">
        <w:rPr>
          <w:rStyle w:val="a8"/>
          <w:rFonts w:ascii="Times New Roman" w:hAnsi="Times New Roman"/>
          <w:color w:val="000000" w:themeColor="text1"/>
          <w:sz w:val="28"/>
          <w:szCs w:val="28"/>
          <w:vertAlign w:val="baseline"/>
        </w:rPr>
        <w:footnoteReference w:id="7"/>
      </w:r>
    </w:p>
    <w:p w14:paraId="006FC14C" w14:textId="77777777" w:rsidR="00E84687" w:rsidRDefault="00CB559B" w:rsidP="00E84687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iCs/>
          <w:color w:val="000000" w:themeColor="text1"/>
          <w:sz w:val="28"/>
          <w:szCs w:val="28"/>
        </w:rPr>
        <w:t>Экономическая комиссия для Латинской Америки и Карибского района (ЭКЛАК).</w:t>
      </w:r>
    </w:p>
    <w:p w14:paraId="5A5733C9" w14:textId="77777777" w:rsidR="00E84687" w:rsidRDefault="00CB559B" w:rsidP="00E84687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Экономическая комиссия для Западной Азии</w:t>
      </w:r>
      <w:r w:rsidRPr="00E8468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(ЭКЗА)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E6A822E" w14:textId="77777777" w:rsidR="00E84687" w:rsidRDefault="00CB559B" w:rsidP="00E84687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Экономическая и социальная комиссия для Азии и Тихого океана (ЭСКАТО).</w:t>
      </w:r>
    </w:p>
    <w:p w14:paraId="3711140D" w14:textId="77777777" w:rsidR="00CB559B" w:rsidRPr="00E84687" w:rsidRDefault="00CB559B" w:rsidP="00E84687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iCs/>
          <w:color w:val="000000" w:themeColor="text1"/>
          <w:sz w:val="28"/>
          <w:szCs w:val="28"/>
        </w:rPr>
        <w:t>Экономическая комиссия для Африки (ЭКА).</w:t>
      </w:r>
    </w:p>
    <w:p w14:paraId="253AFB6F" w14:textId="77777777" w:rsid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Флагманом международного туризма - является Всемирная туристская организация (ВТО, с 2005 года ЮНВТО). Всемирная туристская организация является международной организацией межправительственного характера, созданной с целью содействия развитию туризма. Цели, задачи и организационное строение закреплено в Уставе. Устав ВТО является межгосударственным договором, принятым в Мехико 27 сентября 1970г.</w:t>
      </w:r>
      <w:r w:rsidRPr="00E84687">
        <w:rPr>
          <w:rStyle w:val="a8"/>
          <w:rFonts w:ascii="Times New Roman" w:hAnsi="Times New Roman"/>
          <w:color w:val="000000" w:themeColor="text1"/>
          <w:sz w:val="28"/>
          <w:szCs w:val="28"/>
          <w:vertAlign w:val="baseline"/>
        </w:rPr>
        <w:footnoteReference w:id="8"/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 xml:space="preserve"> и ратифицированным 51 государством, которые являлись членами МСОТО.</w:t>
      </w:r>
    </w:p>
    <w:p w14:paraId="62CC9A74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Основной целью ВТО, как это следует из ст.3 Устава, является содействие развитию туризма для внесения вклада в экономическое развитие, международное взаимопонимание, мир, процветание, всеобщее уважение и соблюдение прав человека и основных свобод для всех людей без различия расы, пола, языка и религии.</w:t>
      </w:r>
    </w:p>
    <w:p w14:paraId="5E4E38C5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ВТО в своей работе тесно сотрудничает с Конференцией ООН по торговле и развитию (ЮНКТАД) и Всемирной торговой организацией (WTO-OMC). Так, одним из направлений такого сотрудничества – является разработка и реализация программы содействия членам из государственного и частного секторов в определении и реализации задач, стандартов и мер в области качества как вклад в развитие устойчивого туризма и искоренение нищеты.</w:t>
      </w:r>
    </w:p>
    <w:p w14:paraId="79E4B53B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Задача ВТО состоит в том, чтобы связать правила и положения Генерального соглашения по торговле услугами (ГАТС) с мерами по либерализации торговли туристскими услугами для оказания помощи странам-членам в принятии и проведении грамотной торговой политики и обеспечить вклад туристского сектора в устойчивое развитие туризма, особенно, в отношении наименее развитых стран.</w:t>
      </w:r>
    </w:p>
    <w:p w14:paraId="56098634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Комиссия ООН по устойчивому развитию на своей сессии в апреле 1999 года в Нью-Йорке одобрила концепцию этического кодекса туризма. Итоговый Глобальный этический кодекс туризма, насчитывающий 10 пунктов и разработанный по результатам длительного консультационного процесса, был единогласно одобрен в октябре 1999 года.</w:t>
      </w:r>
    </w:p>
    <w:p w14:paraId="466E56C7" w14:textId="77777777" w:rsidR="00CB559B" w:rsidRPr="00E84687" w:rsidRDefault="00CB559B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В целом следует отметить в качестве современной тенденции, выделяемой специалистами в области международного права, что на фоне межгосударственного нормотворческого взаимодействия усиливаются позиции негосударственных структур. Это касается и вопросов стандартизации в сфере туризма, регулирования международного рынка туристических услуг и т.п. С одной стороны, это отражает нынешний общий процесс расширения понятия «норма», а с другой стороны – убедительно показывает, что зачастую так называемые «квалифицированные рекомендации» оказываются не только наиболее эффективным, но и единственно приемлемым способом регулирования в отдельных сферах рыночных отношений.</w:t>
      </w:r>
    </w:p>
    <w:p w14:paraId="1203DAA0" w14:textId="77777777" w:rsidR="00670597" w:rsidRDefault="00670597" w:rsidP="00E8468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eastAsia="ru-RU"/>
        </w:rPr>
      </w:pPr>
    </w:p>
    <w:p w14:paraId="38E6E6CB" w14:textId="77777777" w:rsidR="007319BB" w:rsidRPr="00670597" w:rsidRDefault="00CB559B" w:rsidP="0067059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lang w:eastAsia="ru-RU"/>
        </w:rPr>
      </w:pPr>
      <w:r w:rsidRPr="00E84687">
        <w:rPr>
          <w:rFonts w:ascii="Times New Roman" w:hAnsi="Times New Roman"/>
          <w:color w:val="000000" w:themeColor="text1"/>
          <w:sz w:val="28"/>
          <w:lang w:eastAsia="ru-RU"/>
        </w:rPr>
        <w:br w:type="page"/>
      </w:r>
      <w:bookmarkStart w:id="3" w:name="_Toc259731015"/>
      <w:r w:rsidRPr="00670597">
        <w:rPr>
          <w:rFonts w:ascii="Times New Roman" w:hAnsi="Times New Roman"/>
          <w:b/>
          <w:color w:val="000000" w:themeColor="text1"/>
          <w:sz w:val="28"/>
          <w:lang w:eastAsia="ru-RU"/>
        </w:rPr>
        <w:t>Заключение</w:t>
      </w:r>
      <w:bookmarkEnd w:id="3"/>
    </w:p>
    <w:p w14:paraId="0D30DC35" w14:textId="77777777" w:rsidR="00670597" w:rsidRDefault="00670597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7C844B" w14:textId="77777777" w:rsidR="00057BE2" w:rsidRPr="00E84687" w:rsidRDefault="00057BE2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Сегодня международные отношения между странами с развитой демократией опосредуются уже не столько представительными органами государства, сколько осуществляются напрямую. Это способствует ускоренному и успешному развитию туризма не только регионального, но и международного в том числе.</w:t>
      </w:r>
    </w:p>
    <w:p w14:paraId="11EBFD14" w14:textId="77777777" w:rsidR="00057BE2" w:rsidRPr="00E84687" w:rsidRDefault="00057BE2" w:rsidP="00E8468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Общероссийские классификаторы, являясь частью статистической инфраструктуры, обеспечивают систематизацию, структурирование, группирование и идентификацию социально-экономических объектов и явлений, что позволяет пользователям проводить анализ статистической информации в унифицированном виде на различных уровнях агрегирования и решать задачи создания и совершенствования официальной научно-обоснованной методологии для проведения государственных статистических наблюдений.</w:t>
      </w:r>
    </w:p>
    <w:p w14:paraId="255894DA" w14:textId="77777777" w:rsidR="00B52752" w:rsidRDefault="00B52752" w:rsidP="00E8468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eastAsia="ru-RU"/>
        </w:rPr>
      </w:pPr>
    </w:p>
    <w:p w14:paraId="52532598" w14:textId="77777777" w:rsidR="00CB559B" w:rsidRPr="00B52752" w:rsidRDefault="00CB559B" w:rsidP="00B5275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lang w:eastAsia="ru-RU"/>
        </w:rPr>
      </w:pPr>
      <w:r w:rsidRPr="00E84687">
        <w:rPr>
          <w:rFonts w:ascii="Times New Roman" w:hAnsi="Times New Roman"/>
          <w:color w:val="000000" w:themeColor="text1"/>
          <w:sz w:val="28"/>
          <w:lang w:eastAsia="ru-RU"/>
        </w:rPr>
        <w:br w:type="page"/>
      </w:r>
      <w:bookmarkStart w:id="4" w:name="_Toc259731016"/>
      <w:r w:rsidRPr="00B52752">
        <w:rPr>
          <w:rFonts w:ascii="Times New Roman" w:hAnsi="Times New Roman"/>
          <w:b/>
          <w:color w:val="000000" w:themeColor="text1"/>
          <w:sz w:val="28"/>
          <w:lang w:eastAsia="ru-RU"/>
        </w:rPr>
        <w:t>Список литературы</w:t>
      </w:r>
      <w:bookmarkEnd w:id="4"/>
    </w:p>
    <w:p w14:paraId="5AD60D1C" w14:textId="77777777" w:rsidR="00B52752" w:rsidRPr="00E84687" w:rsidRDefault="00B52752" w:rsidP="00B5275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eastAsia="ru-RU"/>
        </w:rPr>
      </w:pPr>
    </w:p>
    <w:p w14:paraId="60C1E3A8" w14:textId="77777777" w:rsidR="00057BE2" w:rsidRPr="00E84687" w:rsidRDefault="00057BE2" w:rsidP="00B52752">
      <w:pPr>
        <w:pStyle w:val="a5"/>
        <w:numPr>
          <w:ilvl w:val="0"/>
          <w:numId w:val="13"/>
        </w:numPr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 xml:space="preserve">Международный туризм и право: Учебное пособие </w:t>
      </w:r>
      <w:r w:rsidR="007C1FC1" w:rsidRPr="00E84687">
        <w:rPr>
          <w:rFonts w:ascii="Times New Roman" w:hAnsi="Times New Roman"/>
          <w:color w:val="000000" w:themeColor="text1"/>
          <w:sz w:val="28"/>
          <w:szCs w:val="28"/>
        </w:rPr>
        <w:t>/ Борисов К.Г.. - М.; НИМП, 2009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94780DF" w14:textId="77777777" w:rsidR="00057BE2" w:rsidRPr="00E84687" w:rsidRDefault="00057BE2" w:rsidP="00B52752">
      <w:pPr>
        <w:pStyle w:val="a5"/>
        <w:numPr>
          <w:ilvl w:val="0"/>
          <w:numId w:val="13"/>
        </w:numPr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Писаревский Е.Л. Законодательство в области туризма. Тенденции и перспективы// Юрист 200</w:t>
      </w:r>
      <w:r w:rsidR="007C1FC1" w:rsidRPr="00E8468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 xml:space="preserve"> № 4 с.</w:t>
      </w:r>
    </w:p>
    <w:p w14:paraId="1727A083" w14:textId="77777777" w:rsidR="00057BE2" w:rsidRPr="00E84687" w:rsidRDefault="00057BE2" w:rsidP="00B52752">
      <w:pPr>
        <w:pStyle w:val="a5"/>
        <w:numPr>
          <w:ilvl w:val="0"/>
          <w:numId w:val="13"/>
        </w:numPr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Отдельные аспекты организационно-правового механизма развития туризма: применение международного опыта в России / Голова</w:t>
      </w:r>
      <w:r w:rsidR="007C1FC1" w:rsidRPr="00E84687">
        <w:rPr>
          <w:rFonts w:ascii="Times New Roman" w:hAnsi="Times New Roman"/>
          <w:color w:val="000000" w:themeColor="text1"/>
          <w:sz w:val="28"/>
          <w:szCs w:val="28"/>
        </w:rPr>
        <w:t>тюк А.В.. - М.; МАКС-Пресс, 2008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6458F97" w14:textId="77777777" w:rsidR="00057BE2" w:rsidRPr="00E84687" w:rsidRDefault="00057BE2" w:rsidP="00B52752">
      <w:pPr>
        <w:pStyle w:val="a5"/>
        <w:numPr>
          <w:ilvl w:val="0"/>
          <w:numId w:val="13"/>
        </w:numPr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Российская газета от 26 ноября 2005г</w:t>
      </w:r>
    </w:p>
    <w:p w14:paraId="15A27112" w14:textId="77777777" w:rsidR="00057BE2" w:rsidRPr="00E84687" w:rsidRDefault="00057BE2" w:rsidP="00B52752">
      <w:pPr>
        <w:pStyle w:val="a5"/>
        <w:numPr>
          <w:ilvl w:val="0"/>
          <w:numId w:val="13"/>
        </w:numPr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B52752">
        <w:rPr>
          <w:rFonts w:ascii="Times New Roman" w:hAnsi="Times New Roman"/>
          <w:color w:val="000000" w:themeColor="text1"/>
          <w:sz w:val="28"/>
          <w:szCs w:val="28"/>
        </w:rPr>
        <w:t>http://www.kapitan.ru/infoprof/interzakon/kodeks.htm</w:t>
      </w:r>
    </w:p>
    <w:p w14:paraId="13D87185" w14:textId="77777777" w:rsidR="00057BE2" w:rsidRPr="00E84687" w:rsidRDefault="007C1FC1" w:rsidP="00B52752">
      <w:pPr>
        <w:pStyle w:val="a5"/>
        <w:numPr>
          <w:ilvl w:val="0"/>
          <w:numId w:val="13"/>
        </w:numPr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http://government.ru/</w:t>
      </w:r>
    </w:p>
    <w:p w14:paraId="7187B4B5" w14:textId="77777777" w:rsidR="00057BE2" w:rsidRPr="00E84687" w:rsidRDefault="00057BE2" w:rsidP="00B52752">
      <w:pPr>
        <w:pStyle w:val="a5"/>
        <w:numPr>
          <w:ilvl w:val="0"/>
          <w:numId w:val="13"/>
        </w:numPr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Барчукова Н.С. Международное сотрудничество государств в области туризма. – М.</w:t>
      </w:r>
      <w:r w:rsidR="007C1FC1" w:rsidRPr="00E84687">
        <w:rPr>
          <w:rFonts w:ascii="Times New Roman" w:hAnsi="Times New Roman"/>
          <w:color w:val="000000" w:themeColor="text1"/>
          <w:sz w:val="28"/>
          <w:szCs w:val="28"/>
        </w:rPr>
        <w:t>: Международные отношения. – 200</w:t>
      </w:r>
      <w:r w:rsidRPr="00E84687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14:paraId="7E2C8933" w14:textId="77777777" w:rsidR="00057BE2" w:rsidRPr="00E84687" w:rsidRDefault="00057BE2" w:rsidP="00B52752">
      <w:pPr>
        <w:pStyle w:val="a5"/>
        <w:numPr>
          <w:ilvl w:val="0"/>
          <w:numId w:val="13"/>
        </w:numPr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Устав Всемирной Туристской Организации (ВТО) (Мехико, 27 сентября 1970 г.)</w:t>
      </w:r>
    </w:p>
    <w:p w14:paraId="0D9856B4" w14:textId="77777777" w:rsidR="00057BE2" w:rsidRPr="00E84687" w:rsidRDefault="00057BE2" w:rsidP="00B52752">
      <w:pPr>
        <w:pStyle w:val="a5"/>
        <w:numPr>
          <w:ilvl w:val="0"/>
          <w:numId w:val="13"/>
        </w:numPr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E84687">
        <w:rPr>
          <w:rFonts w:ascii="Times New Roman" w:hAnsi="Times New Roman"/>
          <w:color w:val="000000" w:themeColor="text1"/>
          <w:sz w:val="28"/>
          <w:szCs w:val="28"/>
        </w:rPr>
        <w:t>h</w:t>
      </w:r>
      <w:r w:rsidR="007C1FC1" w:rsidRPr="00E84687">
        <w:rPr>
          <w:rFonts w:ascii="Times New Roman" w:hAnsi="Times New Roman"/>
          <w:color w:val="000000" w:themeColor="text1"/>
          <w:sz w:val="28"/>
          <w:szCs w:val="28"/>
        </w:rPr>
        <w:t>ttp://travel.legal.az/index.php</w:t>
      </w:r>
    </w:p>
    <w:sectPr w:rsidR="00057BE2" w:rsidRPr="00E84687" w:rsidSect="00E84687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7AD4" w14:textId="77777777" w:rsidR="004973DB" w:rsidRDefault="004973DB" w:rsidP="00CB559B">
      <w:pPr>
        <w:spacing w:after="0" w:line="240" w:lineRule="auto"/>
      </w:pPr>
      <w:r>
        <w:separator/>
      </w:r>
    </w:p>
  </w:endnote>
  <w:endnote w:type="continuationSeparator" w:id="0">
    <w:p w14:paraId="7F22BC77" w14:textId="77777777" w:rsidR="004973DB" w:rsidRDefault="004973DB" w:rsidP="00CB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E1E6" w14:textId="77777777" w:rsidR="00057BE2" w:rsidRDefault="001D067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752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BA0F" w14:textId="77777777" w:rsidR="004973DB" w:rsidRDefault="004973DB" w:rsidP="00CB559B">
      <w:pPr>
        <w:spacing w:after="0" w:line="240" w:lineRule="auto"/>
      </w:pPr>
      <w:r>
        <w:separator/>
      </w:r>
    </w:p>
  </w:footnote>
  <w:footnote w:type="continuationSeparator" w:id="0">
    <w:p w14:paraId="3A805034" w14:textId="77777777" w:rsidR="004973DB" w:rsidRDefault="004973DB" w:rsidP="00CB559B">
      <w:pPr>
        <w:spacing w:after="0" w:line="240" w:lineRule="auto"/>
      </w:pPr>
      <w:r>
        <w:continuationSeparator/>
      </w:r>
    </w:p>
  </w:footnote>
  <w:footnote w:id="1">
    <w:p w14:paraId="50D52C55" w14:textId="77777777" w:rsidR="00000000" w:rsidRDefault="007C1FC1" w:rsidP="007C1FC1">
      <w:pPr>
        <w:pStyle w:val="a5"/>
        <w:jc w:val="both"/>
      </w:pPr>
      <w:r w:rsidRPr="008112E5">
        <w:rPr>
          <w:rStyle w:val="a8"/>
          <w:sz w:val="20"/>
          <w:szCs w:val="20"/>
        </w:rPr>
        <w:footnoteRef/>
      </w:r>
      <w:r w:rsidRPr="008112E5">
        <w:rPr>
          <w:sz w:val="20"/>
          <w:szCs w:val="20"/>
        </w:rPr>
        <w:t xml:space="preserve"> </w:t>
      </w:r>
      <w:r w:rsidRPr="008112E5">
        <w:rPr>
          <w:rFonts w:ascii="Times New Roman" w:hAnsi="Times New Roman"/>
          <w:sz w:val="20"/>
          <w:szCs w:val="20"/>
        </w:rPr>
        <w:t>Международные культурные ценности: Учебное пособие / Борисов К.Г.. - М.; НИМП, 2009.</w:t>
      </w:r>
    </w:p>
  </w:footnote>
  <w:footnote w:id="2">
    <w:p w14:paraId="1D1290D9" w14:textId="77777777" w:rsidR="00000000" w:rsidRDefault="007C1FC1" w:rsidP="008112E5">
      <w:pPr>
        <w:pStyle w:val="a5"/>
        <w:jc w:val="both"/>
      </w:pPr>
      <w:r w:rsidRPr="008112E5">
        <w:rPr>
          <w:rStyle w:val="a8"/>
          <w:sz w:val="20"/>
          <w:szCs w:val="20"/>
        </w:rPr>
        <w:footnoteRef/>
      </w:r>
      <w:r w:rsidRPr="008112E5">
        <w:rPr>
          <w:rFonts w:ascii="Times New Roman" w:hAnsi="Times New Roman"/>
          <w:sz w:val="20"/>
          <w:szCs w:val="20"/>
        </w:rPr>
        <w:t>Писаревский Е.Л. Законодательство в области музейного дела. Тенденции и перспективы// Юрист 2008 № 4 с.</w:t>
      </w:r>
    </w:p>
  </w:footnote>
  <w:footnote w:id="3">
    <w:p w14:paraId="6C4B91BF" w14:textId="77777777" w:rsidR="00000000" w:rsidRDefault="007C1FC1" w:rsidP="007C1FC1">
      <w:pPr>
        <w:pStyle w:val="a5"/>
        <w:jc w:val="both"/>
      </w:pPr>
      <w:r w:rsidRPr="008112E5">
        <w:rPr>
          <w:rStyle w:val="a8"/>
          <w:sz w:val="20"/>
          <w:szCs w:val="20"/>
        </w:rPr>
        <w:footnoteRef/>
      </w:r>
      <w:r w:rsidRPr="008112E5">
        <w:rPr>
          <w:sz w:val="20"/>
          <w:szCs w:val="20"/>
        </w:rPr>
        <w:t xml:space="preserve"> </w:t>
      </w:r>
      <w:r w:rsidRPr="008112E5">
        <w:rPr>
          <w:rFonts w:ascii="Times New Roman" w:hAnsi="Times New Roman"/>
          <w:sz w:val="20"/>
          <w:szCs w:val="20"/>
        </w:rPr>
        <w:t>Отдельные аспекты организационно-правового механизма развития музейного дела: применение международного опыта в России / Головатюк А.В.. - М.; МАКС-Пресс, 2008.</w:t>
      </w:r>
    </w:p>
  </w:footnote>
  <w:footnote w:id="4">
    <w:p w14:paraId="2A234014" w14:textId="77777777" w:rsidR="00000000" w:rsidRDefault="00CB559B" w:rsidP="00CB559B">
      <w:pPr>
        <w:pStyle w:val="a6"/>
      </w:pPr>
      <w:r w:rsidRPr="00670597">
        <w:rPr>
          <w:rStyle w:val="a8"/>
        </w:rPr>
        <w:footnoteRef/>
      </w:r>
      <w:r w:rsidRPr="00670597">
        <w:t xml:space="preserve"> </w:t>
      </w:r>
      <w:r w:rsidRPr="00670597">
        <w:rPr>
          <w:rFonts w:ascii="Times New Roman" w:hAnsi="Times New Roman"/>
        </w:rPr>
        <w:t>www.rb.ru. Медстраховка: Как выбрать полис для отдыха и туризма?</w:t>
      </w:r>
    </w:p>
  </w:footnote>
  <w:footnote w:id="5">
    <w:p w14:paraId="255E0420" w14:textId="77777777" w:rsidR="00000000" w:rsidRDefault="00CB559B" w:rsidP="00CB559B">
      <w:pPr>
        <w:pStyle w:val="a6"/>
      </w:pPr>
      <w:r w:rsidRPr="00670597">
        <w:rPr>
          <w:rStyle w:val="a8"/>
          <w:rFonts w:ascii="Times New Roman" w:hAnsi="Times New Roman"/>
        </w:rPr>
        <w:footnoteRef/>
      </w:r>
      <w:r w:rsidRPr="00670597">
        <w:rPr>
          <w:rFonts w:ascii="Times New Roman" w:hAnsi="Times New Roman"/>
        </w:rPr>
        <w:t xml:space="preserve"> Правовая система Консультант Плюс.</w:t>
      </w:r>
    </w:p>
  </w:footnote>
  <w:footnote w:id="6">
    <w:p w14:paraId="22D116B2" w14:textId="77777777" w:rsidR="00000000" w:rsidRDefault="00CB559B" w:rsidP="00CB559B">
      <w:pPr>
        <w:pStyle w:val="a6"/>
      </w:pPr>
      <w:r w:rsidRPr="00670597">
        <w:rPr>
          <w:rStyle w:val="a8"/>
          <w:rFonts w:ascii="Times New Roman" w:hAnsi="Times New Roman"/>
        </w:rPr>
        <w:footnoteRef/>
      </w:r>
      <w:r w:rsidRPr="00670597">
        <w:rPr>
          <w:rFonts w:ascii="Times New Roman" w:hAnsi="Times New Roman"/>
        </w:rPr>
        <w:t xml:space="preserve"> Международный туризм и право: Учебное пособие / Борисов К.Г.. - М.; НИМП, 1999.</w:t>
      </w:r>
    </w:p>
  </w:footnote>
  <w:footnote w:id="7">
    <w:p w14:paraId="4A6060B0" w14:textId="77777777" w:rsidR="00000000" w:rsidRDefault="00CB559B" w:rsidP="00CB559B">
      <w:pPr>
        <w:pStyle w:val="a6"/>
      </w:pPr>
      <w:r w:rsidRPr="00670597">
        <w:rPr>
          <w:rStyle w:val="a8"/>
          <w:rFonts w:ascii="Times New Roman" w:hAnsi="Times New Roman"/>
        </w:rPr>
        <w:footnoteRef/>
      </w:r>
      <w:r w:rsidRPr="00670597">
        <w:rPr>
          <w:rFonts w:ascii="Times New Roman" w:hAnsi="Times New Roman"/>
        </w:rPr>
        <w:t xml:space="preserve"> Писаревский Е.Л. Законодательство в области туризма. Тенденции и перспективы// Юрист 2002 № 4 с.</w:t>
      </w:r>
    </w:p>
  </w:footnote>
  <w:footnote w:id="8">
    <w:p w14:paraId="6E6A185A" w14:textId="77777777" w:rsidR="00000000" w:rsidRDefault="00CB559B" w:rsidP="00CB559B">
      <w:pPr>
        <w:pStyle w:val="a6"/>
      </w:pPr>
      <w:r w:rsidRPr="00670597">
        <w:rPr>
          <w:rStyle w:val="a8"/>
        </w:rPr>
        <w:footnoteRef/>
      </w:r>
      <w:r w:rsidRPr="00670597">
        <w:t xml:space="preserve"> </w:t>
      </w:r>
      <w:r w:rsidRPr="00670597">
        <w:rPr>
          <w:rFonts w:ascii="Times New Roman" w:hAnsi="Times New Roman"/>
        </w:rPr>
        <w:t>Отдельные аспекты организационно-правового механизма развития туризма: применение международного опыта в России / Головатюк А.В.. - М.; МАКС-Пресс, 2000.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F21"/>
    <w:multiLevelType w:val="hybridMultilevel"/>
    <w:tmpl w:val="79BA7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787CC3"/>
    <w:multiLevelType w:val="hybridMultilevel"/>
    <w:tmpl w:val="3112E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81234F"/>
    <w:multiLevelType w:val="hybridMultilevel"/>
    <w:tmpl w:val="94028CD0"/>
    <w:lvl w:ilvl="0" w:tplc="8EF26D2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070E76"/>
    <w:multiLevelType w:val="hybridMultilevel"/>
    <w:tmpl w:val="01EAA4E4"/>
    <w:lvl w:ilvl="0" w:tplc="8F4833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B635173"/>
    <w:multiLevelType w:val="hybridMultilevel"/>
    <w:tmpl w:val="57EE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481E1E"/>
    <w:multiLevelType w:val="hybridMultilevel"/>
    <w:tmpl w:val="455C6872"/>
    <w:lvl w:ilvl="0" w:tplc="FA8213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4081152"/>
    <w:multiLevelType w:val="hybridMultilevel"/>
    <w:tmpl w:val="49A83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524D06"/>
    <w:multiLevelType w:val="hybridMultilevel"/>
    <w:tmpl w:val="6A2A3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EF06FD"/>
    <w:multiLevelType w:val="hybridMultilevel"/>
    <w:tmpl w:val="E4F2DEE0"/>
    <w:lvl w:ilvl="0" w:tplc="8EF26D2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00F13F2"/>
    <w:multiLevelType w:val="hybridMultilevel"/>
    <w:tmpl w:val="BFCEED7C"/>
    <w:lvl w:ilvl="0" w:tplc="91C4947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6EC6619"/>
    <w:multiLevelType w:val="hybridMultilevel"/>
    <w:tmpl w:val="2600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D45620"/>
    <w:multiLevelType w:val="hybridMultilevel"/>
    <w:tmpl w:val="A0B02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19717C"/>
    <w:multiLevelType w:val="hybridMultilevel"/>
    <w:tmpl w:val="EE7A4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DC2569E"/>
    <w:multiLevelType w:val="hybridMultilevel"/>
    <w:tmpl w:val="66228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12"/>
  </w:num>
  <w:num w:numId="6">
    <w:abstractNumId w:val="13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BB"/>
    <w:rsid w:val="00000C2A"/>
    <w:rsid w:val="00057BE2"/>
    <w:rsid w:val="0013480C"/>
    <w:rsid w:val="001D067D"/>
    <w:rsid w:val="004973DB"/>
    <w:rsid w:val="005E6B17"/>
    <w:rsid w:val="006369B9"/>
    <w:rsid w:val="00670597"/>
    <w:rsid w:val="006D3BF7"/>
    <w:rsid w:val="007319BB"/>
    <w:rsid w:val="007C1FC1"/>
    <w:rsid w:val="008112E5"/>
    <w:rsid w:val="00837725"/>
    <w:rsid w:val="00B52752"/>
    <w:rsid w:val="00C952C8"/>
    <w:rsid w:val="00CB559B"/>
    <w:rsid w:val="00E8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12095"/>
  <w14:defaultImageDpi w14:val="0"/>
  <w15:docId w15:val="{ED0FB463-3BCE-4BE8-96AC-8EF296C5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BF7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CB559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B559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31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319BB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Document Map"/>
    <w:basedOn w:val="a"/>
    <w:link w:val="a4"/>
    <w:uiPriority w:val="99"/>
    <w:semiHidden/>
    <w:unhideWhenUsed/>
    <w:rsid w:val="00CB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CB55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559B"/>
    <w:pPr>
      <w:spacing w:after="0" w:line="240" w:lineRule="auto"/>
    </w:pPr>
    <w:rPr>
      <w:rFonts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CB559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CB559B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B559B"/>
    <w:rPr>
      <w:rFonts w:cs="Times New Roman"/>
      <w:vertAlign w:val="superscript"/>
    </w:rPr>
  </w:style>
  <w:style w:type="paragraph" w:styleId="a9">
    <w:name w:val="Normal (Web)"/>
    <w:basedOn w:val="a"/>
    <w:uiPriority w:val="99"/>
    <w:semiHidden/>
    <w:unhideWhenUsed/>
    <w:rsid w:val="00CB55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57BE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0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057BE2"/>
    <w:rPr>
      <w:rFonts w:cs="Times New Roman"/>
    </w:rPr>
  </w:style>
  <w:style w:type="character" w:styleId="ae">
    <w:name w:val="Hyperlink"/>
    <w:basedOn w:val="a0"/>
    <w:uiPriority w:val="99"/>
    <w:unhideWhenUsed/>
    <w:rsid w:val="00057BE2"/>
    <w:rPr>
      <w:rFonts w:cs="Times New Roman"/>
      <w:color w:val="0000FF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13480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3480C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13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3480C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81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D832-B8D0-444F-8474-016B8D68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4386</Words>
  <Characters>25004</Characters>
  <Application>Microsoft Office Word</Application>
  <DocSecurity>0</DocSecurity>
  <Lines>208</Lines>
  <Paragraphs>58</Paragraphs>
  <ScaleCrop>false</ScaleCrop>
  <Company>Grizli777</Company>
  <LinksUpToDate>false</LinksUpToDate>
  <CharactersWithSpaces>29332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2</cp:revision>
  <dcterms:created xsi:type="dcterms:W3CDTF">2025-02-09T19:00:00Z</dcterms:created>
  <dcterms:modified xsi:type="dcterms:W3CDTF">2025-02-09T19:00:00Z</dcterms:modified>
</cp:coreProperties>
</file>