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646A" w14:textId="77777777" w:rsidR="001F6019" w:rsidRPr="00FD6C93" w:rsidRDefault="001F6019" w:rsidP="00FD6C93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FD6C93">
        <w:rPr>
          <w:b/>
          <w:sz w:val="28"/>
          <w:szCs w:val="32"/>
        </w:rPr>
        <w:t>Министерство образования Российской Федерации</w:t>
      </w:r>
    </w:p>
    <w:p w14:paraId="7E08D753" w14:textId="77777777" w:rsidR="001F6019" w:rsidRPr="00FD6C93" w:rsidRDefault="001F6019" w:rsidP="00FD6C93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FD6C93">
        <w:rPr>
          <w:b/>
          <w:sz w:val="28"/>
          <w:szCs w:val="32"/>
        </w:rPr>
        <w:t>Пензенский Государственный Университет</w:t>
      </w:r>
    </w:p>
    <w:p w14:paraId="34397A6C" w14:textId="77777777" w:rsidR="001F6019" w:rsidRPr="00FD6C93" w:rsidRDefault="001F6019" w:rsidP="00FD6C93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FD6C93">
        <w:rPr>
          <w:b/>
          <w:sz w:val="28"/>
          <w:szCs w:val="32"/>
        </w:rPr>
        <w:t>Медицинский Институт</w:t>
      </w:r>
    </w:p>
    <w:p w14:paraId="1C1A5109" w14:textId="77777777" w:rsidR="001F6019" w:rsidRPr="00FD6C93" w:rsidRDefault="001F6019" w:rsidP="00FD6C93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14:paraId="38A38AE8" w14:textId="77777777" w:rsidR="001F6019" w:rsidRPr="00FD6C93" w:rsidRDefault="001F6019" w:rsidP="00FD6C93">
      <w:pPr>
        <w:shd w:val="clear" w:color="000000" w:fill="auto"/>
        <w:spacing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FD6C93">
        <w:rPr>
          <w:b/>
          <w:sz w:val="28"/>
          <w:szCs w:val="32"/>
        </w:rPr>
        <w:t>Кафедра Хирургии</w:t>
      </w:r>
    </w:p>
    <w:p w14:paraId="7514A871" w14:textId="77777777" w:rsidR="001F6019" w:rsidRPr="00FD6C93" w:rsidRDefault="001F6019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48EDFCD" w14:textId="77777777" w:rsidR="001F6019" w:rsidRPr="00FD6C93" w:rsidRDefault="001F6019" w:rsidP="00FD6C93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D6C93">
        <w:rPr>
          <w:sz w:val="28"/>
          <w:szCs w:val="28"/>
        </w:rPr>
        <w:t>Зав. кафедрой д.м.н.,</w:t>
      </w:r>
    </w:p>
    <w:p w14:paraId="682C92E9" w14:textId="77777777" w:rsidR="001F6019" w:rsidRPr="00FD6C93" w:rsidRDefault="001F6019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10CF3E0" w14:textId="77777777" w:rsidR="001F6019" w:rsidRPr="00FD6C93" w:rsidRDefault="001F6019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8F49C30" w14:textId="77777777" w:rsidR="00FD6C93" w:rsidRDefault="00FD6C93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36"/>
        </w:rPr>
      </w:pPr>
    </w:p>
    <w:p w14:paraId="1B189FAD" w14:textId="77777777" w:rsidR="001F6019" w:rsidRPr="00FD6C93" w:rsidRDefault="00FD6C93" w:rsidP="00FD6C93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FD6C93">
        <w:rPr>
          <w:sz w:val="28"/>
          <w:szCs w:val="36"/>
        </w:rPr>
        <w:t>РЕФЕРАТ</w:t>
      </w:r>
    </w:p>
    <w:p w14:paraId="1AB27934" w14:textId="77777777" w:rsidR="001F6019" w:rsidRPr="00FD6C93" w:rsidRDefault="001F6019" w:rsidP="00FD6C93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FD6C93">
        <w:rPr>
          <w:sz w:val="28"/>
          <w:szCs w:val="36"/>
        </w:rPr>
        <w:t>на тему:</w:t>
      </w:r>
    </w:p>
    <w:p w14:paraId="4BE09310" w14:textId="77777777" w:rsidR="001F6019" w:rsidRPr="00FD6C93" w:rsidRDefault="00FD6C93" w:rsidP="00FD6C93">
      <w:pPr>
        <w:pStyle w:val="2"/>
        <w:shd w:val="clear" w:color="000000" w:fill="auto"/>
        <w:spacing w:line="360" w:lineRule="auto"/>
        <w:ind w:left="0" w:firstLine="709"/>
        <w:jc w:val="center"/>
        <w:rPr>
          <w:bCs w:val="0"/>
          <w:color w:val="000000"/>
          <w:sz w:val="28"/>
          <w:szCs w:val="36"/>
          <w:highlight w:val="yellow"/>
        </w:rPr>
      </w:pPr>
      <w:r w:rsidRPr="00FD6C93">
        <w:rPr>
          <w:bCs w:val="0"/>
          <w:color w:val="000000"/>
          <w:sz w:val="28"/>
          <w:szCs w:val="36"/>
        </w:rPr>
        <w:t>Синдром острого повреждения легких</w:t>
      </w:r>
    </w:p>
    <w:p w14:paraId="0176981F" w14:textId="77777777" w:rsidR="001F6019" w:rsidRPr="00FD6C93" w:rsidRDefault="001F6019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DB67F6E" w14:textId="77777777" w:rsidR="001F6019" w:rsidRPr="00FD6C93" w:rsidRDefault="001F6019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D437236" w14:textId="77777777" w:rsidR="001F6019" w:rsidRPr="00FD6C93" w:rsidRDefault="001F6019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6C93">
        <w:rPr>
          <w:sz w:val="28"/>
          <w:szCs w:val="28"/>
        </w:rPr>
        <w:t xml:space="preserve">Выполнила: студентка V курса </w:t>
      </w:r>
    </w:p>
    <w:p w14:paraId="3F8138FD" w14:textId="77777777" w:rsidR="001F6019" w:rsidRPr="00FD6C93" w:rsidRDefault="001F6019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6C93">
        <w:rPr>
          <w:sz w:val="28"/>
          <w:szCs w:val="28"/>
        </w:rPr>
        <w:t>Проверил:</w:t>
      </w:r>
      <w:r w:rsidR="00FD6C93">
        <w:rPr>
          <w:sz w:val="28"/>
          <w:szCs w:val="28"/>
        </w:rPr>
        <w:t xml:space="preserve"> </w:t>
      </w:r>
      <w:r w:rsidRPr="00FD6C93">
        <w:rPr>
          <w:sz w:val="28"/>
          <w:szCs w:val="28"/>
        </w:rPr>
        <w:t xml:space="preserve">к.м.н., доцент </w:t>
      </w:r>
    </w:p>
    <w:p w14:paraId="5B7424AA" w14:textId="77777777" w:rsidR="001F6019" w:rsidRPr="00FD6C93" w:rsidRDefault="001F6019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1AF7709" w14:textId="77777777" w:rsidR="001F6019" w:rsidRPr="00FD6C93" w:rsidRDefault="001F6019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3764F9E" w14:textId="77777777" w:rsidR="001F6019" w:rsidRDefault="001F6019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CD90E7B" w14:textId="77777777" w:rsidR="00FD6C93" w:rsidRDefault="00FD6C93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E0D535B" w14:textId="77777777" w:rsidR="00FD6C93" w:rsidRDefault="00FD6C93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043BFA0" w14:textId="77777777" w:rsidR="00FD6C93" w:rsidRDefault="00FD6C93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21B1074" w14:textId="77777777" w:rsidR="00FD6C93" w:rsidRDefault="00FD6C93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352F5E0" w14:textId="77777777" w:rsidR="00FD6C93" w:rsidRDefault="00FD6C93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0AF7403" w14:textId="77777777" w:rsidR="00FD6C93" w:rsidRDefault="00FD6C93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6023E34" w14:textId="77777777" w:rsidR="00FD6C93" w:rsidRDefault="00FD6C93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F1923B1" w14:textId="77777777" w:rsidR="00FD6C93" w:rsidRDefault="00FD6C93" w:rsidP="00FD6C9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27AE5C3" w14:textId="77777777" w:rsidR="001F6019" w:rsidRPr="00FD6C93" w:rsidRDefault="001F6019" w:rsidP="00FD6C93">
      <w:pPr>
        <w:pStyle w:val="aa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FD6C93">
        <w:rPr>
          <w:b/>
          <w:sz w:val="28"/>
          <w:szCs w:val="32"/>
        </w:rPr>
        <w:t>Пенза</w:t>
      </w:r>
    </w:p>
    <w:p w14:paraId="4FCD46FA" w14:textId="77777777" w:rsidR="001F6019" w:rsidRPr="00FD6C93" w:rsidRDefault="001F6019" w:rsidP="00FD6C93">
      <w:pPr>
        <w:pStyle w:val="aa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FD6C93">
        <w:rPr>
          <w:b/>
          <w:sz w:val="28"/>
          <w:szCs w:val="32"/>
        </w:rPr>
        <w:t>2008</w:t>
      </w:r>
    </w:p>
    <w:p w14:paraId="1128B632" w14:textId="77777777" w:rsidR="001F6019" w:rsidRPr="00FD6C93" w:rsidRDefault="00FD6C93" w:rsidP="00FD6C93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6C93">
        <w:rPr>
          <w:rFonts w:ascii="Times New Roman" w:hAnsi="Times New Roman" w:cs="Times New Roman"/>
          <w:sz w:val="28"/>
        </w:rPr>
        <w:br w:type="page"/>
      </w:r>
      <w:r w:rsidR="001F6019" w:rsidRPr="00FD6C93">
        <w:rPr>
          <w:rFonts w:ascii="Times New Roman" w:hAnsi="Times New Roman" w:cs="Times New Roman"/>
          <w:sz w:val="28"/>
        </w:rPr>
        <w:lastRenderedPageBreak/>
        <w:t>План</w:t>
      </w:r>
    </w:p>
    <w:p w14:paraId="61E259AE" w14:textId="77777777" w:rsidR="00FD6C93" w:rsidRDefault="00FD6C93" w:rsidP="00FD6C93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39746EC" w14:textId="77777777" w:rsidR="00D9657D" w:rsidRPr="00FD6C93" w:rsidRDefault="00D9657D" w:rsidP="00FD6C93">
      <w:pPr>
        <w:widowControl w:val="0"/>
        <w:shd w:val="clear" w:color="000000" w:fill="auto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D6C93">
        <w:rPr>
          <w:sz w:val="28"/>
          <w:szCs w:val="28"/>
        </w:rPr>
        <w:t>Введение</w:t>
      </w:r>
    </w:p>
    <w:p w14:paraId="1D8895FE" w14:textId="77777777" w:rsidR="001F6019" w:rsidRPr="00FD6C93" w:rsidRDefault="00D9657D" w:rsidP="00FD6C93">
      <w:pPr>
        <w:widowControl w:val="0"/>
        <w:numPr>
          <w:ilvl w:val="0"/>
          <w:numId w:val="13"/>
        </w:numPr>
        <w:shd w:val="clear" w:color="000000" w:fill="auto"/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D6C93">
        <w:rPr>
          <w:sz w:val="28"/>
          <w:szCs w:val="28"/>
        </w:rPr>
        <w:t>Патогенез</w:t>
      </w:r>
    </w:p>
    <w:p w14:paraId="1BEEE4FA" w14:textId="77777777" w:rsidR="001F6019" w:rsidRPr="00FD6C93" w:rsidRDefault="00D9657D" w:rsidP="00FD6C93">
      <w:pPr>
        <w:widowControl w:val="0"/>
        <w:numPr>
          <w:ilvl w:val="0"/>
          <w:numId w:val="13"/>
        </w:numPr>
        <w:shd w:val="clear" w:color="000000" w:fill="auto"/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D6C93">
        <w:rPr>
          <w:sz w:val="28"/>
          <w:szCs w:val="28"/>
        </w:rPr>
        <w:t>Клиника и диагностика синдрома острого повреждения легких</w:t>
      </w:r>
    </w:p>
    <w:p w14:paraId="36D30B09" w14:textId="77777777" w:rsidR="001F6019" w:rsidRPr="00FD6C93" w:rsidRDefault="00D9657D" w:rsidP="00FD6C93">
      <w:pPr>
        <w:widowControl w:val="0"/>
        <w:numPr>
          <w:ilvl w:val="0"/>
          <w:numId w:val="13"/>
        </w:numPr>
        <w:shd w:val="clear" w:color="000000" w:fill="auto"/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D6C93">
        <w:rPr>
          <w:sz w:val="28"/>
          <w:szCs w:val="28"/>
        </w:rPr>
        <w:t>Стадии и периоды</w:t>
      </w:r>
    </w:p>
    <w:p w14:paraId="595B254B" w14:textId="77777777" w:rsidR="001F6019" w:rsidRPr="00FD6C93" w:rsidRDefault="001F6019" w:rsidP="00FD6C93">
      <w:pPr>
        <w:widowControl w:val="0"/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FD6C93">
        <w:rPr>
          <w:sz w:val="28"/>
          <w:szCs w:val="28"/>
        </w:rPr>
        <w:t>Литература</w:t>
      </w:r>
    </w:p>
    <w:p w14:paraId="18B2A3F6" w14:textId="77777777" w:rsidR="001F6019" w:rsidRPr="00FD6C93" w:rsidRDefault="001F6019" w:rsidP="00FD6C93">
      <w:pPr>
        <w:pStyle w:val="2"/>
        <w:shd w:val="clear" w:color="000000" w:fill="auto"/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</w:p>
    <w:p w14:paraId="1848D58F" w14:textId="77777777" w:rsidR="00CC32C7" w:rsidRPr="00FD6C93" w:rsidRDefault="00FD6C93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D9657D" w:rsidRPr="00FD6C93">
        <w:rPr>
          <w:rFonts w:ascii="Times New Roman" w:hAnsi="Times New Roman" w:cs="Times New Roman"/>
          <w:b/>
          <w:color w:val="000000"/>
          <w:sz w:val="28"/>
          <w:szCs w:val="32"/>
        </w:rPr>
        <w:lastRenderedPageBreak/>
        <w:t>Введение</w:t>
      </w:r>
    </w:p>
    <w:p w14:paraId="3D358379" w14:textId="77777777" w:rsidR="00FD6C93" w:rsidRPr="00FD6C93" w:rsidRDefault="00FD6C93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19F75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В 60-70-х годах разными авторами был описан синдром острой дыхательной недостаточности, возникающий на фоне интенсивной терапии у больных с острой кровопотерей, с тяжелой механической травмой, сепсисом, при применении экстр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корпорального кровообращения и т.д. Этот патологический процесс им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новался по-разному: “шоковым легким“ (Nickerson M., 1963; Hardaway R.M., 1969; Norlander O., 1975), “септическим легким“ (Collins J.A.,1969), “постперфузионным легочным си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дромом“ (Королев Б.А., Шмерельсон М.Б., 1975), “гиповент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ляционным диспное“ (Shumer N., 1971) и т.д. На длительное время за ним укрепилось название - “респир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торный дистресс-синдром взрослых“, предложенное D.G. Ashbaugh (1967). Впосле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ствии вместо "взрослых" в название введено определ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ние "острый", поскольку было доказано, что развитие РДС у новорожденных может быть связано с теми же прич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нами, что и у взрослых.</w:t>
      </w:r>
    </w:p>
    <w:p w14:paraId="5E4F37EC" w14:textId="77777777" w:rsidR="00D9657D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Классическое клиническое описание ОРДС, описанное D.G. Ashbaugh с колл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гами почти 40 лет назад, предусматривает наличие диспноэ, тахипноэ, цианоза, 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гидных легких, диффузной альвеолярной инфильтрации. Частота разв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тия ОРДС варьирует от 1,5 до 75 случаев на 100 000 населения в год, что обусловлено разли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ными подходами к его диагностике.</w:t>
      </w:r>
    </w:p>
    <w:p w14:paraId="20215292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В целом принято считать, что ОРДС характеризуется прогрессирующей гипо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семией и внутрилегочным шунтированием крови, двусторонней инфильтрацией 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гочных полей на фронтальной рентгенограмме грудной клетки, быстрым снижением податливости легочной ткани, легочной гипертензией при отсутствии признаков 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вожелудочковой недостаточности. По мере изучения причин разв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тия и патогенеза острого респираторного дистресс-синдрома возникла концепция, согласно которой под ним стали понимать крайнее проявление более широкого процесса, именуемого острым повреждением ле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ких (ОПЛ).</w:t>
      </w:r>
    </w:p>
    <w:p w14:paraId="39696BDA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ОПЛ возникает на основе диффузного повреждения эндотелия легочных к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пилляров под воздействием экзогенных и эндогенных веществ. Развитие тяж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лой острой во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палительной реакции и нарушение целостности альвеоло-капиллярной мембраны имеют огромное значение в его патогенезе. Фактически, ОПЛ (ОРДС) я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ляется проявлением синдрома общего реактивного воспаления, которое, как сегодня полагают, является основой полиорганной несостоятельн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14:paraId="1C5B689C" w14:textId="77777777" w:rsidR="00FD6C93" w:rsidRPr="00FD6C93" w:rsidRDefault="00FD6C93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14:paraId="79C8D70D" w14:textId="77777777" w:rsidR="00CC32C7" w:rsidRPr="00FD6C93" w:rsidRDefault="00FD6C93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FD6C93"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D9657D" w:rsidRPr="00FD6C93">
        <w:rPr>
          <w:rFonts w:ascii="Times New Roman" w:hAnsi="Times New Roman" w:cs="Times New Roman"/>
          <w:b/>
          <w:color w:val="000000"/>
          <w:sz w:val="28"/>
          <w:szCs w:val="32"/>
        </w:rPr>
        <w:lastRenderedPageBreak/>
        <w:t>1. Патогенез</w:t>
      </w:r>
    </w:p>
    <w:p w14:paraId="28EEF846" w14:textId="77777777" w:rsidR="00FD6C93" w:rsidRPr="00FD6C93" w:rsidRDefault="00FD6C93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2B7544B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Патогенез развития ОПЛ и ОРДС во многом еще не изучен, однако ряд важных его звеньев выд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C32C7" w:rsidRPr="00FD6C93">
        <w:rPr>
          <w:rFonts w:ascii="Times New Roman" w:hAnsi="Times New Roman" w:cs="Times New Roman"/>
          <w:color w:val="000000"/>
          <w:sz w:val="28"/>
          <w:szCs w:val="28"/>
        </w:rPr>
        <w:t>лить вполне возможно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E29AA4B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- снижение капиллярного кровотока, образование и задержка легочным эндотел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ем микроагрегатов тромбоцитов и микроэмболов с выходом хемоаттракта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тов;</w:t>
      </w:r>
    </w:p>
    <w:p w14:paraId="1F76F290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- деструкция задержанных продуктов с образованием биологически агрессивных в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ществ, повреждающих интерстиций;</w:t>
      </w:r>
    </w:p>
    <w:p w14:paraId="314446C5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- сужение и тромбоз сосудов, часто ведущих к пульмональной гипертензии;</w:t>
      </w:r>
    </w:p>
    <w:p w14:paraId="235BBFD8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- проникновение богатой протеином жидкости в эктравазальное пространство, отр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жающее пульмональный отек, не связанный с нарушением функции левого желудо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ка;</w:t>
      </w:r>
    </w:p>
    <w:p w14:paraId="11DB97DD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- массивный альвеолярный коллапс, обычно сочетающийся с потерей сурфакта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та и снижением растяжимости.</w:t>
      </w:r>
    </w:p>
    <w:p w14:paraId="305DBD52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Считается, что в начальной фазе синдрома на фоне замедления кровотока в з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не микроциркуляции легких и образования сначала микроагрегатов тромбоц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тов, а затем и микроэмболов происходит адгезия и активация нейтрофилов. Не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трофилы фиксируются на поврежденном эндотелии легочных капилляров и затем проникают в инте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стициальное пространство и просвет альвеол. Из задержанных в легком клеток, главным образом нейтрофилов, освобождаются цитокины, ферменты (эластаза, ко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лагеназа) и другие вещества, которые повреждают альве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ло-капиллярную мембрану и интерстиций, растворяя эластин, коллаген, фибронектин и т.д. Альвеолярные макр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фаги также секретируют цитокины, которые действуют локально, стимулируют хем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таксис и активируют нейтрофилы. Нарушение лего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ного кровообращения может быть также связано с ролью легких в метаболизме м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диаторов воспаления.</w:t>
      </w:r>
    </w:p>
    <w:p w14:paraId="1734C9EF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Цитокины (фактор некроза опухоли, интерлейкины) и другие провоспалител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ные биологически активные вещества являются важнейшими медиаторами воспал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тельной реакции, инициирующими и усиливающими воспалительный 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вет при ОПЛ. Провоспалительные цитокины продуцируются в легких нейтрофилами и альвеоля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ными макрофагами, эпителиальными клетками и фибробластами. Дальнейшее пат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логическое воздействие оказывают продукты каскада ко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племента, лизосомальные ферменты и биогенные амины, продукты д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градации фибриногена и метаболизации арахидоновой кислоты с появлением в циркулирующей крови таких субстанций (э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косаноиды), как простагландины PgE</w:t>
      </w:r>
      <w:r w:rsidRPr="00FD6C9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и PgF</w:t>
      </w:r>
      <w:r w:rsidRPr="00FD6C9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, лейкотриены, тромбоксан ТхА</w:t>
      </w:r>
      <w:r w:rsidRPr="00FD6C9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, ФАТ - фактор активации тромбоцитов. Эйкосано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ды не только еще больше увеличивают проницаемость мембраны, но и обладают выраженной бронхо- и вазомоторной 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тивностью; они вызывают бронхиолоспазм, спазм легочных вен и усиливают тромб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образование. Свободные рад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калы, выделяющиеся вместе с ферментами, повреждают клеточные мембраны, вызывая пероксидацию липидов, из которых состоят мембр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ны, а также разр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шают гиалуроновую кислоту, связывающую массу соединительной ткани. Проница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мость мембраны возрастает еще более, и этот эффект усиливается при ингал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ции 100 % кислорода.</w:t>
      </w:r>
    </w:p>
    <w:p w14:paraId="5F3392D0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Следствием распространенного повреждения микрососудов становится пер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мещение значительного количества воды и белка в интерстициальное пр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странство. Подтверждением этого является нарастание оттока из таких легких тканевой жидк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сти, богатой протеином: концентрация белка в оттекающей от легких лимфе достиг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ет уровня содержания его в плазме крови. В конечном счете, вследствие нарушения целостности (проницаемости) альвеолокапиллярной мембраны развивается некарди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генный отек легких. Прослеживается прямая связь между степенью функциональной легочной недостаточности в отношении газоо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мена и внесосудистым объемом воды в паренхиме легких. Альвеолы при этом 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коллабируются вследствие воспалительного инфильтрата, крови, отечной жидк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сти, нарушения функции сурфактанта, а также сужения мелких воздухопроводящих путей из-за интерстициального отека и бронх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альной обструкции. В острой фазе синдрома происходят также деструкция альвеол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цитов, сладжир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вание бронхиальных и альвеолярных клеток, которые при попадании в просвет альвеолы формируют богатые протеином гиалин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вые мембраны.</w:t>
      </w:r>
    </w:p>
    <w:p w14:paraId="58943038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Респироны постепенно заполняются отечной жидкостью; поэтому вначале 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гочная паренхима представляет мозаику воздушных, коллабированных и отечных к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ных легочных единиц. Так, например, при КТ-исследов</w:t>
      </w:r>
      <w:r w:rsidR="00C56C1F" w:rsidRPr="00FD6C93">
        <w:rPr>
          <w:rFonts w:ascii="Times New Roman" w:hAnsi="Times New Roman" w:cs="Times New Roman"/>
          <w:color w:val="000000"/>
          <w:sz w:val="28"/>
          <w:szCs w:val="28"/>
        </w:rPr>
        <w:t>ании легких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больного с ОРДС выявляется сочетание коллабированных областей с отн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сительно интактными и вентилируемыми областями. Причем размер и распол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жение этих зон зависят от используемого ПДКВ, положения тела и других факт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ров.</w:t>
      </w:r>
    </w:p>
    <w:p w14:paraId="480ABB72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Газообмен возможен лишь в непораженных зонах или в участках легких, п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тенциально включаемых в вентиляцию, например, при использовании ПДКВ. В де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ствительности часто только небольшие участки легкого продолжают вентилироват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ся. На их долю может приходиться меньше 20 % нормального легочного объема. Перфузия невентилируемых областей является причиной большого шунта справа 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лево, который может составлять более 60 % сердечного в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броса и являться главной причиной артериальной гипо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семии при ОПЛ.</w:t>
      </w:r>
    </w:p>
    <w:p w14:paraId="5EC5DBDB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Таким образом, в результате патологических изменений возникает тяжелое 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соответствие между вентиляцией и перфузией, ведущее к возникновению шу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та справа налево, часто с тяжелой артериальной гипоксемией. Если повреждение капи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лярного русла носит системный характер, нарушение доставки кислорода в ткани и нарушение его утилизации в митохондриях приводят к диффузному гипо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сическому клеточному повреждению и развитию полиорганной несостоятельн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14:paraId="6790396C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Снижение растяжимости легких при ОПЛ происходит вследствие наруш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ния функции сурфактанта на фоне альвеолярного отека, воспаления, фиброза, влияющих на эластичность легочной ткани. Кроме того, снижение общей раст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жимости легких, по крайней мере, отчасти, связано с уменьшением зоны легких, доступных для вент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ции.</w:t>
      </w:r>
    </w:p>
    <w:p w14:paraId="22F7CE69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Легочная гипертензия обычно развивается у больных с ОПЛ вследствие ваз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констрикции, тромбоза, периваскулярного отека, воспаления, возможного интерст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циального фиброза. При выраженной легочной гипертензии может проявиться пр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вожелудочковая недостаточность. Она может быть также следствием сниженной до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тавки кислорода, неадекватной водной нагрузки, аритмии, истощения, действия ми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кард-дистрофического фактора на фоне развития системного капиллярного повре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дения.</w:t>
      </w:r>
    </w:p>
    <w:p w14:paraId="17B65462" w14:textId="77777777" w:rsidR="00FD6C93" w:rsidRPr="00FD6C93" w:rsidRDefault="00FD6C93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14:paraId="48CFFCF5" w14:textId="77777777" w:rsidR="00D9657D" w:rsidRPr="00FD6C93" w:rsidRDefault="00D9657D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FD6C93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2. </w:t>
      </w:r>
      <w:r w:rsidR="00D447E5" w:rsidRPr="00FD6C93">
        <w:rPr>
          <w:rFonts w:ascii="Times New Roman" w:hAnsi="Times New Roman" w:cs="Times New Roman"/>
          <w:b/>
          <w:color w:val="000000"/>
          <w:sz w:val="28"/>
          <w:szCs w:val="32"/>
        </w:rPr>
        <w:t>Клиника и диагностика синдр</w:t>
      </w:r>
      <w:r w:rsidRPr="00FD6C93">
        <w:rPr>
          <w:rFonts w:ascii="Times New Roman" w:hAnsi="Times New Roman" w:cs="Times New Roman"/>
          <w:b/>
          <w:color w:val="000000"/>
          <w:sz w:val="28"/>
          <w:szCs w:val="32"/>
        </w:rPr>
        <w:t>ома острого повреждения легких</w:t>
      </w:r>
    </w:p>
    <w:p w14:paraId="6E28162C" w14:textId="77777777" w:rsidR="00FD6C93" w:rsidRPr="00FD6C93" w:rsidRDefault="00FD6C93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2E787A7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2 г"/>
        </w:smartTagPr>
        <w:r w:rsidRPr="00FD6C93">
          <w:rPr>
            <w:rFonts w:ascii="Times New Roman" w:hAnsi="Times New Roman" w:cs="Times New Roman"/>
            <w:color w:val="000000"/>
            <w:sz w:val="28"/>
            <w:szCs w:val="28"/>
          </w:rPr>
          <w:t>1992 г</w:t>
        </w:r>
      </w:smartTag>
      <w:r w:rsidRPr="00FD6C93">
        <w:rPr>
          <w:rFonts w:ascii="Times New Roman" w:hAnsi="Times New Roman" w:cs="Times New Roman"/>
          <w:color w:val="000000"/>
          <w:sz w:val="28"/>
          <w:szCs w:val="28"/>
        </w:rPr>
        <w:t>. на Американо-Европейской согласительной конференции был сформ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лирован подход к ОРДС как форме (и до определенной степени стадии) острого паренхиматозного повреждения легких. Через два года (</w:t>
      </w:r>
      <w:smartTag w:uri="urn:schemas-microsoft-com:office:smarttags" w:element="metricconverter">
        <w:smartTagPr>
          <w:attr w:name="ProductID" w:val="1994 г"/>
        </w:smartTagPr>
        <w:r w:rsidRPr="00FD6C93">
          <w:rPr>
            <w:rFonts w:ascii="Times New Roman" w:hAnsi="Times New Roman" w:cs="Times New Roman"/>
            <w:color w:val="000000"/>
            <w:sz w:val="28"/>
            <w:szCs w:val="28"/>
          </w:rPr>
          <w:t>1994 г</w:t>
        </w:r>
      </w:smartTag>
      <w:r w:rsidRPr="00FD6C93">
        <w:rPr>
          <w:rFonts w:ascii="Times New Roman" w:hAnsi="Times New Roman" w:cs="Times New Roman"/>
          <w:color w:val="000000"/>
          <w:sz w:val="28"/>
          <w:szCs w:val="28"/>
        </w:rPr>
        <w:t>.) на подобной же конференции критери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ми ОПЛ и ОРДС были определены следующие призн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ки:</w:t>
      </w:r>
    </w:p>
    <w:p w14:paraId="574BDA46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- острое начало;</w:t>
      </w:r>
    </w:p>
    <w:p w14:paraId="140189A5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- двусторонняя инфильтрация на фронтальной рентгенограмме легких;</w:t>
      </w:r>
    </w:p>
    <w:p w14:paraId="1A0A4D18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- нарушение оксигенации крови в легких: PO</w:t>
      </w:r>
      <w:r w:rsidRPr="00FD6C9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/FiO</w:t>
      </w:r>
      <w:r w:rsidRPr="00FD6C9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меньше </w:t>
      </w:r>
      <w:smartTag w:uri="urn:schemas-microsoft-com:office:smarttags" w:element="metricconverter">
        <w:smartTagPr>
          <w:attr w:name="ProductID" w:val="300 мм"/>
        </w:smartTagPr>
        <w:r w:rsidRPr="00FD6C93">
          <w:rPr>
            <w:rFonts w:ascii="Times New Roman" w:hAnsi="Times New Roman" w:cs="Times New Roman"/>
            <w:color w:val="000000"/>
            <w:sz w:val="28"/>
            <w:szCs w:val="28"/>
          </w:rPr>
          <w:t>300 мм</w:t>
        </w:r>
      </w:smartTag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рт. ст. для ОПЛ, меньше </w:t>
      </w:r>
      <w:smartTag w:uri="urn:schemas-microsoft-com:office:smarttags" w:element="metricconverter">
        <w:smartTagPr>
          <w:attr w:name="ProductID" w:val="200 мм"/>
        </w:smartTagPr>
        <w:r w:rsidRPr="00FD6C93">
          <w:rPr>
            <w:rFonts w:ascii="Times New Roman" w:hAnsi="Times New Roman" w:cs="Times New Roman"/>
            <w:color w:val="000000"/>
            <w:sz w:val="28"/>
            <w:szCs w:val="28"/>
          </w:rPr>
          <w:t>200 мм</w:t>
        </w:r>
      </w:smartTag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рт. ст. для ОРДС;</w:t>
      </w:r>
    </w:p>
    <w:p w14:paraId="183C5681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- ДЗЛК </w:t>
      </w:r>
      <w:r w:rsidRPr="00FD6C93">
        <w:rPr>
          <w:rFonts w:ascii="Times New Roman" w:hAnsi="Times New Roman" w:cs="Times New Roman"/>
          <w:color w:val="000000"/>
          <w:sz w:val="28"/>
          <w:szCs w:val="28"/>
          <w:u w:val="single"/>
        </w:rPr>
        <w:t>&lt;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 мм"/>
        </w:smartTagPr>
        <w:r w:rsidRPr="00FD6C93">
          <w:rPr>
            <w:rFonts w:ascii="Times New Roman" w:hAnsi="Times New Roman" w:cs="Times New Roman"/>
            <w:color w:val="000000"/>
            <w:sz w:val="28"/>
            <w:szCs w:val="28"/>
          </w:rPr>
          <w:t>18 мм</w:t>
        </w:r>
      </w:smartTag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рт. ст.</w:t>
      </w:r>
    </w:p>
    <w:p w14:paraId="5DCF62F6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В связи с тем, что данный подход является довольно упрощенным, в практич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ской работе используют и другие диагностические признаки, объединяемые в спец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альные шкалы. Например, критериями оценки по шкале J.F. Murrey являю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ся данные рентгенологического исследования легких, глубина расстройств дыхательной фун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ции по коэффициенту 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оксигенации PaO</w:t>
      </w:r>
      <w:r w:rsidRPr="00FD6C9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/FiO</w:t>
      </w:r>
      <w:r w:rsidRPr="00FD6C9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, величина ПДКВ в см вод. ст. и стат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ческая податливость ле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F12B2"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ких в мл/см вод. ст. (табл. 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1). Основная цель этой шкалы – объективизация оценки выраженности функциональных изм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нений при синдроме острого легочного повреждения, в том числе при проведении больному респирато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ной поддержки в 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жиме принудительной ИВЛ.</w:t>
      </w:r>
    </w:p>
    <w:p w14:paraId="781457DF" w14:textId="77777777" w:rsidR="00FD6C93" w:rsidRPr="00FD6C93" w:rsidRDefault="00FD6C93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F7C046B" w14:textId="77777777" w:rsidR="00D447E5" w:rsidRPr="00FD6C93" w:rsidRDefault="008F12B2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D447E5" w:rsidRPr="00FD6C93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13C240D6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Градация функциональных изменений по J.F. Murrey и с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авт. (1988)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1693"/>
        <w:gridCol w:w="1985"/>
        <w:gridCol w:w="1984"/>
        <w:gridCol w:w="1851"/>
      </w:tblGrid>
      <w:tr w:rsidR="00FD6C93" w:rsidRPr="00FD6C93" w14:paraId="54C236DD" w14:textId="77777777" w:rsidTr="00FD6C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3DFB8E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E837B3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РаО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/FiO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торр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ADA1F2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2AAB8A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ПДКВ,</w:t>
            </w:r>
          </w:p>
          <w:p w14:paraId="710392D0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 вод. ст. (бол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на ИВЛ)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2432EB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ливость, мл/см вод. ст.</w:t>
            </w:r>
          </w:p>
        </w:tc>
      </w:tr>
      <w:tr w:rsidR="00FD6C93" w:rsidRPr="00FD6C93" w14:paraId="2B412790" w14:textId="77777777" w:rsidTr="00FD6C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BF9FCA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61EA9E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&gt;300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7267E5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089463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&lt;6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31456D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&gt;80</w:t>
            </w:r>
          </w:p>
        </w:tc>
      </w:tr>
      <w:tr w:rsidR="00FD6C93" w:rsidRPr="00FD6C93" w14:paraId="0820701C" w14:textId="77777777" w:rsidTr="00FD6C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97854B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E1811D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229-225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22FA8B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рант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F28B7F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6-8</w:t>
            </w:r>
          </w:p>
        </w:tc>
        <w:tc>
          <w:tcPr>
            <w:tcW w:w="1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DE81A6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79-60</w:t>
            </w:r>
          </w:p>
        </w:tc>
      </w:tr>
      <w:tr w:rsidR="00FD6C93" w:rsidRPr="00FD6C93" w14:paraId="76CDCA62" w14:textId="77777777" w:rsidTr="00FD6C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799B7E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4F08E3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224- 175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14DDAF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ква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ранта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8947A8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1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8EE401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59-40</w:t>
            </w:r>
          </w:p>
        </w:tc>
      </w:tr>
      <w:tr w:rsidR="00FD6C93" w:rsidRPr="00FD6C93" w14:paraId="18EA5865" w14:textId="77777777" w:rsidTr="00FD6C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DA1181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DE5E19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174-100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CCD5ED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ква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ранта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7ADDA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12-14</w:t>
            </w:r>
          </w:p>
        </w:tc>
        <w:tc>
          <w:tcPr>
            <w:tcW w:w="1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156C58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39-20</w:t>
            </w:r>
          </w:p>
        </w:tc>
      </w:tr>
      <w:tr w:rsidR="00FD6C93" w:rsidRPr="00FD6C93" w14:paraId="6B5D7FF7" w14:textId="77777777" w:rsidTr="00FD6C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4DC7CC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C449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&lt;100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0301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ква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ранта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1914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&gt;14</w:t>
            </w:r>
          </w:p>
        </w:tc>
        <w:tc>
          <w:tcPr>
            <w:tcW w:w="1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8BD455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&lt;20</w:t>
            </w:r>
          </w:p>
        </w:tc>
      </w:tr>
    </w:tbl>
    <w:p w14:paraId="7D0324AE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Примечание: 0 – повреждения нет</w:t>
      </w:r>
    </w:p>
    <w:p w14:paraId="7CA33473" w14:textId="77777777" w:rsidR="00D447E5" w:rsidRPr="00FD6C93" w:rsidRDefault="00FD6C93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47E5" w:rsidRPr="00FD6C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2,5 – умеренное повреждение</w:t>
      </w:r>
    </w:p>
    <w:p w14:paraId="1C2008C1" w14:textId="77777777" w:rsidR="00D447E5" w:rsidRPr="00FD6C93" w:rsidRDefault="00FD6C93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47E5" w:rsidRPr="00FD6C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&gt; 2,5 тяжелый синдром острого повреждения легких</w:t>
      </w:r>
    </w:p>
    <w:p w14:paraId="13FC9A06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CAD9DB6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Клинические факто</w:t>
      </w:r>
      <w:r w:rsidR="008F12B2"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ры риска развития ОПЛ (табл. 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2) можно разделить на две группы: а) связанные с прямым повреждением легких (аспирация, диффузная лего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ная инфекция, утопление, контузии легких), б) вызывающие непрямое п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вреждение легких (сепсис, гипотензия, тяжелая неторакальная травма, гиперперфузия, искусс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венное кровообращение и др.).</w:t>
      </w:r>
    </w:p>
    <w:p w14:paraId="0B883E8A" w14:textId="77777777" w:rsidR="00FD6C93" w:rsidRPr="00FD6C93" w:rsidRDefault="00FD6C93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4D3EB6F" w14:textId="77777777" w:rsidR="00D447E5" w:rsidRPr="00FD6C93" w:rsidRDefault="008F12B2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D447E5" w:rsidRPr="00FD6C93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50FBB6BF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Факторы риска острого повреждения легких (ОРДС)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4821"/>
      </w:tblGrid>
      <w:tr w:rsidR="00D447E5" w:rsidRPr="00FD6C93" w14:paraId="070F10E1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</w:tcPr>
          <w:p w14:paraId="639EAAC8" w14:textId="77777777" w:rsidR="00D447E5" w:rsidRPr="00FD6C93" w:rsidRDefault="00D447E5" w:rsidP="00FD6C93">
            <w:pPr>
              <w:pStyle w:val="a3"/>
              <w:shd w:val="clear" w:color="000000" w:fill="auto"/>
              <w:spacing w:line="360" w:lineRule="auto"/>
              <w:ind w:firstLine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Прямые</w:t>
            </w:r>
          </w:p>
        </w:tc>
        <w:tc>
          <w:tcPr>
            <w:tcW w:w="4821" w:type="dxa"/>
          </w:tcPr>
          <w:p w14:paraId="590A9BFD" w14:textId="77777777" w:rsidR="00D447E5" w:rsidRPr="00FD6C93" w:rsidRDefault="00D447E5" w:rsidP="00FD6C93">
            <w:pPr>
              <w:pStyle w:val="a3"/>
              <w:shd w:val="clear" w:color="000000" w:fill="auto"/>
              <w:spacing w:line="360" w:lineRule="auto"/>
              <w:ind w:firstLine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Непрямые</w:t>
            </w:r>
          </w:p>
        </w:tc>
      </w:tr>
      <w:tr w:rsidR="00D447E5" w:rsidRPr="00FD6C93" w14:paraId="61EAC447" w14:textId="77777777" w:rsidTr="00FD6C9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6" w:type="dxa"/>
          </w:tcPr>
          <w:p w14:paraId="680744A7" w14:textId="77777777" w:rsidR="00D447E5" w:rsidRPr="00FD6C93" w:rsidRDefault="00D447E5" w:rsidP="00FD6C93">
            <w:pPr>
              <w:pStyle w:val="a3"/>
              <w:shd w:val="clear" w:color="000000" w:fill="auto"/>
              <w:spacing w:line="360" w:lineRule="auto"/>
              <w:ind w:firstLine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Аспирация</w:t>
            </w:r>
          </w:p>
        </w:tc>
        <w:tc>
          <w:tcPr>
            <w:tcW w:w="4821" w:type="dxa"/>
          </w:tcPr>
          <w:p w14:paraId="79E1AE5B" w14:textId="77777777" w:rsidR="00D447E5" w:rsidRPr="00FD6C93" w:rsidRDefault="00D447E5" w:rsidP="00FD6C93">
            <w:pPr>
              <w:pStyle w:val="a3"/>
              <w:shd w:val="clear" w:color="000000" w:fill="auto"/>
              <w:spacing w:line="360" w:lineRule="auto"/>
              <w:ind w:firstLine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Сепсис</w:t>
            </w:r>
          </w:p>
        </w:tc>
      </w:tr>
      <w:tr w:rsidR="00FD6C93" w:rsidRPr="00FD6C93" w14:paraId="42878306" w14:textId="77777777" w:rsidTr="00FD6C9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26" w:type="dxa"/>
          </w:tcPr>
          <w:p w14:paraId="0678D54D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Пневмония</w:t>
            </w:r>
          </w:p>
        </w:tc>
        <w:tc>
          <w:tcPr>
            <w:tcW w:w="4821" w:type="dxa"/>
          </w:tcPr>
          <w:p w14:paraId="649BA7F6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Тяжелая неторакальная травма</w:t>
            </w:r>
          </w:p>
        </w:tc>
      </w:tr>
      <w:tr w:rsidR="00FD6C93" w:rsidRPr="00FD6C93" w14:paraId="79CBC772" w14:textId="77777777" w:rsidTr="00FD6C9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826" w:type="dxa"/>
          </w:tcPr>
          <w:p w14:paraId="63BA6447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Контузия легких</w:t>
            </w:r>
          </w:p>
        </w:tc>
        <w:tc>
          <w:tcPr>
            <w:tcW w:w="4821" w:type="dxa"/>
          </w:tcPr>
          <w:p w14:paraId="00A5F59A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Массивные гемотрансфузии</w:t>
            </w:r>
          </w:p>
        </w:tc>
      </w:tr>
      <w:tr w:rsidR="00FD6C93" w:rsidRPr="00FD6C93" w14:paraId="039DFF08" w14:textId="77777777" w:rsidTr="00FD6C9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26" w:type="dxa"/>
          </w:tcPr>
          <w:p w14:paraId="19AF4A97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Ингаляционные повре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</w:t>
            </w:r>
          </w:p>
        </w:tc>
        <w:tc>
          <w:tcPr>
            <w:tcW w:w="4821" w:type="dxa"/>
          </w:tcPr>
          <w:p w14:paraId="74CD50B4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Острый панкреатит</w:t>
            </w:r>
          </w:p>
        </w:tc>
      </w:tr>
      <w:tr w:rsidR="00FD6C93" w:rsidRPr="00FD6C93" w14:paraId="738ED2C2" w14:textId="77777777" w:rsidTr="00D064C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826" w:type="dxa"/>
            <w:vMerge w:val="restart"/>
          </w:tcPr>
          <w:p w14:paraId="5F4D9046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Жировая эмболия (множестве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переломы двух и более трубчатых костей)</w:t>
            </w:r>
          </w:p>
        </w:tc>
        <w:tc>
          <w:tcPr>
            <w:tcW w:w="4821" w:type="dxa"/>
          </w:tcPr>
          <w:p w14:paraId="3DA4BA60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Ожоги</w:t>
            </w:r>
          </w:p>
        </w:tc>
      </w:tr>
      <w:tr w:rsidR="00FD6C93" w:rsidRPr="00FD6C93" w14:paraId="7553D55E" w14:textId="77777777" w:rsidTr="00FD6C93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3826" w:type="dxa"/>
            <w:vMerge/>
          </w:tcPr>
          <w:p w14:paraId="49384D2B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14:paraId="0FF54BA8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Геморрагических шок</w:t>
            </w:r>
          </w:p>
          <w:p w14:paraId="50642820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Передозировка некоторых лекарстве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препаратов (опиаты, барбит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раты)</w:t>
            </w:r>
          </w:p>
          <w:p w14:paraId="2D642107" w14:textId="77777777" w:rsidR="00FD6C93" w:rsidRPr="00FD6C93" w:rsidRDefault="00FD6C93" w:rsidP="00FD6C93">
            <w:pPr>
              <w:pStyle w:val="a3"/>
              <w:shd w:val="clear" w:color="000000" w:fill="auto"/>
              <w:spacing w:line="360" w:lineRule="auto"/>
              <w:ind w:firstLine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ДВС</w:t>
            </w:r>
          </w:p>
        </w:tc>
      </w:tr>
    </w:tbl>
    <w:p w14:paraId="2C2D7075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6401557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Пациенты с ОРДС вследствие прямого повреждения легких имеют, как прав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ло, лучший клинический прогноз, чем те, у которых патологический процесс 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сит систе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ный характер.</w:t>
      </w:r>
    </w:p>
    <w:p w14:paraId="437F8678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Прямые факторы риска развития ОПЛ и ОРДС инициируют воспалительный каскад в легких либо путем ингаляционного повреждения, либо путем эмболиз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ции микрососудистого русла (амниотическая эмболия). Все это непосредственно повре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дает альвеолокапиллярную мембрану. Проявления ОРДС зависят от тяжести начал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ного повреждения легких, общих резервов больного и развития ятрогенных осложн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ний (аспирация желудочным содержимым, баротравма, токсическое действие кисл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рода).</w:t>
      </w:r>
    </w:p>
    <w:p w14:paraId="0E567799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При системном повреждении микроциркулятороного русла воспалительный процесс в легких может рассматриваться как одно из проявлений системной воспал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тельной реакции (СВР).</w:t>
      </w:r>
    </w:p>
    <w:p w14:paraId="2636DF6E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Особенности нарушений легочного газообмена и общая клиническая карт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на примерно соответствуют морфологическим изменениям в легочной паренхиме, а п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тому определяют стадийность развития ОПЛ. Морфологически процесс развития ча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то разделяют на три стадии: экссудативную, пролиферативную и фиброзную. Клин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ческие симптомы ОПЛ неспецифичны и могут быть представлены нарастающей одышкой и признаками гипоксии с повышением давления на вдохе, прогрессиру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щей инфильтрацией на рентгенограмме легких, артериальной гип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тензией неясного происхождения, которые выявляются через 12-24 ч после действия эти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логического фактора. Реже это легочное осложнение развивается в первые часы (аспирация кисл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го желудочного содержимого), но еще реже спустя 2-3 суток после воздействия п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вреждающих факторов на легкие больного.</w:t>
      </w:r>
    </w:p>
    <w:p w14:paraId="2226574E" w14:textId="77777777" w:rsidR="00FD6C93" w:rsidRPr="00FD6C93" w:rsidRDefault="00FD6C93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14:paraId="33F004BB" w14:textId="77777777" w:rsidR="00D9657D" w:rsidRPr="00FD6C93" w:rsidRDefault="00D9657D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FD6C93">
        <w:rPr>
          <w:rFonts w:ascii="Times New Roman" w:hAnsi="Times New Roman" w:cs="Times New Roman"/>
          <w:b/>
          <w:color w:val="000000"/>
          <w:sz w:val="28"/>
          <w:szCs w:val="32"/>
        </w:rPr>
        <w:t>3. Стадии и периоды</w:t>
      </w:r>
    </w:p>
    <w:p w14:paraId="19F25905" w14:textId="77777777" w:rsidR="00FD6C93" w:rsidRPr="00FD6C93" w:rsidRDefault="00FD6C93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14DDB8E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Условно экссудативный период разделяют на </w:t>
      </w:r>
      <w:r w:rsidRPr="00FD6C93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стадии. В первой (начал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ной) состояние больного средней тяжести, признаки острой дыхательной недост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точности не выражены. Сдвиги показателей внешнего дыхания, если они исследуются, соо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ветствуют примерно обычной послеоперационной динамике, а эффективность окс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генации снижена незначительно (РаО</w:t>
      </w:r>
      <w:r w:rsidRPr="00FD6C9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около </w:t>
      </w:r>
      <w:smartTag w:uri="urn:schemas-microsoft-com:office:smarttags" w:element="metricconverter">
        <w:smartTagPr>
          <w:attr w:name="ProductID" w:val="70 мм"/>
        </w:smartTagPr>
        <w:r w:rsidRPr="00FD6C93">
          <w:rPr>
            <w:rFonts w:ascii="Times New Roman" w:hAnsi="Times New Roman" w:cs="Times New Roman"/>
            <w:color w:val="000000"/>
            <w:sz w:val="28"/>
            <w:szCs w:val="28"/>
          </w:rPr>
          <w:t>70 мм</w:t>
        </w:r>
      </w:smartTag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рт. ст.). При перкуссии легких в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является умеренное притупление в нижне-средних отделах, при аускультации — ж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сткое дыхание с небольшим количеством хрипов. На рен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генограмме определяется усиление легочного рисунка, двусторонние мелкоочаговые тени. Тенденция к тах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кардии не внушает беспокойства, системное АД соо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ветствует уровню, характерному для данного пациента. Морфологическая картина на этой стадии складывается из 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терстициального отека, мозаичных нарушений кровообращения в легких. Эти изм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нения обычно разрешаются при быстрой нормализации кровообращения (восстано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ление эффективного ОЦК и микроцирк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ляции).</w:t>
      </w:r>
    </w:p>
    <w:p w14:paraId="22EC75AF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морфологических изменений в легких проявляется кл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никой развития дыхательных расстройств (вторая стадия). Состояние больного тяж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лое, у некоторых пациентов отмечают угнетение сознания, у других - чу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ство страха, беспокойство. Одышка, тахипноэ при разговоре заметно нарастают. У многих пац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ентов при отсутствии анемии - отчетливый цианоз. При перкуссии лего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ных полей улавливаются неравномерно локализованные зоны притупления перкуторного звука, при аускул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тации легких - заметное ослабление дыхания в нижних отделах на фоне ограничения подвижности легочного края. Функциональные нарушения характер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зуются уменьшением ЖЕЛ. Наблюдается резкое сниж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ние статической легочно-торакальной растяжимости (ниже 60-50 мл/см вод. ст. и более), значительно возраст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ет работа дыхания для преодоления эл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стического сопротивления легких. Если на этом фоне по тем или иным показаниям выполняют бронхоскопию, бронхиальное д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рево оказывается практически свободным от мокроты. При этом выявляется знач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тельная гипоксемия (менее </w:t>
      </w:r>
      <w:smartTag w:uri="urn:schemas-microsoft-com:office:smarttags" w:element="metricconverter">
        <w:smartTagPr>
          <w:attr w:name="ProductID" w:val="60 мм"/>
        </w:smartTagPr>
        <w:r w:rsidRPr="00FD6C93">
          <w:rPr>
            <w:rFonts w:ascii="Times New Roman" w:hAnsi="Times New Roman" w:cs="Times New Roman"/>
            <w:color w:val="000000"/>
            <w:sz w:val="28"/>
            <w:szCs w:val="28"/>
          </w:rPr>
          <w:t>60 мм</w:t>
        </w:r>
      </w:smartTag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рт. ст.), нередко необычная для данного этапа п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слеоперационного периода, которая не к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пируется оксигенотерапией и сочетается с предельным снижением РаСО</w:t>
      </w:r>
      <w:r w:rsidRPr="00FD6C9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30 мм"/>
        </w:smartTagPr>
        <w:r w:rsidRPr="00FD6C93">
          <w:rPr>
            <w:rFonts w:ascii="Times New Roman" w:hAnsi="Times New Roman" w:cs="Times New Roman"/>
            <w:color w:val="000000"/>
            <w:sz w:val="28"/>
            <w:szCs w:val="28"/>
          </w:rPr>
          <w:t>30 мм</w:t>
        </w:r>
      </w:smartTag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рт. ст. и ниже). Клинические проявления в этой стадии уже сопровождаются типичной рентгенологической картиной: расшир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ние и ячеистая деформация сосудистых теней, вуалеобразное затенение легочных п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лей. Группа признаков со стороны сердечно-сосудистой системы представлена сто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кой тахикардией, часто умеренной артериальной гипотензией, с относительно нев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соким ЦВД и легочным капиллярным давлением </w:t>
      </w:r>
      <w:smartTag w:uri="urn:schemas-microsoft-com:office:smarttags" w:element="metricconverter">
        <w:smartTagPr>
          <w:attr w:name="ProductID" w:val="18 мм"/>
        </w:smartTagPr>
        <w:r w:rsidRPr="00FD6C93">
          <w:rPr>
            <w:rFonts w:ascii="Times New Roman" w:hAnsi="Times New Roman" w:cs="Times New Roman"/>
            <w:color w:val="000000"/>
            <w:sz w:val="28"/>
            <w:szCs w:val="28"/>
          </w:rPr>
          <w:t>18 мм</w:t>
        </w:r>
      </w:smartTag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рт. ст. и ниже. При этом да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ление в системе легочной арт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рии, как правило, все же повышено.</w:t>
      </w:r>
    </w:p>
    <w:p w14:paraId="646B7CA9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Морфологические изменения во второй стадии заключаются в значител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ном увеличение плотности и полнокровии легких, деформации альвеол с утолщ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нием их стенок, полнокровии сосудов межальвеолярных перегородок и стазом крови в капи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лярах. В целом наблюдается картина интерстициального отека и 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чинающегося внутриальвеоля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ного отека легких.</w:t>
      </w:r>
    </w:p>
    <w:p w14:paraId="0A9A4CAE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На следующей </w:t>
      </w:r>
      <w:r w:rsidRPr="00FD6C93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стадии сознание больного обычно заторможено. Наблюдае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ся тахипноэ с малыми дыхательными объемами, диффузный цианоз кожных покр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вов, имеются признаки повышенной "работы дыхания". При аускультации выслуш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ваются зоны "амфорического дыхания", отмечается выраженная артериальная гипо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семия, нарастающая гиперкапния. На фронтальной рентгенограмме легких определ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ются множественные сливающиеся тени ("снежная буря"), может быть выпот в пле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ральных п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лостях.</w:t>
      </w:r>
    </w:p>
    <w:p w14:paraId="5C7C72F2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Отмечается выраженная тахикардия, часто артериальная гипертензия, давление в системе легочной артерии высокое, часто сопровождается перегрузкой правых 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делов сердца.</w:t>
      </w:r>
    </w:p>
    <w:p w14:paraId="2D528F8C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На этой стадии морфологическая картина заключается в следующем: белок и форменные элементы в альвеолах, отслаивание эпителия и утолщение альвеоля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ной стенки, микротромбы в сосудах, множественные кровооизлияния в ткань легкого и участки ателектазов. Отмечаются воспалительные очаги по типу серо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но-десквамационной пневмонии, наблюдается выраженная лимфоидно-клеточная гипе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плазия перибронхиального аппар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та, увеличивается коллагенообразование в септах, окруженных нейтрофилами и макроф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гами.</w:t>
      </w:r>
    </w:p>
    <w:p w14:paraId="5359BB56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В заключительной </w:t>
      </w:r>
      <w:r w:rsidRPr="00FD6C93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стадии сознание пациента обычно нарушено (сопор). 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скультативно выслушиваются множественные разнокалиберные хрипы. Отм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чается артериальная гипоксемия и гиперкапния, которые корректируются только "агресси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ными" методами респираторной поддержки. На рентгенограмме легких выявляется затемнение больших участков (доли, сегмента), рентгенолог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ческие признаки отека. Давление в системе легочной артерии высокое, что часто приводит к развитию пр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вожелудочковой недостаточности.</w:t>
      </w:r>
    </w:p>
    <w:p w14:paraId="3474A50A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Морфологически на этой стадии определяется картина альвеолярного от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ка, фибрин в альвеолах, гиалиновые мембраны в альвеолярных стенках, микр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тромбы в сосудах, фиброз легочной ткани, в зонах ателектазов появляются участки гемо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рагий, которые, сливаясь между собой, образуют распространенные поля кровои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лияний.</w:t>
      </w:r>
    </w:p>
    <w:p w14:paraId="79EC3F74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Экссудативный период ОПЛ сменяется пролиферативным, если больной пер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живает стадию ОДН. Последствия и исход ОПЛ и ОРДС - бронхопневмония, микр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абсцессы легких и так называемые гиалиновые мембраны - н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блюдаются только у тех больных, которые пережили несколько дней. Одновременно приор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тетное значение приобретают аутоиммунные процессы, которые формируют диффузный легочный фи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роз со всеми трудностями преодоления связанных с этой патологией расстройств.</w:t>
      </w:r>
    </w:p>
    <w:p w14:paraId="774B48A3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ОРДС в ранней фазе следует дифференцировать с левожелудочковой серде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ной недостаточностью, пневмонией, легочным кровотечением с распростр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ненной аспир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цией крови в бронхиальное дерево.</w:t>
      </w:r>
    </w:p>
    <w:p w14:paraId="1E2E8D07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У пациентов с гемодинамическим альвеолярным отеком легких, развивающи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ся постепенно, клинико-рентгенологические проявления иногда очень близки с ОЛП. Ана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нез больного, размеры и конфигурация сердечной тени, выявление третьего тона при аускультации сердца, а также быстрая динамика рентгенолог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ческих данных под влиянием диуретиков или ультрафильтрации позволяют у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верждать, что в данном случае изменения в легких связаны скорее с застойной сердечной недостато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ностью, чем с ОПЛ. Решающее значение для диагностики может дать измерение легочного капиллярного давления после постановки в л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гочную артерию катетера Swan-Ganz. За редким исключением, давление заклинивания ниже </w:t>
      </w:r>
      <w:smartTag w:uri="urn:schemas-microsoft-com:office:smarttags" w:element="metricconverter">
        <w:smartTagPr>
          <w:attr w:name="ProductID" w:val="20 мм"/>
        </w:smartTagPr>
        <w:r w:rsidRPr="00FD6C93">
          <w:rPr>
            <w:rFonts w:ascii="Times New Roman" w:hAnsi="Times New Roman" w:cs="Times New Roman"/>
            <w:color w:val="000000"/>
            <w:sz w:val="28"/>
            <w:szCs w:val="28"/>
          </w:rPr>
          <w:t>20 мм</w:t>
        </w:r>
      </w:smartTag>
      <w:r w:rsidRPr="00FD6C93">
        <w:rPr>
          <w:rFonts w:ascii="Times New Roman" w:hAnsi="Times New Roman" w:cs="Times New Roman"/>
          <w:color w:val="000000"/>
          <w:sz w:val="28"/>
          <w:szCs w:val="28"/>
        </w:rPr>
        <w:t xml:space="preserve"> рт. ст. подтверждает д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агноз ОЛП, а не гемодинамического от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ка.</w:t>
      </w:r>
    </w:p>
    <w:p w14:paraId="7AE50A19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В некоторых случаях быстро прогрессирующая пневмония смешанного г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неза (вирусно-бактериальная, микоплазменная) без проведения специального исследов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ния мокроты с помощью специальных методов исследования нередко ошибочно ра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сма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ривается как “шоковое легкое”.</w:t>
      </w:r>
    </w:p>
    <w:p w14:paraId="3FC16901" w14:textId="77777777" w:rsidR="00D447E5" w:rsidRPr="00FD6C93" w:rsidRDefault="00D447E5" w:rsidP="00FD6C93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D6C93">
        <w:rPr>
          <w:rFonts w:ascii="Times New Roman" w:hAnsi="Times New Roman" w:cs="Times New Roman"/>
          <w:color w:val="000000"/>
          <w:sz w:val="28"/>
          <w:szCs w:val="28"/>
        </w:rPr>
        <w:t>Стойкое сохранение теней на рентгенограмме, особенно при их одност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ронней локализации, может свидетельствовать о поражении легких, связанном с тромбоэ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D6C93">
        <w:rPr>
          <w:rFonts w:ascii="Times New Roman" w:hAnsi="Times New Roman" w:cs="Times New Roman"/>
          <w:color w:val="000000"/>
          <w:sz w:val="28"/>
          <w:szCs w:val="28"/>
        </w:rPr>
        <w:t>болией или тромбозом в бассейне легочной артерии.</w:t>
      </w:r>
    </w:p>
    <w:p w14:paraId="79E61204" w14:textId="77777777" w:rsidR="00FD6C93" w:rsidRPr="00FD6C93" w:rsidRDefault="00FD6C93" w:rsidP="00FD6C93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14:paraId="0A4E2EAC" w14:textId="77777777" w:rsidR="004A5C26" w:rsidRPr="00FD6C93" w:rsidRDefault="00FD6C93" w:rsidP="00FD6C93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FD6C93">
        <w:rPr>
          <w:b/>
          <w:sz w:val="28"/>
          <w:szCs w:val="32"/>
        </w:rPr>
        <w:br w:type="page"/>
        <w:t>Литература</w:t>
      </w:r>
    </w:p>
    <w:p w14:paraId="746142D7" w14:textId="77777777" w:rsidR="00FD6C93" w:rsidRPr="00FD6C93" w:rsidRDefault="00FD6C93" w:rsidP="00FD6C93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14:paraId="524E2173" w14:textId="77777777" w:rsidR="004A5C26" w:rsidRPr="00FD6C93" w:rsidRDefault="004A5C26" w:rsidP="00FD6C93">
      <w:pPr>
        <w:widowControl w:val="0"/>
        <w:numPr>
          <w:ilvl w:val="0"/>
          <w:numId w:val="14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FD6C93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FD6C93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FD6C93">
        <w:rPr>
          <w:sz w:val="28"/>
        </w:rPr>
        <w:t xml:space="preserve"> </w:t>
      </w:r>
      <w:r w:rsidRPr="00FD6C93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FD6C93">
        <w:rPr>
          <w:sz w:val="28"/>
        </w:rPr>
        <w:t xml:space="preserve"> </w:t>
      </w:r>
      <w:r w:rsidRPr="00FD6C93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14:paraId="1A660F9F" w14:textId="77777777" w:rsidR="004A5C26" w:rsidRPr="00FD6C93" w:rsidRDefault="004A5C26" w:rsidP="00FD6C93">
      <w:pPr>
        <w:widowControl w:val="0"/>
        <w:numPr>
          <w:ilvl w:val="0"/>
          <w:numId w:val="14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FD6C93">
        <w:rPr>
          <w:b/>
          <w:bCs/>
          <w:sz w:val="28"/>
        </w:rPr>
        <w:t>Интенсивная терапия. Реанимация. Первая помощь:</w:t>
      </w:r>
      <w:r w:rsidRPr="00FD6C93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FD6C93">
        <w:rPr>
          <w:sz w:val="28"/>
          <w:lang w:val="en-US"/>
        </w:rPr>
        <w:t>ISBN</w:t>
      </w:r>
      <w:r w:rsidRPr="00FD6C93">
        <w:rPr>
          <w:sz w:val="28"/>
        </w:rPr>
        <w:t xml:space="preserve"> 5-225-04560-Х</w:t>
      </w:r>
    </w:p>
    <w:p w14:paraId="58720E3E" w14:textId="77777777" w:rsidR="00D447E5" w:rsidRPr="00FD6C93" w:rsidRDefault="00D447E5" w:rsidP="00FD6C9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sectPr w:rsidR="00D447E5" w:rsidRPr="00FD6C93" w:rsidSect="00FD6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C0F4" w14:textId="77777777" w:rsidR="00D8745F" w:rsidRDefault="00D8745F">
      <w:r>
        <w:separator/>
      </w:r>
    </w:p>
  </w:endnote>
  <w:endnote w:type="continuationSeparator" w:id="0">
    <w:p w14:paraId="4D0F802C" w14:textId="77777777" w:rsidR="00D8745F" w:rsidRDefault="00D8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C6BE" w14:textId="77777777" w:rsidR="003B2C55" w:rsidRDefault="003B2C55" w:rsidP="00A835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AB4F06" w14:textId="77777777" w:rsidR="003B2C55" w:rsidRDefault="003B2C55" w:rsidP="003B2C5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D0BA" w14:textId="77777777" w:rsidR="003B2C55" w:rsidRDefault="003B2C55" w:rsidP="00A835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5A45">
      <w:rPr>
        <w:rStyle w:val="a9"/>
        <w:noProof/>
      </w:rPr>
      <w:t>15</w:t>
    </w:r>
    <w:r>
      <w:rPr>
        <w:rStyle w:val="a9"/>
      </w:rPr>
      <w:fldChar w:fldCharType="end"/>
    </w:r>
  </w:p>
  <w:p w14:paraId="64B05E3D" w14:textId="77777777" w:rsidR="003B2C55" w:rsidRDefault="003B2C55" w:rsidP="003B2C55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AD35" w14:textId="77777777" w:rsidR="00FD6C93" w:rsidRDefault="00FD6C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097A" w14:textId="77777777" w:rsidR="00D8745F" w:rsidRDefault="00D8745F">
      <w:r>
        <w:separator/>
      </w:r>
    </w:p>
  </w:footnote>
  <w:footnote w:type="continuationSeparator" w:id="0">
    <w:p w14:paraId="271B9146" w14:textId="77777777" w:rsidR="00D8745F" w:rsidRDefault="00D8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FF8B" w14:textId="77777777" w:rsidR="00FD6C93" w:rsidRDefault="00FD6C9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18D0" w14:textId="77777777" w:rsidR="00FD6C93" w:rsidRDefault="00FD6C9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92CB" w14:textId="77777777" w:rsidR="00FD6C93" w:rsidRDefault="00FD6C9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044E6B"/>
    <w:multiLevelType w:val="hybridMultilevel"/>
    <w:tmpl w:val="42D8E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6444"/>
    <w:multiLevelType w:val="hybridMultilevel"/>
    <w:tmpl w:val="95A6936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6542A92"/>
    <w:multiLevelType w:val="hybridMultilevel"/>
    <w:tmpl w:val="BFE097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C67EC5"/>
    <w:multiLevelType w:val="hybridMultilevel"/>
    <w:tmpl w:val="49DE4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F3B4F"/>
    <w:multiLevelType w:val="hybridMultilevel"/>
    <w:tmpl w:val="0F64B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70D81"/>
    <w:multiLevelType w:val="hybridMultilevel"/>
    <w:tmpl w:val="88583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F2F6F"/>
    <w:multiLevelType w:val="hybridMultilevel"/>
    <w:tmpl w:val="C2A27C9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0A960E6"/>
    <w:multiLevelType w:val="hybridMultilevel"/>
    <w:tmpl w:val="4EEC2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0700F"/>
    <w:multiLevelType w:val="hybridMultilevel"/>
    <w:tmpl w:val="860C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92DDC"/>
    <w:multiLevelType w:val="hybridMultilevel"/>
    <w:tmpl w:val="2D7C3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C5E5E51"/>
    <w:multiLevelType w:val="hybridMultilevel"/>
    <w:tmpl w:val="4BF09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87C4F"/>
    <w:multiLevelType w:val="hybridMultilevel"/>
    <w:tmpl w:val="89F03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E5"/>
    <w:rsid w:val="001F6019"/>
    <w:rsid w:val="00265A45"/>
    <w:rsid w:val="003B2C55"/>
    <w:rsid w:val="003D07C6"/>
    <w:rsid w:val="00480378"/>
    <w:rsid w:val="004A5C26"/>
    <w:rsid w:val="004C5A24"/>
    <w:rsid w:val="005E77A6"/>
    <w:rsid w:val="0061336B"/>
    <w:rsid w:val="007D4CC9"/>
    <w:rsid w:val="008F12B2"/>
    <w:rsid w:val="00A835FC"/>
    <w:rsid w:val="00AC5F2E"/>
    <w:rsid w:val="00C56C1F"/>
    <w:rsid w:val="00CC32C7"/>
    <w:rsid w:val="00D064CC"/>
    <w:rsid w:val="00D447E5"/>
    <w:rsid w:val="00D8745F"/>
    <w:rsid w:val="00D9657D"/>
    <w:rsid w:val="00E611F2"/>
    <w:rsid w:val="00F77430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460AA"/>
  <w14:defaultImageDpi w14:val="0"/>
  <w15:docId w15:val="{AFC42458-936A-40DC-A527-A7585F41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7E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447E5"/>
    <w:pPr>
      <w:keepNext/>
      <w:ind w:left="1080" w:hanging="54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447E5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447E5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customStyle="1" w:styleId="FR2">
    <w:name w:val="FR2"/>
    <w:uiPriority w:val="99"/>
    <w:rsid w:val="00D447E5"/>
    <w:pPr>
      <w:widowControl w:val="0"/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styleId="a5">
    <w:name w:val="Body Text"/>
    <w:basedOn w:val="a"/>
    <w:link w:val="a6"/>
    <w:uiPriority w:val="99"/>
    <w:rsid w:val="00D447E5"/>
    <w:pPr>
      <w:jc w:val="both"/>
    </w:pPr>
    <w:rPr>
      <w:sz w:val="22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D447E5"/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3B2C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3B2C55"/>
    <w:rPr>
      <w:rFonts w:cs="Times New Roman"/>
    </w:rPr>
  </w:style>
  <w:style w:type="paragraph" w:styleId="aa">
    <w:name w:val="Normal (Web)"/>
    <w:basedOn w:val="a"/>
    <w:uiPriority w:val="99"/>
    <w:rsid w:val="001F6019"/>
  </w:style>
  <w:style w:type="paragraph" w:styleId="ab">
    <w:name w:val="header"/>
    <w:basedOn w:val="a"/>
    <w:link w:val="ac"/>
    <w:uiPriority w:val="99"/>
    <w:rsid w:val="00FD6C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32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2981</Words>
  <Characters>16995</Characters>
  <Application>Microsoft Office Word</Application>
  <DocSecurity>0</DocSecurity>
  <Lines>141</Lines>
  <Paragraphs>39</Paragraphs>
  <ScaleCrop>false</ScaleCrop>
  <Company>Дом</Company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33</dc:title>
  <dc:subject/>
  <dc:creator>Юля</dc:creator>
  <cp:keywords/>
  <dc:description/>
  <cp:lastModifiedBy>Igor</cp:lastModifiedBy>
  <cp:revision>3</cp:revision>
  <dcterms:created xsi:type="dcterms:W3CDTF">2025-02-24T22:33:00Z</dcterms:created>
  <dcterms:modified xsi:type="dcterms:W3CDTF">2025-02-24T22:33:00Z</dcterms:modified>
</cp:coreProperties>
</file>