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BE9C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Министерство образования Российской Федерации</w:t>
      </w:r>
    </w:p>
    <w:p w14:paraId="270B19A0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Пензенский Государственный Университет</w:t>
      </w:r>
    </w:p>
    <w:p w14:paraId="6FE2D661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Медицинский Институт</w:t>
      </w:r>
    </w:p>
    <w:p w14:paraId="6C473D79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040E3D14" w14:textId="77777777" w:rsidR="00D254DB" w:rsidRPr="008C22AC" w:rsidRDefault="00D254DB" w:rsidP="008C22AC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Кафедра Хирургии</w:t>
      </w:r>
    </w:p>
    <w:p w14:paraId="3149CDF5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6EF17D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333F2B" w14:textId="77777777" w:rsid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0B5114" w14:textId="77777777" w:rsidR="00D254DB" w:rsidRPr="008C22AC" w:rsidRDefault="00D254DB" w:rsidP="008C22A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Зав. кафедрой д.м.н., </w:t>
      </w:r>
    </w:p>
    <w:p w14:paraId="78323ADD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091EE1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F27B7A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77B3B7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Реферат</w:t>
      </w:r>
    </w:p>
    <w:p w14:paraId="72363664" w14:textId="77777777" w:rsidR="00D254DB" w:rsidRPr="008C22AC" w:rsidRDefault="00D254DB" w:rsidP="008C22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на тему:</w:t>
      </w:r>
    </w:p>
    <w:p w14:paraId="24D17C09" w14:textId="77777777" w:rsidR="00D254DB" w:rsidRPr="008C22AC" w:rsidRDefault="008B50EE" w:rsidP="008C22AC">
      <w:pPr>
        <w:pStyle w:val="1"/>
        <w:spacing w:before="0" w:line="360" w:lineRule="auto"/>
        <w:ind w:firstLine="709"/>
        <w:rPr>
          <w:b w:val="0"/>
          <w:bCs w:val="0"/>
          <w:caps w:val="0"/>
          <w:spacing w:val="0"/>
          <w:sz w:val="28"/>
          <w:szCs w:val="28"/>
        </w:rPr>
      </w:pPr>
      <w:r w:rsidRPr="008C22AC">
        <w:rPr>
          <w:b w:val="0"/>
          <w:bCs w:val="0"/>
          <w:caps w:val="0"/>
          <w:spacing w:val="0"/>
          <w:sz w:val="28"/>
          <w:szCs w:val="28"/>
        </w:rPr>
        <w:t>«Анестезия при о</w:t>
      </w:r>
      <w:r w:rsidR="008C22AC">
        <w:rPr>
          <w:b w:val="0"/>
          <w:bCs w:val="0"/>
          <w:caps w:val="0"/>
          <w:spacing w:val="0"/>
          <w:sz w:val="28"/>
          <w:szCs w:val="28"/>
        </w:rPr>
        <w:t>перациях на бедре</w:t>
      </w:r>
      <w:r w:rsidR="00D254DB" w:rsidRPr="008C22AC">
        <w:rPr>
          <w:b w:val="0"/>
          <w:bCs w:val="0"/>
          <w:caps w:val="0"/>
          <w:spacing w:val="0"/>
          <w:sz w:val="28"/>
          <w:szCs w:val="28"/>
        </w:rPr>
        <w:t>»</w:t>
      </w:r>
    </w:p>
    <w:p w14:paraId="139039B7" w14:textId="77777777" w:rsidR="00D254DB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02F028" w14:textId="77777777" w:rsid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C3FDBB" w14:textId="77777777" w:rsid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E9C88C" w14:textId="77777777" w:rsidR="008C22AC" w:rsidRP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BF85FD" w14:textId="77777777" w:rsid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8420AB" w14:textId="77777777" w:rsid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Выполнила: студентка V курса </w:t>
      </w:r>
    </w:p>
    <w:p w14:paraId="43E5E6DC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Проверил: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 xml:space="preserve">к.м.н., доцент </w:t>
      </w:r>
    </w:p>
    <w:p w14:paraId="65D65C3D" w14:textId="77777777" w:rsidR="00D254DB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9D7396" w14:textId="77777777" w:rsidR="008C22AC" w:rsidRP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68431F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E3B907" w14:textId="77777777" w:rsidR="00D254DB" w:rsidRPr="008C22AC" w:rsidRDefault="00D254DB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3E274B" w14:textId="77777777" w:rsidR="008B50EE" w:rsidRPr="008C22AC" w:rsidRDefault="008B50EE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765BB6" w14:textId="77777777" w:rsidR="00D254DB" w:rsidRPr="008C22AC" w:rsidRDefault="00D254DB" w:rsidP="008C22AC">
      <w:pPr>
        <w:pStyle w:val="a6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Пенза</w:t>
      </w:r>
    </w:p>
    <w:p w14:paraId="5DA92B82" w14:textId="77777777" w:rsidR="00D254DB" w:rsidRPr="008C22AC" w:rsidRDefault="008B50EE" w:rsidP="008C22AC">
      <w:pPr>
        <w:pStyle w:val="a6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2009</w:t>
      </w:r>
    </w:p>
    <w:p w14:paraId="3DF704A0" w14:textId="77777777" w:rsidR="00D254DB" w:rsidRPr="008C22AC" w:rsidRDefault="008C22AC" w:rsidP="008C22AC">
      <w:pPr>
        <w:pStyle w:val="1"/>
        <w:spacing w:before="0" w:line="360" w:lineRule="auto"/>
        <w:ind w:firstLine="709"/>
        <w:jc w:val="both"/>
        <w:rPr>
          <w:caps w:val="0"/>
          <w:spacing w:val="0"/>
          <w:sz w:val="28"/>
          <w:szCs w:val="28"/>
        </w:rPr>
      </w:pPr>
      <w:r>
        <w:rPr>
          <w:b w:val="0"/>
          <w:bCs w:val="0"/>
          <w:caps w:val="0"/>
          <w:spacing w:val="0"/>
          <w:sz w:val="28"/>
          <w:szCs w:val="28"/>
        </w:rPr>
        <w:br w:type="page"/>
      </w:r>
      <w:r w:rsidR="00D254DB" w:rsidRPr="008C22AC">
        <w:rPr>
          <w:caps w:val="0"/>
          <w:spacing w:val="0"/>
          <w:sz w:val="28"/>
          <w:szCs w:val="28"/>
        </w:rPr>
        <w:lastRenderedPageBreak/>
        <w:t>План</w:t>
      </w:r>
    </w:p>
    <w:p w14:paraId="48794544" w14:textId="77777777" w:rsidR="008C22AC" w:rsidRPr="008C22AC" w:rsidRDefault="008C22AC" w:rsidP="008C22AC">
      <w:pPr>
        <w:rPr>
          <w:sz w:val="28"/>
          <w:szCs w:val="28"/>
        </w:rPr>
      </w:pPr>
    </w:p>
    <w:p w14:paraId="6F63250E" w14:textId="77777777" w:rsidR="008B50EE" w:rsidRPr="008C22AC" w:rsidRDefault="008B50EE" w:rsidP="008C22AC">
      <w:pPr>
        <w:widowControl/>
        <w:spacing w:line="360" w:lineRule="auto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Введение</w:t>
      </w:r>
    </w:p>
    <w:p w14:paraId="499184BE" w14:textId="77777777" w:rsidR="00D254DB" w:rsidRPr="008C22AC" w:rsidRDefault="008B50EE" w:rsidP="008C22AC">
      <w:pPr>
        <w:widowControl/>
        <w:numPr>
          <w:ilvl w:val="0"/>
          <w:numId w:val="1"/>
        </w:numPr>
        <w:tabs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Перелом бедра</w:t>
      </w:r>
    </w:p>
    <w:p w14:paraId="6E9E5432" w14:textId="77777777" w:rsidR="00D254DB" w:rsidRPr="008C22AC" w:rsidRDefault="008B50EE" w:rsidP="008C22AC">
      <w:pPr>
        <w:widowControl/>
        <w:numPr>
          <w:ilvl w:val="0"/>
          <w:numId w:val="1"/>
        </w:numPr>
        <w:tabs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Тотальное эндопротезирование тазобедренного сустава</w:t>
      </w:r>
    </w:p>
    <w:p w14:paraId="4B1106F0" w14:textId="77777777" w:rsidR="00D254DB" w:rsidRPr="008C22AC" w:rsidRDefault="00D254DB" w:rsidP="008C22AC">
      <w:pPr>
        <w:widowControl/>
        <w:spacing w:line="360" w:lineRule="auto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Литература</w:t>
      </w:r>
    </w:p>
    <w:p w14:paraId="6743F9EE" w14:textId="77777777" w:rsidR="008B50EE" w:rsidRPr="008C22AC" w:rsidRDefault="008B50EE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D80A03" w14:textId="77777777" w:rsidR="008B50EE" w:rsidRPr="008C22AC" w:rsidRDefault="008C22AC" w:rsidP="008C22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B50EE" w:rsidRPr="008C22AC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3C04D3CE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3E60F3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Существует очень много видов ортопедических операций. Весьма разнообразен контингент больных: это могут быть и новорожденные с врожденными аномалиями, и молодые спортсмены без сопутствующих заболеваний, и обездвиженные старики в терминальной стадии полиорганной недостаточности. Объем хирургического вмешательства может колебаться о</w:t>
      </w:r>
      <w:r w:rsidR="001B67EF" w:rsidRPr="008C22AC">
        <w:rPr>
          <w:color w:val="000000"/>
          <w:sz w:val="28"/>
          <w:szCs w:val="28"/>
        </w:rPr>
        <w:t>т манипуляции на пальце до геми</w:t>
      </w:r>
      <w:r w:rsidRPr="008C22AC">
        <w:rPr>
          <w:color w:val="000000"/>
          <w:sz w:val="28"/>
          <w:szCs w:val="28"/>
        </w:rPr>
        <w:t>пелвэктомии (удаления половины таза и соответствующей ноги). Операции очень различаются по объему кровопотери, которая в одних случаях может быть полностью предотвращена наложением жгута, в то время как в других — становиться неуправляемой несмотря на все принятые меры. Положение больного на операционном столе может быть самым разным в зависимости от вида вмешательства. Регионарная анестезия при ортопедических операциях играет более важную роль, чем в любой другой области хирургии. Анестезиолог, работающий в ортопедии, должен обладать обширными знаниями и навыками.</w:t>
      </w:r>
    </w:p>
    <w:p w14:paraId="141A1F53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Наиболее распространенными операциями на бедре у взрослых являются остеосинтез при переломе бедренной к</w:t>
      </w:r>
      <w:r w:rsidR="001B67EF" w:rsidRPr="008C22AC">
        <w:rPr>
          <w:color w:val="000000"/>
          <w:sz w:val="28"/>
          <w:szCs w:val="28"/>
        </w:rPr>
        <w:t>ости, тотальное эндопротезирова</w:t>
      </w:r>
      <w:r w:rsidRPr="008C22AC">
        <w:rPr>
          <w:color w:val="000000"/>
          <w:sz w:val="28"/>
          <w:szCs w:val="28"/>
        </w:rPr>
        <w:t>ние тазобедренного сустава и закрытая репозиция вывиха бедра.</w:t>
      </w:r>
    </w:p>
    <w:p w14:paraId="49306CD9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CC956D" w14:textId="77777777" w:rsidR="00EF287C" w:rsidRP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B50EE" w:rsidRPr="008C22AC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EF287C" w:rsidRPr="008C22AC">
        <w:rPr>
          <w:b/>
          <w:bCs/>
          <w:color w:val="000000"/>
          <w:sz w:val="28"/>
          <w:szCs w:val="28"/>
        </w:rPr>
        <w:t>Перелом бедра</w:t>
      </w:r>
    </w:p>
    <w:p w14:paraId="008D5337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BE0593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>Предоперационный период</w:t>
      </w:r>
    </w:p>
    <w:p w14:paraId="3CE8B2C4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Большинство больных с переломами бедра — это пожилые люди с плохим состоянием здоровья. Летальность после перелома бедра составляет 10% во время пребывания в больнице и &gt; 25% — в течение первого года. Высока распространенность сопутствующих заболеваний — ИБС, нарушений мозгового кровообращения, ХОЗЛ и сахарного диабета.</w:t>
      </w:r>
    </w:p>
    <w:p w14:paraId="461EF0C1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Вследствие недостаточного потребления жидкости часто развивается выраженная дегидратация.</w:t>
      </w:r>
    </w:p>
    <w:p w14:paraId="2C06F701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Перелом может послужить причиной довольно значительной скрытой кровопотери, усугубляющей гиповолемию. Внутрисуставные переломы (субкапитальные, трансцервикальные) сопровождаются меньшей кровопотерей, чем внесуставные (основания шей</w:t>
      </w:r>
      <w:r w:rsidR="001B67EF" w:rsidRPr="008C22AC">
        <w:rPr>
          <w:color w:val="000000"/>
          <w:sz w:val="28"/>
          <w:szCs w:val="28"/>
        </w:rPr>
        <w:t>ки бедра, межвертельные, подвер</w:t>
      </w:r>
      <w:r w:rsidRPr="008C22AC">
        <w:rPr>
          <w:color w:val="000000"/>
          <w:sz w:val="28"/>
          <w:szCs w:val="28"/>
        </w:rPr>
        <w:t>тельные).</w:t>
      </w:r>
    </w:p>
    <w:p w14:paraId="223EA181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При переломах бедра часто возникает гипоксия, обусловленная жировой эмболией. В то время как феномен жировой эмболии наблюдается, вероятно, во всех случаях перелома длинных трубчатых костей, клинически выраженный синдром жировой эмболии встречается реже и представляет собой опасное для жизни осложнение (летальность составляет 10-20%). Согласно классическому описанию, синдром жировой эмболии развивается в течение 72 ч после перелома длинных трубчатых костей</w:t>
      </w:r>
      <w:r w:rsidR="001B67EF" w:rsidRP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 xml:space="preserve">или костей таза и характеризуется триадой симптомов: одышка, спутанность сознания и петехии. Существует две теории патогенеза жировой эмболии. Наиболее популярная из них гласит, что в области перелома из жировых клеток высвобождаются капельки жира, которые поступают в кровь через разрывы в сосудах медуллярного слоя. Согласно второй теории, капельки жира представляют собой хиломикроны, образующиеся в результате агрегации циркулирующих в крови свободных жирных кислот; в свою очередь, эта агрегация развивается вследствие изменений метаболизма жирных кислот. </w:t>
      </w:r>
      <w:r w:rsidRPr="008C22AC">
        <w:rPr>
          <w:color w:val="000000"/>
          <w:sz w:val="28"/>
          <w:szCs w:val="28"/>
        </w:rPr>
        <w:lastRenderedPageBreak/>
        <w:t>Независимо от патогенеза, повышенное содержание в крови свободных жирных кислот может оказывать токсич</w:t>
      </w:r>
      <w:r w:rsidR="001B67EF" w:rsidRPr="008C22AC">
        <w:rPr>
          <w:color w:val="000000"/>
          <w:sz w:val="28"/>
          <w:szCs w:val="28"/>
        </w:rPr>
        <w:t>еское воздействие на альвеолока</w:t>
      </w:r>
      <w:r w:rsidRPr="008C22AC">
        <w:rPr>
          <w:color w:val="000000"/>
          <w:sz w:val="28"/>
          <w:szCs w:val="28"/>
        </w:rPr>
        <w:t>пиллярную м</w:t>
      </w:r>
      <w:r w:rsidR="001B67EF" w:rsidRPr="008C22AC">
        <w:rPr>
          <w:color w:val="000000"/>
          <w:sz w:val="28"/>
          <w:szCs w:val="28"/>
        </w:rPr>
        <w:t>ембрану, вызывая РДСВ</w:t>
      </w:r>
      <w:r w:rsidRPr="008C22AC">
        <w:rPr>
          <w:color w:val="000000"/>
          <w:sz w:val="28"/>
          <w:szCs w:val="28"/>
        </w:rPr>
        <w:t>. Нарушения сознания (возбуждение, спутанность сознания, ступ</w:t>
      </w:r>
      <w:r w:rsidR="001B67EF" w:rsidRPr="008C22AC">
        <w:rPr>
          <w:color w:val="000000"/>
          <w:sz w:val="28"/>
          <w:szCs w:val="28"/>
        </w:rPr>
        <w:t>ор и кома) обусловлены поврежде</w:t>
      </w:r>
      <w:r w:rsidRPr="008C22AC">
        <w:rPr>
          <w:color w:val="000000"/>
          <w:sz w:val="28"/>
          <w:szCs w:val="28"/>
        </w:rPr>
        <w:t>нием мозговых капилляров и отеком мозга. Нарушения сознания могут усугубляться гипоксией.</w:t>
      </w:r>
    </w:p>
    <w:p w14:paraId="57C697EC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Появление петехии на поверхности грудной клетки, рук, подмышечных впадин, а также на конъюнктивах позволяет заподозрить синдром жировой эмболии. В сетчатке, моче и мокроте можно обнаружить капельки жира. Иногда возникают нарушения гемостаза (тромбоцитопения, удлинение ПВ и АЧТВ). Активно</w:t>
      </w:r>
      <w:r w:rsidR="001B67EF" w:rsidRPr="008C22AC">
        <w:rPr>
          <w:color w:val="000000"/>
          <w:sz w:val="28"/>
          <w:szCs w:val="28"/>
        </w:rPr>
        <w:t>сть липазы плазмы может быть по</w:t>
      </w:r>
      <w:r w:rsidRPr="008C22AC">
        <w:rPr>
          <w:color w:val="000000"/>
          <w:sz w:val="28"/>
          <w:szCs w:val="28"/>
        </w:rPr>
        <w:t>вышенной, но это не коррелирует с тяжестью заболевания. Поражение легких прогрессирует от незначительной гипоксии и отсутствия рентгенологических изменений до тяж</w:t>
      </w:r>
      <w:r w:rsidR="001B67EF" w:rsidRPr="008C22AC">
        <w:rPr>
          <w:color w:val="000000"/>
          <w:sz w:val="28"/>
          <w:szCs w:val="28"/>
        </w:rPr>
        <w:t>елой гипокапнии и гипоксии в со</w:t>
      </w:r>
      <w:r w:rsidRPr="008C22AC">
        <w:rPr>
          <w:color w:val="000000"/>
          <w:sz w:val="28"/>
          <w:szCs w:val="28"/>
        </w:rPr>
        <w:t xml:space="preserve">четании с диффузными очаговыми тенями на рентгенограмме грудной клетки. На ЭКГ могут выявляться напоминающие ишемию изменения сегмента </w:t>
      </w:r>
      <w:r w:rsidRPr="008C22AC">
        <w:rPr>
          <w:color w:val="000000"/>
          <w:sz w:val="28"/>
          <w:szCs w:val="28"/>
          <w:lang w:val="en-US"/>
        </w:rPr>
        <w:t>ST</w:t>
      </w:r>
      <w:r w:rsidRPr="008C22AC">
        <w:rPr>
          <w:color w:val="000000"/>
          <w:sz w:val="28"/>
          <w:szCs w:val="28"/>
        </w:rPr>
        <w:t xml:space="preserve"> и признаки перегрузки правых отделов сердца. Во время общей анестезии синдром жировой эмболии может проявляться снижением </w:t>
      </w:r>
      <w:r w:rsidRPr="008C22AC">
        <w:rPr>
          <w:color w:val="000000"/>
          <w:sz w:val="28"/>
          <w:szCs w:val="28"/>
          <w:lang w:val="en-US"/>
        </w:rPr>
        <w:t>ETCO</w:t>
      </w:r>
      <w:r w:rsidRPr="008C22AC">
        <w:rPr>
          <w:color w:val="000000"/>
          <w:sz w:val="28"/>
          <w:szCs w:val="28"/>
        </w:rPr>
        <w:t xml:space="preserve">2 и </w:t>
      </w:r>
      <w:r w:rsidRPr="008C22AC">
        <w:rPr>
          <w:color w:val="000000"/>
          <w:sz w:val="28"/>
          <w:szCs w:val="28"/>
          <w:lang w:val="en-US"/>
        </w:rPr>
        <w:t>SaO</w:t>
      </w:r>
      <w:r w:rsidRPr="008C22AC">
        <w:rPr>
          <w:color w:val="000000"/>
          <w:sz w:val="28"/>
          <w:szCs w:val="28"/>
        </w:rPr>
        <w:t>2, а также повышением ДЗЛА.</w:t>
      </w:r>
    </w:p>
    <w:p w14:paraId="78BF0C34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Лечение синдрома жировой эмболии носит профилактический и поддерживающий характер. Ранняя репозиция и иммобилизация перелома позволяет снизить риск синдрома жировой эмболии. Симптоматическое лечение: самостоятельное дыхание под постоянным положительным давлением (режим </w:t>
      </w:r>
      <w:r w:rsidRPr="008C22AC">
        <w:rPr>
          <w:color w:val="000000"/>
          <w:sz w:val="28"/>
          <w:szCs w:val="28"/>
          <w:lang w:val="en-US"/>
        </w:rPr>
        <w:t>CPAP</w:t>
      </w:r>
      <w:r w:rsidRPr="008C22AC">
        <w:rPr>
          <w:color w:val="000000"/>
          <w:sz w:val="28"/>
          <w:szCs w:val="28"/>
        </w:rPr>
        <w:t>) на фоне ингаляции кислорода. Гепарин и этанол неэффективны. Напротив, могут оказаться эффективными большие дозы кор</w:t>
      </w:r>
      <w:r w:rsidR="001B67EF" w:rsidRPr="008C22AC">
        <w:rPr>
          <w:color w:val="000000"/>
          <w:sz w:val="28"/>
          <w:szCs w:val="28"/>
        </w:rPr>
        <w:t>тико</w:t>
      </w:r>
      <w:r w:rsidRPr="008C22AC">
        <w:rPr>
          <w:color w:val="000000"/>
          <w:sz w:val="28"/>
          <w:szCs w:val="28"/>
        </w:rPr>
        <w:t>стероидов, особенно на фоне отека мозга.</w:t>
      </w:r>
    </w:p>
    <w:p w14:paraId="54440E11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>Интраоперационный период</w:t>
      </w:r>
    </w:p>
    <w:p w14:paraId="51DC80A9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Проблема выбора методики анестезии у больных с переломами бедра изучалась очень тщательно. Оказалось, чт</w:t>
      </w:r>
      <w:r w:rsidR="001B67EF" w:rsidRPr="008C22AC">
        <w:rPr>
          <w:color w:val="000000"/>
          <w:sz w:val="28"/>
          <w:szCs w:val="28"/>
        </w:rPr>
        <w:t>о в раннем послеоперационном пе</w:t>
      </w:r>
      <w:r w:rsidRPr="008C22AC">
        <w:rPr>
          <w:color w:val="000000"/>
          <w:sz w:val="28"/>
          <w:szCs w:val="28"/>
        </w:rPr>
        <w:t xml:space="preserve">риоде летальность ниже, если проводили не общую, а регионарную </w:t>
      </w:r>
      <w:r w:rsidRPr="008C22AC">
        <w:rPr>
          <w:color w:val="000000"/>
          <w:sz w:val="28"/>
          <w:szCs w:val="28"/>
        </w:rPr>
        <w:lastRenderedPageBreak/>
        <w:t>анестезию (спинномозговую или эпидуральную). Считают, что это обусловлено снижением частоты ТЭЛА под действием регионарной анестезии. Отметим, что в отсроченном послеоперационном периоде (через два месяца после вмешательства) летальность одинакова вне зависимости от методики анестезии.</w:t>
      </w:r>
    </w:p>
    <w:p w14:paraId="1340AF1C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Снижение частоты ТЭЛА после регионарной анестезии можно объяснить несколькими механизмами: уменьшение венозного кровотока в ногах, снижение реактивности тромбоцитов, благоприятное влияние на динамику концентрации факторов свертывающей и антисвертывающей системы (в меньшей степени увеличивается концентрация факторов свертывания </w:t>
      </w:r>
      <w:r w:rsidRPr="008C22AC">
        <w:rPr>
          <w:color w:val="000000"/>
          <w:sz w:val="28"/>
          <w:szCs w:val="28"/>
          <w:lang w:val="en-US"/>
        </w:rPr>
        <w:t>VIII</w:t>
      </w:r>
      <w:r w:rsidRPr="008C22AC">
        <w:rPr>
          <w:color w:val="000000"/>
          <w:sz w:val="28"/>
          <w:szCs w:val="28"/>
        </w:rPr>
        <w:t xml:space="preserve"> и Виллебранда, не так выражен</w:t>
      </w:r>
      <w:r w:rsidRPr="008C22AC">
        <w:rPr>
          <w:color w:val="000000"/>
          <w:sz w:val="28"/>
          <w:szCs w:val="28"/>
          <w:lang w:val="uk-UA"/>
        </w:rPr>
        <w:t>но</w:t>
      </w:r>
      <w:r w:rsidRPr="008C22AC">
        <w:rPr>
          <w:color w:val="000000"/>
          <w:sz w:val="28"/>
          <w:szCs w:val="28"/>
        </w:rPr>
        <w:t xml:space="preserve"> снижается концентрация антитромбина </w:t>
      </w:r>
      <w:r w:rsidRPr="008C22AC">
        <w:rPr>
          <w:color w:val="000000"/>
          <w:sz w:val="28"/>
          <w:szCs w:val="28"/>
          <w:lang w:val="en-US"/>
        </w:rPr>
        <w:t>III</w:t>
      </w:r>
      <w:r w:rsidRPr="008C22AC">
        <w:rPr>
          <w:color w:val="000000"/>
          <w:sz w:val="28"/>
          <w:szCs w:val="28"/>
        </w:rPr>
        <w:t>), угнетение высвобождения стрессорных гормонов.</w:t>
      </w:r>
    </w:p>
    <w:p w14:paraId="338A853D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Продленная эпидуральная блокада позволяет проводить послеоперационную анальгезию. При спинномозговой анестезии целесообразно использовать гипобар</w:t>
      </w:r>
      <w:r w:rsidR="001B67EF" w:rsidRPr="008C22AC">
        <w:rPr>
          <w:color w:val="000000"/>
          <w:sz w:val="28"/>
          <w:szCs w:val="28"/>
        </w:rPr>
        <w:t>ические растворы местных анесте</w:t>
      </w:r>
      <w:r w:rsidRPr="008C22AC">
        <w:rPr>
          <w:color w:val="000000"/>
          <w:sz w:val="28"/>
          <w:szCs w:val="28"/>
        </w:rPr>
        <w:t>тиков, в результате чего больного не нужно укладывать на сторону перелома и менять его положение после введения препарата.</w:t>
      </w:r>
    </w:p>
    <w:p w14:paraId="6426343F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AF52D8" w14:textId="77777777" w:rsidR="00EF287C" w:rsidRPr="008C22AC" w:rsidRDefault="008B50EE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 xml:space="preserve">2. </w:t>
      </w:r>
      <w:r w:rsidR="00EF287C" w:rsidRPr="008C22AC">
        <w:rPr>
          <w:b/>
          <w:bCs/>
          <w:color w:val="000000"/>
          <w:sz w:val="28"/>
          <w:szCs w:val="28"/>
        </w:rPr>
        <w:t>Тотальное эндопротезирование тазобедренного сустава</w:t>
      </w:r>
    </w:p>
    <w:p w14:paraId="6909E8E8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38EE37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>Предоперационный период</w:t>
      </w:r>
    </w:p>
    <w:p w14:paraId="6F1776F7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В большинстве случаев тотальное эндопротезирование тазобедренного сустава проводят больным, страдаю</w:t>
      </w:r>
      <w:r w:rsidR="001B67EF" w:rsidRPr="008C22AC">
        <w:rPr>
          <w:color w:val="000000"/>
          <w:sz w:val="28"/>
          <w:szCs w:val="28"/>
        </w:rPr>
        <w:t>щим остеоартритом или ревматоид</w:t>
      </w:r>
      <w:r w:rsidRPr="008C22AC">
        <w:rPr>
          <w:color w:val="000000"/>
          <w:sz w:val="28"/>
          <w:szCs w:val="28"/>
        </w:rPr>
        <w:t xml:space="preserve">ным артритом. Остеоартрит — это дегенеративное заболевание, поражающее суставные поверхности одного или нескольких суставов (чаще всего тазобедренного и коленного). Считают, что остеоартрит обусловлен многократными микротравмами суставов (например, чрезмерными нагрузками при выраженном ожирении). Поскольку остеоартрит часто поражает позвоночник, то при интубации трахеи нужно очень осторожно манипулировать с головой и шеей, чтобы не допустить сдавления нервных </w:t>
      </w:r>
      <w:r w:rsidRPr="008C22AC">
        <w:rPr>
          <w:color w:val="000000"/>
          <w:sz w:val="28"/>
          <w:szCs w:val="28"/>
        </w:rPr>
        <w:lastRenderedPageBreak/>
        <w:t>корешков или протрузии межпозвоночного диска.</w:t>
      </w:r>
    </w:p>
    <w:p w14:paraId="723BCA67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Ревматоидный артрит </w:t>
      </w:r>
      <w:r w:rsidR="001B67EF" w:rsidRPr="008C22AC">
        <w:rPr>
          <w:color w:val="000000"/>
          <w:sz w:val="28"/>
          <w:szCs w:val="28"/>
        </w:rPr>
        <w:t>отличается от остеоарт</w:t>
      </w:r>
      <w:r w:rsidRPr="008C22AC">
        <w:rPr>
          <w:color w:val="000000"/>
          <w:sz w:val="28"/>
          <w:szCs w:val="28"/>
        </w:rPr>
        <w:t>рита тремя характерными особенностями. Во-первых, при ревматоидном артрите разрушение сустава обусловлено хроническим прогрессирующим иммунным воспалением синовиальных оболочек, в то время как при остеоартрите поражение суставов обусловлено механической травмой. Во-вторых, ревматоидны</w:t>
      </w:r>
      <w:r w:rsidR="001B67EF" w:rsidRPr="008C22AC">
        <w:rPr>
          <w:color w:val="000000"/>
          <w:sz w:val="28"/>
          <w:szCs w:val="28"/>
        </w:rPr>
        <w:t>й артрит, в отличие от остеоарт</w:t>
      </w:r>
      <w:r w:rsidRPr="008C22AC">
        <w:rPr>
          <w:color w:val="000000"/>
          <w:sz w:val="28"/>
          <w:szCs w:val="28"/>
        </w:rPr>
        <w:t>рита, поражает мн</w:t>
      </w:r>
      <w:r w:rsidR="001B67EF" w:rsidRPr="008C22AC">
        <w:rPr>
          <w:color w:val="000000"/>
          <w:sz w:val="28"/>
          <w:szCs w:val="28"/>
        </w:rPr>
        <w:t xml:space="preserve">огие органы и системы (табл. </w:t>
      </w:r>
      <w:r w:rsidRPr="008C22AC">
        <w:rPr>
          <w:color w:val="000000"/>
          <w:sz w:val="28"/>
          <w:szCs w:val="28"/>
        </w:rPr>
        <w:t>1). В-третьих, для ревматоидного артрита</w:t>
      </w:r>
      <w:r w:rsidR="001B67EF" w:rsidRPr="008C22AC">
        <w:rPr>
          <w:color w:val="000000"/>
          <w:sz w:val="28"/>
          <w:szCs w:val="28"/>
        </w:rPr>
        <w:t xml:space="preserve"> характерно симметричное поражение многих суставов, в том числе мелких суставов кистей, запястий и стоп. Поражение суставов может значительно деформировать конечности, что затрудняет установку артериальных и венозных катетеров.</w:t>
      </w:r>
    </w:p>
    <w:p w14:paraId="7AD0C82D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9C62CE" w14:textId="77777777" w:rsidR="00EF287C" w:rsidRPr="008C22AC" w:rsidRDefault="001B67EF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ТАБЛИЦА </w:t>
      </w:r>
      <w:r w:rsidR="00EF287C" w:rsidRPr="008C22AC">
        <w:rPr>
          <w:color w:val="000000"/>
          <w:sz w:val="28"/>
          <w:szCs w:val="28"/>
        </w:rPr>
        <w:t>1. Системные проявления</w:t>
      </w:r>
      <w:r w:rsidR="00EF287C" w:rsidRPr="008C22AC">
        <w:rPr>
          <w:color w:val="000000"/>
          <w:sz w:val="28"/>
          <w:szCs w:val="28"/>
          <w:lang w:val="uk-UA"/>
        </w:rPr>
        <w:t xml:space="preserve"> </w:t>
      </w:r>
      <w:r w:rsidR="00EF287C" w:rsidRPr="008C22AC">
        <w:rPr>
          <w:color w:val="000000"/>
          <w:sz w:val="28"/>
          <w:szCs w:val="28"/>
        </w:rPr>
        <w:t>ревматоидного артрита</w:t>
      </w:r>
    </w:p>
    <w:tbl>
      <w:tblPr>
        <w:tblW w:w="0" w:type="auto"/>
        <w:tblInd w:w="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4"/>
        <w:gridCol w:w="7156"/>
      </w:tblGrid>
      <w:tr w:rsidR="00EF287C" w:rsidRPr="008C22AC" w14:paraId="02EF241C" w14:textId="77777777" w:rsidTr="008C22A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4770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  <w:lang w:val="en-US"/>
              </w:rPr>
            </w:pPr>
            <w:r w:rsidRPr="008C22AC">
              <w:rPr>
                <w:color w:val="000000"/>
              </w:rPr>
              <w:t>Органы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5BEB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Проявления ревматоидного артрита</w:t>
            </w:r>
          </w:p>
        </w:tc>
      </w:tr>
      <w:tr w:rsidR="00EF287C" w:rsidRPr="008C22AC" w14:paraId="76056E33" w14:textId="77777777" w:rsidTr="008C22A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0291" w14:textId="77777777" w:rsidR="00EF287C" w:rsidRPr="008C22AC" w:rsidRDefault="00EF287C" w:rsidP="008C22AC">
            <w:pPr>
              <w:pStyle w:val="21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22AC">
              <w:rPr>
                <w:rFonts w:ascii="Times New Roman" w:hAnsi="Times New Roman" w:cs="Times New Roman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3797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Перикардит (сухой и экссудативный), миокардит, артериит коронарных сосудов, блокады сердца, васкулит, фиброз клапанов сердца (аортальная недостаточность)</w:t>
            </w:r>
          </w:p>
        </w:tc>
      </w:tr>
      <w:tr w:rsidR="00EF287C" w:rsidRPr="008C22AC" w14:paraId="7828038A" w14:textId="77777777" w:rsidTr="008C22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8C45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Легкие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02B7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Экссудативный плеврит, узелки в легких, интерстициальный фиброз</w:t>
            </w:r>
          </w:p>
        </w:tc>
      </w:tr>
      <w:tr w:rsidR="00EF287C" w:rsidRPr="008C22AC" w14:paraId="189FA5CB" w14:textId="77777777" w:rsidTr="008C22A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B5E7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Кровь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20A2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Анемия, эозинофилия, тромбоцитопатия (в результате лечения аспирином), тромбоци-топения</w:t>
            </w:r>
          </w:p>
        </w:tc>
      </w:tr>
      <w:tr w:rsidR="00EF287C" w:rsidRPr="008C22AC" w14:paraId="1DB4CE44" w14:textId="77777777" w:rsidTr="008C22A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2667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Эндокринная система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61A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Надпочечниковая недостаточность (в результате лечения кортикостероидами), нарушение иммунной системы</w:t>
            </w:r>
          </w:p>
        </w:tc>
      </w:tr>
      <w:tr w:rsidR="00EF287C" w:rsidRPr="008C22AC" w14:paraId="6DD83214" w14:textId="77777777" w:rsidTr="008C22A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0BC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Кожа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174" w14:textId="77777777" w:rsidR="00EF287C" w:rsidRPr="008C22AC" w:rsidRDefault="00EF287C" w:rsidP="008C22AC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C22AC">
              <w:rPr>
                <w:color w:val="000000"/>
              </w:rPr>
              <w:t>Истончение и атрофия кожи в результате заболевания и применения иммунодепрессантов</w:t>
            </w:r>
          </w:p>
        </w:tc>
      </w:tr>
    </w:tbl>
    <w:p w14:paraId="1A061B89" w14:textId="77777777" w:rsidR="001B67EF" w:rsidRPr="008C22AC" w:rsidRDefault="001B67EF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5B0A64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Общая слабость и ограниченная подвижность суставов не позволяют оценить толерантность к физической нагрузке, что затрудняет выявление ИБС и дисфункции легких. Если у больного есть факторы риска ИБС (например, стенокардия, сахарный диабет</w:t>
      </w:r>
      <w:r w:rsidR="001B67EF" w:rsidRPr="008C22AC">
        <w:rPr>
          <w:color w:val="000000"/>
          <w:sz w:val="28"/>
          <w:szCs w:val="28"/>
        </w:rPr>
        <w:t>, сердечная недостаточность, ин</w:t>
      </w:r>
      <w:r w:rsidRPr="008C22AC">
        <w:rPr>
          <w:color w:val="000000"/>
          <w:sz w:val="28"/>
          <w:szCs w:val="28"/>
        </w:rPr>
        <w:t>фаркт миокарда в анамнезе), но ему невозможно провести пробу с физической нагрузкой, то для оценки состояния сердечно-сосудистой системы используют сцинтиграфию миокарда с таллием, ЭхоКГ с дипиридамолом или добутамином.</w:t>
      </w:r>
    </w:p>
    <w:p w14:paraId="7AAAA44C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lastRenderedPageBreak/>
        <w:t>При длитель</w:t>
      </w:r>
      <w:r w:rsidR="001B67EF" w:rsidRPr="008C22AC">
        <w:rPr>
          <w:color w:val="000000"/>
          <w:sz w:val="28"/>
          <w:szCs w:val="28"/>
        </w:rPr>
        <w:t>ном и тяжелом течении ревматоид</w:t>
      </w:r>
      <w:r w:rsidRPr="008C22AC">
        <w:rPr>
          <w:color w:val="000000"/>
          <w:sz w:val="28"/>
          <w:szCs w:val="28"/>
        </w:rPr>
        <w:t>ный артрит может поражать шейный отдел позвоночника, височно-нижнечелюстные и перстнечер-паловидные суставы. Интубация трахеи при подвывихе в атлантоосевом суставе может привести к протрузии зубовидного отростка в большое затылочное отверстие, нарушая кровоток в спинном мозге и вызывая сдавление спинного мо</w:t>
      </w:r>
      <w:r w:rsidR="001B67EF" w:rsidRPr="008C22AC">
        <w:rPr>
          <w:color w:val="000000"/>
          <w:sz w:val="28"/>
          <w:szCs w:val="28"/>
        </w:rPr>
        <w:t>зга или ствола мозга. Передний атланто</w:t>
      </w:r>
      <w:r w:rsidRPr="008C22AC">
        <w:rPr>
          <w:color w:val="000000"/>
          <w:sz w:val="28"/>
          <w:szCs w:val="28"/>
        </w:rPr>
        <w:t xml:space="preserve">осевой интервал — это расстояние между задней поверхностью передней дуги атланта (первый шейный позвонок, </w:t>
      </w:r>
      <w:r w:rsidRPr="008C22AC">
        <w:rPr>
          <w:color w:val="000000"/>
          <w:sz w:val="28"/>
          <w:szCs w:val="28"/>
          <w:lang w:val="en-US"/>
        </w:rPr>
        <w:t>C</w:t>
      </w:r>
      <w:r w:rsidRPr="008C22AC">
        <w:rPr>
          <w:color w:val="000000"/>
          <w:sz w:val="28"/>
          <w:szCs w:val="28"/>
          <w:lang w:val="uk-UA"/>
        </w:rPr>
        <w:t>1</w:t>
      </w:r>
      <w:r w:rsidRPr="008C22AC">
        <w:rPr>
          <w:color w:val="000000"/>
          <w:sz w:val="28"/>
          <w:szCs w:val="28"/>
        </w:rPr>
        <w:t>) и передней поверхностью зубовидного отростка осевого позвонка (второй шейный позвонок, С2). Длина переднего атланто-осевого интервала у взрослых в норме составляет 3 мм, она не должна изменяться при сгибании и разгибании головы. Увеличение переднего атланто-осевого интервала и назы</w:t>
      </w:r>
      <w:r w:rsidR="001B67EF" w:rsidRPr="008C22AC">
        <w:rPr>
          <w:color w:val="000000"/>
          <w:sz w:val="28"/>
          <w:szCs w:val="28"/>
        </w:rPr>
        <w:t>вается подвывихом в атланто-осе</w:t>
      </w:r>
      <w:r w:rsidRPr="008C22AC">
        <w:rPr>
          <w:color w:val="000000"/>
          <w:sz w:val="28"/>
          <w:szCs w:val="28"/>
        </w:rPr>
        <w:t>вом суставе, оно свидетельствует о слабости или разрыве поперечной связки зубовидного отростка. При тяжелом ревматоидном артрите (одним из критериев тяжести является необходимость длительного прием</w:t>
      </w:r>
      <w:r w:rsidR="001B67EF" w:rsidRPr="008C22AC">
        <w:rPr>
          <w:color w:val="000000"/>
          <w:sz w:val="28"/>
          <w:szCs w:val="28"/>
        </w:rPr>
        <w:t>а кортикостероидов или метотрек</w:t>
      </w:r>
      <w:r w:rsidRPr="008C22AC">
        <w:rPr>
          <w:color w:val="000000"/>
          <w:sz w:val="28"/>
          <w:szCs w:val="28"/>
        </w:rPr>
        <w:t>сата) всем больным перед операцией необходимо выполнить рентгенографию шейного отдела позвоночника в боковой проекции при сгибании и разгибании головы. Если длина переднего атланто-осевого интервала превышает 5 мм, то показана интубация в сознании с помощью фиброскопа. Чтобы обеспечить надежную иммобилизацию, следует использовать шейный воротник. Артрит височно-нижнече-люстных суставов может резко ограничить подвижность нижней челюсти, так что возможной станет только назотрахеальная интубация в сознании с помощью фиброскопа. Охриплость голоса или инспираторный стридор могут указывать на сужение голосовой щели, обусловленное артритом перстнечерпаловидных суставов. Это осложнение может привести к постэкстубационной обструкции дыхательных пут</w:t>
      </w:r>
      <w:r w:rsidR="001B67EF" w:rsidRPr="008C22AC">
        <w:rPr>
          <w:color w:val="000000"/>
          <w:sz w:val="28"/>
          <w:szCs w:val="28"/>
        </w:rPr>
        <w:t>ей, даже если применялась эндот</w:t>
      </w:r>
      <w:r w:rsidRPr="008C22AC">
        <w:rPr>
          <w:color w:val="000000"/>
          <w:sz w:val="28"/>
          <w:szCs w:val="28"/>
        </w:rPr>
        <w:t>рахеальная трубка малого диаметра.</w:t>
      </w:r>
    </w:p>
    <w:p w14:paraId="7F6DEF1E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>Интраоперационный период</w:t>
      </w:r>
    </w:p>
    <w:p w14:paraId="377B4750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Тотальное эндопротезирование тазобедренного сустава можно </w:t>
      </w:r>
      <w:r w:rsidRPr="008C22AC">
        <w:rPr>
          <w:color w:val="000000"/>
          <w:sz w:val="28"/>
          <w:szCs w:val="28"/>
        </w:rPr>
        <w:lastRenderedPageBreak/>
        <w:t>разделить на ряд этапов: укладывани</w:t>
      </w:r>
      <w:r w:rsidR="001B67EF" w:rsidRPr="008C22AC">
        <w:rPr>
          <w:color w:val="000000"/>
          <w:sz w:val="28"/>
          <w:szCs w:val="28"/>
        </w:rPr>
        <w:t>е больного на бок; вывихивание и уда</w:t>
      </w:r>
      <w:r w:rsidRPr="008C22AC">
        <w:rPr>
          <w:color w:val="000000"/>
          <w:sz w:val="28"/>
          <w:szCs w:val="28"/>
        </w:rPr>
        <w:t>ление головки б</w:t>
      </w:r>
      <w:r w:rsidR="001B67EF" w:rsidRPr="008C22AC">
        <w:rPr>
          <w:color w:val="000000"/>
          <w:sz w:val="28"/>
          <w:szCs w:val="28"/>
        </w:rPr>
        <w:t>едренной кости; расширение верт</w:t>
      </w:r>
      <w:r w:rsidRPr="008C22AC">
        <w:rPr>
          <w:color w:val="000000"/>
          <w:sz w:val="28"/>
          <w:szCs w:val="28"/>
        </w:rPr>
        <w:t>лужной впадины и установка в нее ацетабулярного протеза (в том числе с использованием цемента); рассверливание канала бедренной кости и установка в него ножки и головки протеза (в том числе с использованием цемента). Тотальное эндопротезирование тазобедренного сустава сопряжено с тремя опасными для жизни осложнениями: синдромом имплантации це</w:t>
      </w:r>
      <w:r w:rsidR="001B67EF" w:rsidRPr="008C22AC">
        <w:rPr>
          <w:color w:val="000000"/>
          <w:sz w:val="28"/>
          <w:szCs w:val="28"/>
        </w:rPr>
        <w:t>мента в костную ткань, интраопе</w:t>
      </w:r>
      <w:r w:rsidRPr="008C22AC">
        <w:rPr>
          <w:color w:val="000000"/>
          <w:sz w:val="28"/>
          <w:szCs w:val="28"/>
        </w:rPr>
        <w:t>рационной кровопотерей, ТЭЛА.</w:t>
      </w:r>
    </w:p>
    <w:p w14:paraId="0F6B93D1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Метилметакрилатный цемент заполняет промежутки в губчатом веществе кости, плотно скрепляя протез с бедренной костью и вертлужной впадиной боль</w:t>
      </w:r>
      <w:r w:rsidR="001B67EF" w:rsidRPr="008C22AC">
        <w:rPr>
          <w:color w:val="000000"/>
          <w:sz w:val="28"/>
          <w:szCs w:val="28"/>
        </w:rPr>
        <w:t>ного. Смешивание порошка полиме</w:t>
      </w:r>
      <w:r w:rsidRPr="008C22AC">
        <w:rPr>
          <w:color w:val="000000"/>
          <w:sz w:val="28"/>
          <w:szCs w:val="28"/>
        </w:rPr>
        <w:t>ризованного метилметакрилата с жидким мономером метилметакрилата вызывает полимеризацию и перекрестное связывание полимерных цепочек. Эта экзотермическая реакция приводит к затвердению цемента и расширению его объема. В результате этой реакции значительно возрастает давление</w:t>
      </w:r>
      <w:r w:rsidR="001B67EF" w:rsidRP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в полости кости (&gt; 500 мм рт. ст.), что приводит к попаданию в венозные каналы бедренной кости эмболов, состоящих из жира, фрагментов костного мозга, цемента и воздуха. Оставшийся несвязанным мономер метилметакрилата может вызывать вазодилатацию и снижение ОПСС. Высвобождение тканевого тромбопластина провоцирует агрегацию тромбоцитов, образование микротромбов в легких и угнетение кровообращения.</w:t>
      </w:r>
    </w:p>
    <w:p w14:paraId="2D1284E8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Синдром имплантации цемента в костную ткань проявляется гипоксией (вследствие внутри-легочного шунтирования), артериальной гипотонией, нарушениями ритма и проводимости сердца (в том числе полной поперечной блокадой и остановкой синусового узла), легочной гипертензией и снижением сердечного выброса. Очевидно, что при этих операциях </w:t>
      </w:r>
      <w:r w:rsidR="001B67EF" w:rsidRPr="008C22AC">
        <w:rPr>
          <w:color w:val="000000"/>
          <w:sz w:val="28"/>
          <w:szCs w:val="28"/>
        </w:rPr>
        <w:t>целесообразно проводить инвазив</w:t>
      </w:r>
      <w:r w:rsidRPr="008C22AC">
        <w:rPr>
          <w:color w:val="000000"/>
          <w:sz w:val="28"/>
          <w:szCs w:val="28"/>
        </w:rPr>
        <w:t xml:space="preserve">ный гемодинамический мониторинг. Эмболы чаще всего образуются при установке протеза в канал бедренной кости. Чтобы уменьшить вред, обусловленный синдромом имплантации </w:t>
      </w:r>
      <w:r w:rsidRPr="008C22AC">
        <w:rPr>
          <w:color w:val="000000"/>
          <w:sz w:val="28"/>
          <w:szCs w:val="28"/>
        </w:rPr>
        <w:lastRenderedPageBreak/>
        <w:t xml:space="preserve">цемента, применяют следующие подходы: непосредственно перед введением цемента увеличивают </w:t>
      </w:r>
      <w:r w:rsidRPr="008C22AC">
        <w:rPr>
          <w:color w:val="000000"/>
          <w:sz w:val="28"/>
          <w:szCs w:val="28"/>
          <w:lang w:val="en-US"/>
        </w:rPr>
        <w:t>FiO</w:t>
      </w:r>
      <w:r w:rsidRPr="008C22AC">
        <w:rPr>
          <w:color w:val="000000"/>
          <w:sz w:val="28"/>
          <w:szCs w:val="28"/>
        </w:rPr>
        <w:t>2; поддерживают нормоволемию, основываясь на данных мониторинга ЦВД; создают контрапертуру в дистальной части бедренной кости, чтобы снизить давление в полости кости; промывают канал бедренной кости под большим давлением, чтобы удалить твердые частицы (потенциальные микроэмболы); наконец, используют бесцементные методики установки бедренного компонента протеза.</w:t>
      </w:r>
    </w:p>
    <w:p w14:paraId="3A8172CD" w14:textId="77777777" w:rsidR="00EF287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Если после установки бедренного компонента протеза признаки значимой эмболии легочной артерии отсутствуют, то при необходимости можно одномоментно выполнить эндопротезирование второго тазобедренного сустава. Мониторинг давления в легочной артерии позволяет с высокой точностью диагностировать эмболию легочной артерии по увеличению легочного сосудистого сопротивления (ЛСС). На эмболию легочной артерии указывает повышение да</w:t>
      </w:r>
      <w:r w:rsidR="001B67EF" w:rsidRPr="008C22AC">
        <w:rPr>
          <w:color w:val="000000"/>
          <w:sz w:val="28"/>
          <w:szCs w:val="28"/>
        </w:rPr>
        <w:t>вления в легочной артерии</w:t>
      </w:r>
      <w:r w:rsidRPr="008C22AC">
        <w:rPr>
          <w:color w:val="000000"/>
          <w:sz w:val="28"/>
          <w:szCs w:val="28"/>
        </w:rPr>
        <w:t xml:space="preserve"> и снижение сердечного выброса в отсутствие изменений ДЗЛА:</w:t>
      </w:r>
    </w:p>
    <w:p w14:paraId="131DF6FF" w14:textId="77777777" w:rsidR="008C22AC" w:rsidRP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9943EA" w14:textId="77777777" w:rsid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ЛСС =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(ДЛА-ДЗЛА)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х 80</w:t>
      </w:r>
    </w:p>
    <w:p w14:paraId="35CF5973" w14:textId="77777777" w:rsidR="008C22AC" w:rsidRDefault="008C22A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A76AEA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22AC">
        <w:rPr>
          <w:b/>
          <w:bCs/>
          <w:color w:val="000000"/>
          <w:sz w:val="28"/>
          <w:szCs w:val="28"/>
        </w:rPr>
        <w:t>Сердечный выброс</w:t>
      </w:r>
    </w:p>
    <w:p w14:paraId="27BD808E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Если в ходе вмешательства на первом тазобедренном суставе ЛСС увеличивается выше нормы (300 дин х сек х см-5), то операцию на втором суставе следует отложить, проведя ее спустя некоторое время.</w:t>
      </w:r>
    </w:p>
    <w:p w14:paraId="2BF990A4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Тотальное эндопротезирование тазобедренного сустава может б</w:t>
      </w:r>
      <w:r w:rsidR="001B67EF" w:rsidRPr="008C22AC">
        <w:rPr>
          <w:color w:val="000000"/>
          <w:sz w:val="28"/>
          <w:szCs w:val="28"/>
        </w:rPr>
        <w:t>ыть причиной значительной крово</w:t>
      </w:r>
      <w:r w:rsidRPr="008C22AC">
        <w:rPr>
          <w:color w:val="000000"/>
          <w:sz w:val="28"/>
          <w:szCs w:val="28"/>
        </w:rPr>
        <w:t>потери, особенно если проводится повторно после неудавшейся первой операции. Объем кровопотери зависит от многих факторов, включая опыт и навыки хирурга, методику операции и тип протеза. Управляемая гипотония поз</w:t>
      </w:r>
      <w:r w:rsidR="001B67EF" w:rsidRPr="008C22AC">
        <w:rPr>
          <w:color w:val="000000"/>
          <w:sz w:val="28"/>
          <w:szCs w:val="28"/>
        </w:rPr>
        <w:t>воляет уменьшить интраоперацион</w:t>
      </w:r>
      <w:r w:rsidRPr="008C22AC">
        <w:rPr>
          <w:color w:val="000000"/>
          <w:sz w:val="28"/>
          <w:szCs w:val="28"/>
        </w:rPr>
        <w:t xml:space="preserve">ную кровопотерю. В ряде исследований показано, что при использовании регионарной анестезии (спинномозговой и эпидуральной) кровопотеря меньше, чем при общей, несмотря на одинаковое интраоперационное среднее </w:t>
      </w:r>
      <w:r w:rsidRPr="008C22AC">
        <w:rPr>
          <w:color w:val="000000"/>
          <w:sz w:val="28"/>
          <w:szCs w:val="28"/>
        </w:rPr>
        <w:lastRenderedPageBreak/>
        <w:t xml:space="preserve">АД. Возможное объяснение этого феномена состоит </w:t>
      </w:r>
      <w:r w:rsidR="001B67EF" w:rsidRPr="008C22AC">
        <w:rPr>
          <w:color w:val="000000"/>
          <w:sz w:val="28"/>
          <w:szCs w:val="28"/>
        </w:rPr>
        <w:t>в различной вазоди</w:t>
      </w:r>
      <w:r w:rsidRPr="008C22AC">
        <w:rPr>
          <w:color w:val="000000"/>
          <w:sz w:val="28"/>
          <w:szCs w:val="28"/>
        </w:rPr>
        <w:t>латации вен и артерий под воздействием местных анестетиков. Обеспечивая сухую поверхность кости, управляемая гипотония также улучшает сцепление протеза с цементом и уменьшает продолжительность операции. Почти всем больным требуется переливание препаратов крови, поэтому целесообразно использовать такие методики, как аутологичная трансфузия (путем заблаговременной заготовки аутокрови), а также интраоперационное сбереже</w:t>
      </w:r>
      <w:r w:rsidR="001B67EF" w:rsidRPr="008C22AC">
        <w:rPr>
          <w:color w:val="000000"/>
          <w:sz w:val="28"/>
          <w:szCs w:val="28"/>
        </w:rPr>
        <w:t>ние крови и реинфузия</w:t>
      </w:r>
      <w:r w:rsidRPr="008C22AC">
        <w:rPr>
          <w:color w:val="000000"/>
          <w:sz w:val="28"/>
          <w:szCs w:val="28"/>
        </w:rPr>
        <w:t>. Высокие дозы апротинина, являющегося ингибитором фибринолиза, могут уменьшить интраопера-ционную кровопотерю. Апротинин относительно часто вызывает иммунологическую сенсибилизацию, поэтому обычно его резервируют для больных с высоким риском кровотечения (например, при коагулопатии).</w:t>
      </w:r>
    </w:p>
    <w:p w14:paraId="202EC13E" w14:textId="77777777" w:rsidR="00EF287C" w:rsidRPr="008C22AC" w:rsidRDefault="00EF287C" w:rsidP="008C22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ТГВ и ТЭЛА являются распространенной причиной серьезных осложнений и летальности после тотального эндопротезирования тазобедренного сустава. Как уже говорилось выше, регионарная анестезия снижает риск ТГВ и ТЭЛА. Другие подходы к снижению риска этих осложнений состоят в использовании п</w:t>
      </w:r>
      <w:r w:rsidR="001B67EF" w:rsidRPr="008C22AC">
        <w:rPr>
          <w:color w:val="000000"/>
          <w:sz w:val="28"/>
          <w:szCs w:val="28"/>
        </w:rPr>
        <w:t>риборов для перемежающейся пнев</w:t>
      </w:r>
      <w:r w:rsidRPr="008C22AC">
        <w:rPr>
          <w:color w:val="000000"/>
          <w:sz w:val="28"/>
          <w:szCs w:val="28"/>
        </w:rPr>
        <w:t>матической компрессии ног и профилактическом применении низких доз антикоагулянтов. Широко обсуждается вопрос, является ли применение низких доз антикоагулянтов противопоказанием к спинномозговой и эпидуральной анестезии. Общепринято, что использование антикоагулянтов в высокой доз</w:t>
      </w:r>
      <w:r w:rsidR="001B67EF" w:rsidRPr="008C22AC">
        <w:rPr>
          <w:color w:val="000000"/>
          <w:sz w:val="28"/>
          <w:szCs w:val="28"/>
        </w:rPr>
        <w:t>е и</w:t>
      </w:r>
      <w:r w:rsidRPr="008C22AC">
        <w:rPr>
          <w:color w:val="000000"/>
          <w:sz w:val="28"/>
          <w:szCs w:val="28"/>
        </w:rPr>
        <w:t xml:space="preserve"> </w:t>
      </w:r>
      <w:r w:rsidR="001B67EF" w:rsidRPr="008C22AC">
        <w:rPr>
          <w:color w:val="000000"/>
          <w:sz w:val="28"/>
          <w:szCs w:val="28"/>
        </w:rPr>
        <w:t>фибринолитиков (например, уро</w:t>
      </w:r>
      <w:r w:rsidRPr="008C22AC">
        <w:rPr>
          <w:color w:val="000000"/>
          <w:sz w:val="28"/>
          <w:szCs w:val="28"/>
        </w:rPr>
        <w:t xml:space="preserve">киназы) является противопоказанием для эпидуральной пункции ввиду неприемлемо высокого риска эпидуральной гематомы. С другой стороны, не существует единого мнения относительно того, насколько высок риск осложнений эпидуральной пункции у больных, получающих низкие дозы антикоагулянтов или антиагреганты (например, аспирин, нестероидные противовоспалительные средства). Основная проблема заключается в том, что регионарная анестезия маскирует признаки нарастающей эпидуральной гематомы и сдавления спинного мозга (боль в спине, слабость в ногах), что затрудняет </w:t>
      </w:r>
      <w:r w:rsidRPr="008C22AC">
        <w:rPr>
          <w:color w:val="000000"/>
          <w:sz w:val="28"/>
          <w:szCs w:val="28"/>
        </w:rPr>
        <w:lastRenderedPageBreak/>
        <w:t>своевременную диагностику и лечение осложнения.</w:t>
      </w:r>
    </w:p>
    <w:p w14:paraId="3CB81CF3" w14:textId="77777777" w:rsidR="008C22AC" w:rsidRP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3B5D4E" w14:textId="77777777" w:rsidR="002345EE" w:rsidRPr="008C22AC" w:rsidRDefault="008C22AC" w:rsidP="008C22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45EE" w:rsidRPr="008C22AC">
        <w:rPr>
          <w:b/>
          <w:bCs/>
          <w:color w:val="000000"/>
          <w:sz w:val="28"/>
          <w:szCs w:val="28"/>
        </w:rPr>
        <w:lastRenderedPageBreak/>
        <w:t>Л</w:t>
      </w:r>
      <w:r w:rsidRPr="008C22AC">
        <w:rPr>
          <w:b/>
          <w:bCs/>
          <w:color w:val="000000"/>
          <w:sz w:val="28"/>
          <w:szCs w:val="28"/>
        </w:rPr>
        <w:t>итература</w:t>
      </w:r>
    </w:p>
    <w:p w14:paraId="46778108" w14:textId="77777777" w:rsidR="008C22AC" w:rsidRPr="008C22AC" w:rsidRDefault="008C22AC" w:rsidP="008C22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9DE7F2" w14:textId="77777777" w:rsidR="002345EE" w:rsidRPr="008C22AC" w:rsidRDefault="002345EE" w:rsidP="008C22AC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Кандрора, д. м. н. М.В.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Неверовой, д-ра мед. наук А.В.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Сучкова, к. м. н. А.В.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Низового, Ю.Л.</w:t>
      </w:r>
      <w:r w:rsidR="008C22AC">
        <w:rPr>
          <w:color w:val="000000"/>
          <w:sz w:val="28"/>
          <w:szCs w:val="28"/>
        </w:rPr>
        <w:t xml:space="preserve"> </w:t>
      </w:r>
      <w:r w:rsidRPr="008C22AC">
        <w:rPr>
          <w:color w:val="000000"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51D81929" w14:textId="77777777" w:rsidR="00EF287C" w:rsidRPr="008C22AC" w:rsidRDefault="002345EE" w:rsidP="008C22AC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C22AC">
        <w:rPr>
          <w:color w:val="000000"/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8C22AC">
        <w:rPr>
          <w:color w:val="000000"/>
          <w:sz w:val="28"/>
          <w:szCs w:val="28"/>
          <w:lang w:val="en-US"/>
        </w:rPr>
        <w:t>ISBN</w:t>
      </w:r>
      <w:r w:rsidRPr="008C22AC">
        <w:rPr>
          <w:color w:val="000000"/>
          <w:sz w:val="28"/>
          <w:szCs w:val="28"/>
        </w:rPr>
        <w:t xml:space="preserve"> 5-225-04560-Х</w:t>
      </w:r>
    </w:p>
    <w:sectPr w:rsidR="00EF287C" w:rsidRPr="008C22AC" w:rsidSect="008C22A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DA8A" w14:textId="77777777" w:rsidR="003B731D" w:rsidRDefault="003B731D">
      <w:r>
        <w:separator/>
      </w:r>
    </w:p>
  </w:endnote>
  <w:endnote w:type="continuationSeparator" w:id="0">
    <w:p w14:paraId="3FB6DED5" w14:textId="77777777" w:rsidR="003B731D" w:rsidRDefault="003B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AA0" w14:textId="77777777" w:rsidR="001B67EF" w:rsidRDefault="001B67EF" w:rsidP="00CA249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2AC">
      <w:rPr>
        <w:rStyle w:val="a5"/>
        <w:noProof/>
      </w:rPr>
      <w:t>9</w:t>
    </w:r>
    <w:r>
      <w:rPr>
        <w:rStyle w:val="a5"/>
      </w:rPr>
      <w:fldChar w:fldCharType="end"/>
    </w:r>
  </w:p>
  <w:p w14:paraId="78CAD24A" w14:textId="77777777" w:rsidR="001B67EF" w:rsidRDefault="001B67EF" w:rsidP="001B67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0FDF" w14:textId="77777777" w:rsidR="003B731D" w:rsidRDefault="003B731D">
      <w:r>
        <w:separator/>
      </w:r>
    </w:p>
  </w:footnote>
  <w:footnote w:type="continuationSeparator" w:id="0">
    <w:p w14:paraId="38336F26" w14:textId="77777777" w:rsidR="003B731D" w:rsidRDefault="003B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E46B1"/>
    <w:multiLevelType w:val="hybridMultilevel"/>
    <w:tmpl w:val="6A8C173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C0675"/>
    <w:multiLevelType w:val="hybridMultilevel"/>
    <w:tmpl w:val="AF3AD8F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7C"/>
    <w:rsid w:val="001B67EF"/>
    <w:rsid w:val="002345EE"/>
    <w:rsid w:val="00244FA8"/>
    <w:rsid w:val="003B731D"/>
    <w:rsid w:val="006F20C6"/>
    <w:rsid w:val="008B50EE"/>
    <w:rsid w:val="008C22AC"/>
    <w:rsid w:val="008E1064"/>
    <w:rsid w:val="009301C0"/>
    <w:rsid w:val="009F782C"/>
    <w:rsid w:val="00CA2497"/>
    <w:rsid w:val="00D254DB"/>
    <w:rsid w:val="00EF287C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8F28"/>
  <w14:defaultImageDpi w14:val="0"/>
  <w15:docId w15:val="{292B1DF5-ECE4-4205-85E7-3C88E1DB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7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287C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D25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F287C"/>
    <w:pPr>
      <w:shd w:val="clear" w:color="auto" w:fill="FFFFFF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EF287C"/>
    <w:rPr>
      <w:b/>
      <w:bCs/>
      <w:caps/>
      <w:color w:val="000000"/>
      <w:spacing w:val="-15"/>
      <w:sz w:val="94"/>
      <w:szCs w:val="94"/>
      <w:lang w:val="ru-RU" w:eastAsia="ru-RU"/>
    </w:rPr>
  </w:style>
  <w:style w:type="paragraph" w:styleId="a3">
    <w:name w:val="footer"/>
    <w:basedOn w:val="a"/>
    <w:link w:val="a4"/>
    <w:uiPriority w:val="99"/>
    <w:rsid w:val="001B67EF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F287C"/>
    <w:rPr>
      <w:rFonts w:ascii="Arial" w:hAnsi="Arial" w:cs="Arial"/>
      <w:color w:val="000000"/>
      <w:sz w:val="18"/>
      <w:szCs w:val="18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B67EF"/>
  </w:style>
  <w:style w:type="paragraph" w:styleId="a6">
    <w:name w:val="Normal (Web)"/>
    <w:basedOn w:val="a"/>
    <w:uiPriority w:val="99"/>
    <w:rsid w:val="00D254DB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Company>Дом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ОРТОПЕДИЧЕСКИХ ОПЕРАЦИЯХ</dc:title>
  <dc:subject/>
  <dc:creator>Юля</dc:creator>
  <cp:keywords/>
  <dc:description/>
  <cp:lastModifiedBy>Igor</cp:lastModifiedBy>
  <cp:revision>3</cp:revision>
  <dcterms:created xsi:type="dcterms:W3CDTF">2025-03-29T21:33:00Z</dcterms:created>
  <dcterms:modified xsi:type="dcterms:W3CDTF">2025-03-29T21:33:00Z</dcterms:modified>
</cp:coreProperties>
</file>