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ECECA" w14:textId="77777777" w:rsidR="0002760F" w:rsidRPr="00E3177E" w:rsidRDefault="0002760F" w:rsidP="00E3177E">
      <w:pPr>
        <w:spacing w:after="0" w:line="360" w:lineRule="auto"/>
        <w:ind w:firstLine="709"/>
        <w:jc w:val="center"/>
        <w:rPr>
          <w:rFonts w:ascii="Times New Roman" w:hAnsi="Times New Roman"/>
          <w:sz w:val="28"/>
          <w:szCs w:val="28"/>
          <w:lang w:val="en-US"/>
        </w:rPr>
      </w:pPr>
    </w:p>
    <w:p w14:paraId="148FF932" w14:textId="77777777" w:rsidR="00A27617" w:rsidRPr="00E3177E" w:rsidRDefault="00A27617" w:rsidP="00E3177E">
      <w:pPr>
        <w:spacing w:after="0" w:line="360" w:lineRule="auto"/>
        <w:ind w:firstLine="709"/>
        <w:jc w:val="center"/>
        <w:rPr>
          <w:rFonts w:ascii="Times New Roman" w:hAnsi="Times New Roman"/>
          <w:sz w:val="28"/>
          <w:szCs w:val="28"/>
          <w:lang w:val="en-US"/>
        </w:rPr>
      </w:pPr>
    </w:p>
    <w:p w14:paraId="7257B686" w14:textId="77777777" w:rsidR="00A27617" w:rsidRPr="00E3177E" w:rsidRDefault="00A27617" w:rsidP="00E3177E">
      <w:pPr>
        <w:spacing w:after="0" w:line="360" w:lineRule="auto"/>
        <w:ind w:firstLine="709"/>
        <w:jc w:val="center"/>
        <w:rPr>
          <w:rFonts w:ascii="Times New Roman" w:hAnsi="Times New Roman"/>
          <w:sz w:val="28"/>
          <w:szCs w:val="28"/>
          <w:lang w:val="en-US"/>
        </w:rPr>
      </w:pPr>
    </w:p>
    <w:p w14:paraId="2A0217D6" w14:textId="77777777" w:rsidR="00A27617" w:rsidRPr="00E3177E" w:rsidRDefault="00A27617" w:rsidP="00E3177E">
      <w:pPr>
        <w:spacing w:after="0" w:line="360" w:lineRule="auto"/>
        <w:ind w:firstLine="709"/>
        <w:jc w:val="center"/>
        <w:rPr>
          <w:rFonts w:ascii="Times New Roman" w:hAnsi="Times New Roman"/>
          <w:sz w:val="28"/>
          <w:szCs w:val="28"/>
          <w:lang w:val="en-US"/>
        </w:rPr>
      </w:pPr>
    </w:p>
    <w:p w14:paraId="2D59289D" w14:textId="77777777" w:rsidR="00A27617" w:rsidRPr="00E3177E" w:rsidRDefault="00A27617" w:rsidP="00E3177E">
      <w:pPr>
        <w:spacing w:after="0" w:line="360" w:lineRule="auto"/>
        <w:ind w:firstLine="709"/>
        <w:jc w:val="center"/>
        <w:rPr>
          <w:rFonts w:ascii="Times New Roman" w:hAnsi="Times New Roman"/>
          <w:sz w:val="28"/>
          <w:szCs w:val="28"/>
          <w:lang w:val="en-US"/>
        </w:rPr>
      </w:pPr>
    </w:p>
    <w:p w14:paraId="5077C788" w14:textId="77777777" w:rsidR="00A27617" w:rsidRPr="00E3177E" w:rsidRDefault="00A27617" w:rsidP="00E3177E">
      <w:pPr>
        <w:spacing w:after="0" w:line="360" w:lineRule="auto"/>
        <w:ind w:firstLine="709"/>
        <w:jc w:val="center"/>
        <w:rPr>
          <w:rFonts w:ascii="Times New Roman" w:hAnsi="Times New Roman"/>
          <w:sz w:val="28"/>
          <w:szCs w:val="28"/>
          <w:lang w:val="en-US"/>
        </w:rPr>
      </w:pPr>
    </w:p>
    <w:p w14:paraId="1E2E8499" w14:textId="77777777" w:rsidR="00A27617" w:rsidRPr="00E3177E" w:rsidRDefault="00A27617" w:rsidP="00E3177E">
      <w:pPr>
        <w:spacing w:after="0" w:line="360" w:lineRule="auto"/>
        <w:ind w:firstLine="709"/>
        <w:jc w:val="center"/>
        <w:rPr>
          <w:rFonts w:ascii="Times New Roman" w:hAnsi="Times New Roman"/>
          <w:sz w:val="28"/>
          <w:szCs w:val="72"/>
        </w:rPr>
      </w:pPr>
    </w:p>
    <w:p w14:paraId="79A1B367" w14:textId="77777777" w:rsidR="00A27617" w:rsidRDefault="00A27617" w:rsidP="00E3177E">
      <w:pPr>
        <w:spacing w:after="0" w:line="360" w:lineRule="auto"/>
        <w:ind w:firstLine="709"/>
        <w:jc w:val="center"/>
        <w:rPr>
          <w:rFonts w:ascii="Times New Roman" w:hAnsi="Times New Roman"/>
          <w:sz w:val="28"/>
          <w:szCs w:val="72"/>
        </w:rPr>
      </w:pPr>
    </w:p>
    <w:p w14:paraId="4B6C5DBE" w14:textId="77777777" w:rsidR="00E3177E" w:rsidRDefault="00E3177E" w:rsidP="00E3177E">
      <w:pPr>
        <w:spacing w:after="0" w:line="360" w:lineRule="auto"/>
        <w:ind w:firstLine="709"/>
        <w:jc w:val="center"/>
        <w:rPr>
          <w:rFonts w:ascii="Times New Roman" w:hAnsi="Times New Roman"/>
          <w:sz w:val="28"/>
          <w:szCs w:val="72"/>
        </w:rPr>
      </w:pPr>
    </w:p>
    <w:p w14:paraId="17552E73" w14:textId="77777777" w:rsidR="00E3177E" w:rsidRDefault="00E3177E" w:rsidP="00E3177E">
      <w:pPr>
        <w:spacing w:after="0" w:line="360" w:lineRule="auto"/>
        <w:ind w:firstLine="709"/>
        <w:jc w:val="center"/>
        <w:rPr>
          <w:rFonts w:ascii="Times New Roman" w:hAnsi="Times New Roman"/>
          <w:sz w:val="28"/>
          <w:szCs w:val="72"/>
        </w:rPr>
      </w:pPr>
    </w:p>
    <w:p w14:paraId="39E39EE3" w14:textId="77777777" w:rsidR="00E3177E" w:rsidRDefault="00E3177E" w:rsidP="00E3177E">
      <w:pPr>
        <w:spacing w:after="0" w:line="360" w:lineRule="auto"/>
        <w:ind w:firstLine="709"/>
        <w:jc w:val="center"/>
        <w:rPr>
          <w:rFonts w:ascii="Times New Roman" w:hAnsi="Times New Roman"/>
          <w:sz w:val="28"/>
          <w:szCs w:val="72"/>
        </w:rPr>
      </w:pPr>
    </w:p>
    <w:p w14:paraId="6C532B47" w14:textId="77777777" w:rsidR="00E3177E" w:rsidRDefault="00E3177E" w:rsidP="00E3177E">
      <w:pPr>
        <w:spacing w:after="0" w:line="360" w:lineRule="auto"/>
        <w:ind w:firstLine="709"/>
        <w:jc w:val="center"/>
        <w:rPr>
          <w:rFonts w:ascii="Times New Roman" w:hAnsi="Times New Roman"/>
          <w:sz w:val="28"/>
          <w:szCs w:val="72"/>
        </w:rPr>
      </w:pPr>
    </w:p>
    <w:p w14:paraId="4DB02134" w14:textId="77777777" w:rsidR="00E3177E" w:rsidRDefault="00E3177E" w:rsidP="00E3177E">
      <w:pPr>
        <w:spacing w:after="0" w:line="360" w:lineRule="auto"/>
        <w:ind w:firstLine="709"/>
        <w:jc w:val="center"/>
        <w:rPr>
          <w:rFonts w:ascii="Times New Roman" w:hAnsi="Times New Roman"/>
          <w:sz w:val="28"/>
          <w:szCs w:val="72"/>
        </w:rPr>
      </w:pPr>
    </w:p>
    <w:p w14:paraId="78F69CA2" w14:textId="77777777" w:rsidR="00E3177E" w:rsidRPr="00E3177E" w:rsidRDefault="00E3177E" w:rsidP="00E3177E">
      <w:pPr>
        <w:spacing w:after="0" w:line="360" w:lineRule="auto"/>
        <w:ind w:firstLine="709"/>
        <w:jc w:val="center"/>
        <w:rPr>
          <w:rFonts w:ascii="Times New Roman" w:hAnsi="Times New Roman"/>
          <w:sz w:val="28"/>
          <w:szCs w:val="72"/>
        </w:rPr>
      </w:pPr>
    </w:p>
    <w:p w14:paraId="27E3DD67" w14:textId="77777777" w:rsidR="00A27617" w:rsidRPr="00E3177E" w:rsidRDefault="00A27617" w:rsidP="00E3177E">
      <w:pPr>
        <w:spacing w:after="0" w:line="360" w:lineRule="auto"/>
        <w:ind w:firstLine="709"/>
        <w:jc w:val="center"/>
        <w:rPr>
          <w:rFonts w:ascii="Times New Roman" w:hAnsi="Times New Roman"/>
          <w:sz w:val="28"/>
          <w:szCs w:val="72"/>
        </w:rPr>
      </w:pPr>
      <w:r w:rsidRPr="00E3177E">
        <w:rPr>
          <w:rFonts w:ascii="Times New Roman" w:hAnsi="Times New Roman"/>
          <w:sz w:val="28"/>
          <w:szCs w:val="72"/>
        </w:rPr>
        <w:t>Реферат</w:t>
      </w:r>
    </w:p>
    <w:p w14:paraId="6BB17748" w14:textId="77777777" w:rsidR="00A27617" w:rsidRPr="00E3177E" w:rsidRDefault="00A27617" w:rsidP="00E3177E">
      <w:pPr>
        <w:pBdr>
          <w:bottom w:val="single" w:sz="6" w:space="2" w:color="auto"/>
        </w:pBdr>
        <w:spacing w:after="0" w:line="360" w:lineRule="auto"/>
        <w:ind w:firstLine="709"/>
        <w:jc w:val="center"/>
        <w:rPr>
          <w:rFonts w:ascii="Times New Roman" w:hAnsi="Times New Roman"/>
          <w:bCs/>
          <w:sz w:val="28"/>
          <w:szCs w:val="44"/>
        </w:rPr>
      </w:pPr>
      <w:r w:rsidRPr="00E3177E">
        <w:rPr>
          <w:rFonts w:ascii="Times New Roman" w:hAnsi="Times New Roman"/>
          <w:sz w:val="28"/>
          <w:szCs w:val="44"/>
        </w:rPr>
        <w:t>Тема:</w:t>
      </w:r>
      <w:r w:rsidRPr="00E3177E">
        <w:rPr>
          <w:rFonts w:ascii="Times New Roman" w:hAnsi="Times New Roman"/>
          <w:bCs/>
          <w:sz w:val="28"/>
          <w:szCs w:val="44"/>
        </w:rPr>
        <w:t xml:space="preserve"> АНЕСТЕЗИЯ ПРИ ЗАБОЛЕВАНИЯХ</w:t>
      </w:r>
    </w:p>
    <w:p w14:paraId="1239EE35" w14:textId="77777777" w:rsidR="00A27617" w:rsidRPr="00E3177E" w:rsidRDefault="00A27617" w:rsidP="00E3177E">
      <w:pPr>
        <w:pBdr>
          <w:bottom w:val="single" w:sz="6" w:space="2" w:color="auto"/>
        </w:pBdr>
        <w:spacing w:after="0" w:line="360" w:lineRule="auto"/>
        <w:ind w:firstLine="709"/>
        <w:jc w:val="center"/>
        <w:rPr>
          <w:rFonts w:ascii="Times New Roman" w:hAnsi="Times New Roman"/>
          <w:bCs/>
          <w:sz w:val="28"/>
          <w:szCs w:val="44"/>
        </w:rPr>
      </w:pPr>
      <w:r w:rsidRPr="00E3177E">
        <w:rPr>
          <w:rFonts w:ascii="Times New Roman" w:hAnsi="Times New Roman"/>
          <w:bCs/>
          <w:sz w:val="28"/>
          <w:szCs w:val="44"/>
        </w:rPr>
        <w:t>ОРГАНОВ</w:t>
      </w:r>
      <w:r w:rsidR="00E3177E">
        <w:rPr>
          <w:rFonts w:ascii="Times New Roman" w:hAnsi="Times New Roman"/>
          <w:bCs/>
          <w:sz w:val="28"/>
          <w:szCs w:val="44"/>
        </w:rPr>
        <w:t xml:space="preserve"> </w:t>
      </w:r>
      <w:r w:rsidRPr="00E3177E">
        <w:rPr>
          <w:rFonts w:ascii="Times New Roman" w:hAnsi="Times New Roman"/>
          <w:bCs/>
          <w:sz w:val="28"/>
          <w:szCs w:val="44"/>
        </w:rPr>
        <w:t>БРЮШНОЙ</w:t>
      </w:r>
      <w:r w:rsidR="00E3177E">
        <w:rPr>
          <w:rFonts w:ascii="Times New Roman" w:hAnsi="Times New Roman"/>
          <w:bCs/>
          <w:sz w:val="28"/>
          <w:szCs w:val="44"/>
        </w:rPr>
        <w:t xml:space="preserve"> </w:t>
      </w:r>
      <w:r w:rsidRPr="00E3177E">
        <w:rPr>
          <w:rFonts w:ascii="Times New Roman" w:hAnsi="Times New Roman"/>
          <w:bCs/>
          <w:sz w:val="28"/>
          <w:szCs w:val="44"/>
        </w:rPr>
        <w:t>ПОЛОСТИ</w:t>
      </w:r>
    </w:p>
    <w:p w14:paraId="53743434" w14:textId="77777777" w:rsidR="00A27617" w:rsidRPr="00E3177E" w:rsidRDefault="00A27617" w:rsidP="00E3177E">
      <w:pPr>
        <w:pBdr>
          <w:bottom w:val="single" w:sz="6" w:space="2" w:color="auto"/>
        </w:pBdr>
        <w:spacing w:after="0" w:line="360" w:lineRule="auto"/>
        <w:ind w:firstLine="709"/>
        <w:jc w:val="both"/>
        <w:rPr>
          <w:rFonts w:ascii="Times New Roman" w:hAnsi="Times New Roman"/>
          <w:bCs/>
          <w:sz w:val="28"/>
          <w:szCs w:val="44"/>
        </w:rPr>
      </w:pPr>
    </w:p>
    <w:p w14:paraId="2C039DA3" w14:textId="77777777" w:rsidR="0002760F" w:rsidRPr="00E3177E" w:rsidRDefault="00E3177E" w:rsidP="00E3177E">
      <w:pPr>
        <w:spacing w:after="0" w:line="360" w:lineRule="auto"/>
        <w:ind w:firstLine="709"/>
        <w:jc w:val="both"/>
        <w:rPr>
          <w:rFonts w:ascii="Times New Roman" w:hAnsi="Times New Roman"/>
          <w:sz w:val="28"/>
          <w:szCs w:val="28"/>
        </w:rPr>
      </w:pPr>
      <w:r>
        <w:rPr>
          <w:rFonts w:ascii="Times New Roman" w:hAnsi="Times New Roman"/>
          <w:bCs/>
          <w:sz w:val="28"/>
          <w:szCs w:val="44"/>
        </w:rPr>
        <w:br w:type="page"/>
      </w:r>
      <w:r w:rsidR="0002760F" w:rsidRPr="00E3177E">
        <w:rPr>
          <w:rFonts w:ascii="Times New Roman" w:hAnsi="Times New Roman"/>
          <w:sz w:val="28"/>
          <w:szCs w:val="28"/>
        </w:rPr>
        <w:lastRenderedPageBreak/>
        <w:t>Содержание:</w:t>
      </w:r>
    </w:p>
    <w:p w14:paraId="21C33B87" w14:textId="77777777" w:rsidR="0002760F" w:rsidRPr="00E3177E" w:rsidRDefault="0002760F" w:rsidP="00E3177E">
      <w:pPr>
        <w:spacing w:after="0" w:line="360" w:lineRule="auto"/>
        <w:ind w:firstLine="709"/>
        <w:jc w:val="both"/>
        <w:rPr>
          <w:rFonts w:ascii="Times New Roman" w:hAnsi="Times New Roman"/>
          <w:sz w:val="28"/>
          <w:szCs w:val="28"/>
        </w:rPr>
      </w:pPr>
    </w:p>
    <w:p w14:paraId="59CF5E31" w14:textId="77777777" w:rsidR="0002760F" w:rsidRPr="00E3177E" w:rsidRDefault="0002760F" w:rsidP="00E3177E">
      <w:pPr>
        <w:spacing w:after="0" w:line="360" w:lineRule="auto"/>
        <w:jc w:val="both"/>
        <w:rPr>
          <w:rFonts w:ascii="Times New Roman" w:hAnsi="Times New Roman"/>
          <w:sz w:val="28"/>
          <w:szCs w:val="28"/>
        </w:rPr>
      </w:pPr>
      <w:r w:rsidRPr="00E3177E">
        <w:rPr>
          <w:rFonts w:ascii="Times New Roman" w:hAnsi="Times New Roman"/>
          <w:sz w:val="28"/>
          <w:szCs w:val="28"/>
        </w:rPr>
        <w:t>Вступление</w:t>
      </w:r>
    </w:p>
    <w:p w14:paraId="035D67D4" w14:textId="77777777" w:rsidR="0002760F" w:rsidRPr="00E3177E" w:rsidRDefault="0002760F" w:rsidP="00E3177E">
      <w:pPr>
        <w:numPr>
          <w:ilvl w:val="0"/>
          <w:numId w:val="1"/>
        </w:numPr>
        <w:spacing w:after="0" w:line="360" w:lineRule="auto"/>
        <w:ind w:left="0" w:firstLine="0"/>
        <w:jc w:val="both"/>
        <w:rPr>
          <w:rFonts w:ascii="Times New Roman" w:hAnsi="Times New Roman"/>
          <w:sz w:val="28"/>
        </w:rPr>
      </w:pPr>
      <w:r w:rsidRPr="00E3177E">
        <w:rPr>
          <w:rFonts w:ascii="Times New Roman" w:hAnsi="Times New Roman"/>
          <w:bCs/>
          <w:sz w:val="28"/>
          <w:szCs w:val="28"/>
        </w:rPr>
        <w:t>Общая анесте</w:t>
      </w:r>
      <w:r w:rsidR="00E3177E">
        <w:rPr>
          <w:rFonts w:ascii="Times New Roman" w:hAnsi="Times New Roman"/>
          <w:bCs/>
          <w:sz w:val="28"/>
          <w:szCs w:val="28"/>
        </w:rPr>
        <w:t>зия при отдельных заболеваниях.</w:t>
      </w:r>
    </w:p>
    <w:p w14:paraId="3164E451" w14:textId="77777777" w:rsidR="0002760F" w:rsidRPr="00E3177E" w:rsidRDefault="0002760F" w:rsidP="00E3177E">
      <w:pPr>
        <w:numPr>
          <w:ilvl w:val="0"/>
          <w:numId w:val="1"/>
        </w:numPr>
        <w:spacing w:after="0" w:line="360" w:lineRule="auto"/>
        <w:ind w:left="0" w:firstLine="0"/>
        <w:jc w:val="both"/>
        <w:rPr>
          <w:rFonts w:ascii="Times New Roman" w:hAnsi="Times New Roman"/>
          <w:sz w:val="28"/>
        </w:rPr>
      </w:pPr>
      <w:r w:rsidRPr="00E3177E">
        <w:rPr>
          <w:rFonts w:ascii="Times New Roman" w:hAnsi="Times New Roman"/>
          <w:bCs/>
          <w:sz w:val="28"/>
          <w:szCs w:val="28"/>
        </w:rPr>
        <w:t xml:space="preserve">Ближайший послеоперационный период. </w:t>
      </w:r>
    </w:p>
    <w:p w14:paraId="0697C907" w14:textId="77777777" w:rsidR="0002760F" w:rsidRPr="00E3177E" w:rsidRDefault="0002760F" w:rsidP="00E3177E">
      <w:pPr>
        <w:numPr>
          <w:ilvl w:val="0"/>
          <w:numId w:val="1"/>
        </w:numPr>
        <w:spacing w:after="0" w:line="360" w:lineRule="auto"/>
        <w:ind w:left="0" w:firstLine="0"/>
        <w:jc w:val="both"/>
        <w:rPr>
          <w:rFonts w:ascii="Times New Roman" w:hAnsi="Times New Roman"/>
          <w:bCs/>
          <w:sz w:val="28"/>
          <w:szCs w:val="28"/>
        </w:rPr>
      </w:pPr>
      <w:r w:rsidRPr="00E3177E">
        <w:rPr>
          <w:rFonts w:ascii="Times New Roman" w:hAnsi="Times New Roman"/>
          <w:bCs/>
          <w:sz w:val="28"/>
          <w:szCs w:val="28"/>
        </w:rPr>
        <w:t xml:space="preserve">Ошибки, опасности и осложнения </w:t>
      </w:r>
    </w:p>
    <w:p w14:paraId="0807BD9B" w14:textId="77777777" w:rsidR="0002760F" w:rsidRPr="00E3177E" w:rsidRDefault="00A27617" w:rsidP="00E3177E">
      <w:pPr>
        <w:spacing w:after="0" w:line="360" w:lineRule="auto"/>
        <w:jc w:val="both"/>
        <w:rPr>
          <w:rFonts w:ascii="Times New Roman" w:hAnsi="Times New Roman"/>
          <w:sz w:val="28"/>
          <w:szCs w:val="28"/>
        </w:rPr>
      </w:pPr>
      <w:r w:rsidRPr="00E3177E">
        <w:rPr>
          <w:rFonts w:ascii="Times New Roman" w:hAnsi="Times New Roman"/>
          <w:sz w:val="28"/>
          <w:szCs w:val="28"/>
        </w:rPr>
        <w:t>Список литературы</w:t>
      </w:r>
    </w:p>
    <w:p w14:paraId="2C018F4B" w14:textId="77777777" w:rsidR="00A27617" w:rsidRPr="00E3177E" w:rsidRDefault="00A27617" w:rsidP="00E3177E">
      <w:pPr>
        <w:spacing w:after="0" w:line="360" w:lineRule="auto"/>
        <w:ind w:firstLine="709"/>
        <w:jc w:val="both"/>
        <w:rPr>
          <w:rFonts w:ascii="Times New Roman" w:hAnsi="Times New Roman"/>
          <w:sz w:val="28"/>
          <w:szCs w:val="28"/>
        </w:rPr>
      </w:pPr>
    </w:p>
    <w:p w14:paraId="52E2FBA0" w14:textId="77777777" w:rsidR="00DC4598" w:rsidRPr="00E3177E" w:rsidRDefault="00E3177E" w:rsidP="00E3177E">
      <w:pPr>
        <w:spacing w:after="0" w:line="360" w:lineRule="auto"/>
        <w:ind w:firstLine="709"/>
        <w:jc w:val="both"/>
        <w:rPr>
          <w:rFonts w:ascii="Times New Roman" w:hAnsi="Times New Roman"/>
          <w:bCs/>
          <w:sz w:val="28"/>
          <w:szCs w:val="28"/>
        </w:rPr>
      </w:pPr>
      <w:r>
        <w:rPr>
          <w:rFonts w:ascii="Times New Roman" w:hAnsi="Times New Roman"/>
          <w:bCs/>
          <w:sz w:val="28"/>
          <w:szCs w:val="28"/>
        </w:rPr>
        <w:br w:type="page"/>
      </w:r>
      <w:r w:rsidR="00DC4598" w:rsidRPr="00E3177E">
        <w:rPr>
          <w:rFonts w:ascii="Times New Roman" w:hAnsi="Times New Roman"/>
          <w:bCs/>
          <w:sz w:val="28"/>
          <w:szCs w:val="28"/>
        </w:rPr>
        <w:lastRenderedPageBreak/>
        <w:t>Общая анесте</w:t>
      </w:r>
      <w:r>
        <w:rPr>
          <w:rFonts w:ascii="Times New Roman" w:hAnsi="Times New Roman"/>
          <w:bCs/>
          <w:sz w:val="28"/>
          <w:szCs w:val="28"/>
        </w:rPr>
        <w:t>зия при отдельных заболеваниях</w:t>
      </w:r>
    </w:p>
    <w:p w14:paraId="68DBF89F" w14:textId="77777777" w:rsidR="00A27617" w:rsidRPr="00E3177E" w:rsidRDefault="00A27617" w:rsidP="00E3177E">
      <w:pPr>
        <w:spacing w:after="0" w:line="360" w:lineRule="auto"/>
        <w:ind w:firstLine="709"/>
        <w:jc w:val="both"/>
        <w:rPr>
          <w:rFonts w:ascii="Times New Roman" w:hAnsi="Times New Roman"/>
          <w:bCs/>
          <w:sz w:val="28"/>
          <w:szCs w:val="28"/>
        </w:rPr>
      </w:pPr>
    </w:p>
    <w:p w14:paraId="59DDE13F" w14:textId="77777777" w:rsidR="00A27617" w:rsidRPr="00E3177E" w:rsidRDefault="00A27617"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Самой частой хирургической патологией в ургентной хирургии является острый аппендицит.</w:t>
      </w:r>
    </w:p>
    <w:p w14:paraId="301726E6" w14:textId="77777777"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Выбор метода анестезии при остром аппендиците производится в зависимости от распространенности патологического процесса и характера предполагаемого оперативного вмешательства. Если патологический процесс локализован, то оперативный доступ осуществляется косым разрезом в правой подвздошной области под местной инфильтрационной анестезией в сочетании с седативными или наркотическими средствами. При наличии перитонита, требующего широкой ревизии брюшной полости, предпочтение отдают эндотрахеальному методу общей анестезии.</w:t>
      </w:r>
    </w:p>
    <w:p w14:paraId="033C0672" w14:textId="77777777"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Если операция начата под местной анестезией, но из-за технических трудностей (атипичное расположение червеобразного отростка, ожирение) становится болезненной и трудно переносимой, необходимо перейти на общую анестезию: ингаляцию закиси азота с кислородом (2:1) в сочетании с седативными, анализирующими или наркотическими средствами (5—10 мг диазепама, 100 мкг фентанила или кетамин в дозе 1—2 мг/кг). У детей аппендэктомия может быть выполнена под масочной анестезией фторотаном или под внутривенной анестезией кетамином в сочетании с диазепамом, закисью азота или барбитуратами.</w:t>
      </w:r>
    </w:p>
    <w:p w14:paraId="30D0026E" w14:textId="77777777"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 xml:space="preserve">При ущемленной грыже выбор метода анестезии зависит от вида грыжи (паховая, пупочная, бедренная), характера ущемления (каловое, эластическое), давности заболевания и наличия признаков перитонита, а также от характера предполагаемого оперативного вмешательства и сопутствующих заболеваний. В большинстве случаев операцию можно проводить под местной инфильтрационной анестезией до момента обнажения и вскрытия грыжевого мешка. При необходимости операция может быть продолжена под местной анестезией в сочетании с анальгетиками, седативными и наркотическими средствами. Если же </w:t>
      </w:r>
      <w:r w:rsidRPr="00E3177E">
        <w:rPr>
          <w:rFonts w:ascii="Times New Roman" w:hAnsi="Times New Roman"/>
          <w:sz w:val="28"/>
          <w:szCs w:val="28"/>
        </w:rPr>
        <w:lastRenderedPageBreak/>
        <w:t>развился перитонит, то операцию целесообразно выполнять под эндотрахеальной общей анестезией. Следует помнить, что при эластическом ущемлении содержимого грыжевого мешка сохраняется опасность самопроизвольного вправления некротически измененного участка петли тонкой кишки или сальника в свободную брюшную полость и ее инфицирования. В связи с этим нецелесообразно начинать общую анестезию с использования средств, обладающих способностью снижать тонус скелетной мускулатуры, расслаблять грыжевое кольцо (фторотан, кетамин с диазепамом, миорелаксанты). Как отмечено выше, операцию следует начать под местной анестезией, а после вскрытия и ревизии грыжевого мешка выбрать метод анестезии в зависимости от характера и объема оперативного вмешательства.</w:t>
      </w:r>
    </w:p>
    <w:p w14:paraId="36FA0696" w14:textId="77777777"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Оперативные вмешательства по поводу прободной язвы, острого холецистита, острого панкреатита, острой кишечной непроходимости, перитонита целесообразно выполнять под общей анестезией с интубацией трахеи, миорелаксацией и ИВЛ. При острой хирургической патологии брюшной полости операции, как правило, сопровождаются широкой ревизией, требующей хорошей релаксации мышц передней брюшной стенки, травматичностью и рефлексогенностью в связи с манипуляциями в области важнейших нервных сплетений. Общая анестезия при этом должна обеспечить достаточную антиноцицептивную защиту, создать условия для оперативного доступа, обеспечить надлежащий газообмен, коррекцию гиповолемии и нарушенного метаболизма.</w:t>
      </w:r>
    </w:p>
    <w:p w14:paraId="30DB840E" w14:textId="77777777" w:rsidR="00DC4598" w:rsidRPr="00E3177E" w:rsidRDefault="00DC4598" w:rsidP="00E3177E">
      <w:pPr>
        <w:spacing w:after="0" w:line="360" w:lineRule="auto"/>
        <w:ind w:firstLine="709"/>
        <w:jc w:val="both"/>
        <w:rPr>
          <w:rFonts w:ascii="Times New Roman" w:hAnsi="Times New Roman"/>
          <w:bCs/>
          <w:sz w:val="28"/>
          <w:szCs w:val="28"/>
        </w:rPr>
      </w:pPr>
    </w:p>
    <w:p w14:paraId="7065E593" w14:textId="77777777" w:rsidR="00DC4598" w:rsidRPr="00E3177E" w:rsidRDefault="00DC4598" w:rsidP="00E3177E">
      <w:pPr>
        <w:spacing w:after="0" w:line="360" w:lineRule="auto"/>
        <w:ind w:firstLine="709"/>
        <w:jc w:val="both"/>
        <w:rPr>
          <w:rFonts w:ascii="Times New Roman" w:hAnsi="Times New Roman"/>
          <w:bCs/>
          <w:sz w:val="28"/>
          <w:szCs w:val="28"/>
        </w:rPr>
      </w:pPr>
      <w:r w:rsidRPr="00E3177E">
        <w:rPr>
          <w:rFonts w:ascii="Times New Roman" w:hAnsi="Times New Roman"/>
          <w:bCs/>
          <w:sz w:val="28"/>
          <w:szCs w:val="28"/>
        </w:rPr>
        <w:t xml:space="preserve">Ближайший послеоперационный период. </w:t>
      </w:r>
    </w:p>
    <w:p w14:paraId="1025261A" w14:textId="77777777" w:rsidR="00A27617" w:rsidRPr="00E3177E" w:rsidRDefault="00A27617" w:rsidP="00E3177E">
      <w:pPr>
        <w:spacing w:after="0" w:line="360" w:lineRule="auto"/>
        <w:ind w:firstLine="709"/>
        <w:jc w:val="both"/>
        <w:rPr>
          <w:rFonts w:ascii="Times New Roman" w:hAnsi="Times New Roman"/>
          <w:bCs/>
          <w:sz w:val="28"/>
          <w:szCs w:val="28"/>
        </w:rPr>
      </w:pPr>
    </w:p>
    <w:p w14:paraId="7C3363EC" w14:textId="77777777"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 xml:space="preserve">Объем интенсивной терапии зависит от тяжести заболевания, стадии патологического процесса и степени выраженности патофизиологических расстройств. Несмотря на различия в патогенезе хирургических заболеваний, </w:t>
      </w:r>
      <w:r w:rsidRPr="00E3177E">
        <w:rPr>
          <w:rFonts w:ascii="Times New Roman" w:hAnsi="Times New Roman"/>
          <w:sz w:val="28"/>
          <w:szCs w:val="28"/>
        </w:rPr>
        <w:lastRenderedPageBreak/>
        <w:t>основные направления интенсивной терапии остаются общими и включают следующие мероприятия:</w:t>
      </w:r>
    </w:p>
    <w:p w14:paraId="5A8D4294" w14:textId="77777777" w:rsidR="00DC4598" w:rsidRPr="00E3177E" w:rsidRDefault="00DC4598" w:rsidP="00E3177E">
      <w:pPr>
        <w:pStyle w:val="a3"/>
        <w:spacing w:line="360" w:lineRule="auto"/>
        <w:ind w:firstLine="709"/>
        <w:rPr>
          <w:szCs w:val="28"/>
        </w:rPr>
      </w:pPr>
      <w:r w:rsidRPr="00E3177E">
        <w:rPr>
          <w:szCs w:val="28"/>
        </w:rPr>
        <w:t>1. Обеспечение декомпрессии желудочно-кишечного тракта. Необходимость этого обусловлена тем важным обстоятельством, что с устранением патологического процесса оперативным путем не исчезают признаки динамической непроходимости кишечника, а следовательно, не улучшаются условия микроциркуляции в кишечной стенке. В связи с этим во время операции или в ближайшем периоде после нее необходимо установить постоянный назогастральный зонд, который, кроме того, что вызывает декомпрессию, может быть использован и для выполнения других задач (промывание полости желудка или кишечника, проведение внутрижелудочной гипотермии, оксигенации крови портальной системы, введение антисептиков-окислителей, оценка степени восстановления моторной или реабсорбционной функции кишечника, питание через зонд). Сроки пребывания назогастрального или назокишечного зонда составляют 3—5 сут, но в каждом конкретном случае определяются индивидуально в зависимости от поставленных задач. Объем и характер отделяемой по зонду жидкости подлежит точному учету.</w:t>
      </w:r>
    </w:p>
    <w:p w14:paraId="78400CB1" w14:textId="77777777"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2. Обеспечение полноценного обезболивания. С окончанием операции и общей анестезии аналгезия не должна прекращаться Наиболее рациональным способом обезболивания в ближайшем и последующем периодах послеоперационного наблюдения является пролонгированная эпидуральная анестезия через</w:t>
      </w:r>
      <w:r w:rsidR="00E3177E">
        <w:rPr>
          <w:rFonts w:ascii="Times New Roman" w:hAnsi="Times New Roman"/>
          <w:sz w:val="28"/>
          <w:szCs w:val="28"/>
        </w:rPr>
        <w:t xml:space="preserve"> </w:t>
      </w:r>
      <w:r w:rsidRPr="00E3177E">
        <w:rPr>
          <w:rFonts w:ascii="Times New Roman" w:hAnsi="Times New Roman"/>
          <w:sz w:val="28"/>
          <w:szCs w:val="28"/>
        </w:rPr>
        <w:t>постоянный катетер, установленный на уровне Т</w:t>
      </w:r>
      <w:r w:rsidRPr="00E3177E">
        <w:rPr>
          <w:rFonts w:ascii="Times New Roman" w:hAnsi="Times New Roman"/>
          <w:sz w:val="28"/>
          <w:szCs w:val="28"/>
          <w:vertAlign w:val="subscript"/>
          <w:lang w:val="en-US"/>
        </w:rPr>
        <w:t>VII</w:t>
      </w:r>
      <w:r w:rsidRPr="00E3177E">
        <w:rPr>
          <w:rFonts w:ascii="Times New Roman" w:hAnsi="Times New Roman"/>
          <w:sz w:val="28"/>
          <w:szCs w:val="28"/>
          <w:vertAlign w:val="subscript"/>
        </w:rPr>
        <w:t>-</w:t>
      </w:r>
      <w:r w:rsidRPr="00E3177E">
        <w:rPr>
          <w:rFonts w:ascii="Times New Roman" w:hAnsi="Times New Roman"/>
          <w:sz w:val="28"/>
          <w:szCs w:val="28"/>
          <w:vertAlign w:val="subscript"/>
          <w:lang w:val="en-US"/>
        </w:rPr>
        <w:t>X</w:t>
      </w:r>
      <w:r w:rsidRPr="00E3177E">
        <w:rPr>
          <w:rFonts w:ascii="Times New Roman" w:hAnsi="Times New Roman"/>
          <w:sz w:val="28"/>
          <w:szCs w:val="28"/>
        </w:rPr>
        <w:t xml:space="preserve"> при фракционном введении 2% раствора тримекаина (лидокаина) в дозе 80—100 мг каждые 3 -3,5 ч. Хорошие результаты достигаются при эпидуральном введении местного анестетика с 4—5 мг морфина. Продолжительность аналгезии при этом методе составляет 16 ч и более [Тяжелков В.П., 1985; </w:t>
      </w:r>
      <w:r w:rsidRPr="00E3177E">
        <w:rPr>
          <w:rFonts w:ascii="Times New Roman" w:hAnsi="Times New Roman"/>
          <w:sz w:val="28"/>
          <w:szCs w:val="28"/>
          <w:lang w:val="en-US"/>
        </w:rPr>
        <w:t>Chamberg</w:t>
      </w:r>
      <w:r w:rsidRPr="00E3177E">
        <w:rPr>
          <w:rFonts w:ascii="Times New Roman" w:hAnsi="Times New Roman"/>
          <w:sz w:val="28"/>
          <w:szCs w:val="28"/>
        </w:rPr>
        <w:t xml:space="preserve"> </w:t>
      </w:r>
      <w:r w:rsidRPr="00E3177E">
        <w:rPr>
          <w:rFonts w:ascii="Times New Roman" w:hAnsi="Times New Roman"/>
          <w:sz w:val="28"/>
          <w:szCs w:val="28"/>
          <w:lang w:val="en-US"/>
        </w:rPr>
        <w:t>W</w:t>
      </w:r>
      <w:r w:rsidRPr="00E3177E">
        <w:rPr>
          <w:rFonts w:ascii="Times New Roman" w:hAnsi="Times New Roman"/>
          <w:sz w:val="28"/>
          <w:szCs w:val="28"/>
        </w:rPr>
        <w:t xml:space="preserve">. </w:t>
      </w:r>
      <w:r w:rsidRPr="00E3177E">
        <w:rPr>
          <w:rFonts w:ascii="Times New Roman" w:hAnsi="Times New Roman"/>
          <w:sz w:val="28"/>
          <w:szCs w:val="28"/>
          <w:lang w:val="en-US"/>
        </w:rPr>
        <w:t>et</w:t>
      </w:r>
      <w:r w:rsidRPr="00E3177E">
        <w:rPr>
          <w:rFonts w:ascii="Times New Roman" w:hAnsi="Times New Roman"/>
          <w:sz w:val="28"/>
          <w:szCs w:val="28"/>
        </w:rPr>
        <w:t xml:space="preserve"> </w:t>
      </w:r>
      <w:r w:rsidRPr="00E3177E">
        <w:rPr>
          <w:rFonts w:ascii="Times New Roman" w:hAnsi="Times New Roman"/>
          <w:sz w:val="28"/>
          <w:szCs w:val="28"/>
          <w:lang w:val="en-US"/>
        </w:rPr>
        <w:t>al</w:t>
      </w:r>
      <w:r w:rsidRPr="00E3177E">
        <w:rPr>
          <w:rFonts w:ascii="Times New Roman" w:hAnsi="Times New Roman"/>
          <w:sz w:val="28"/>
          <w:szCs w:val="28"/>
        </w:rPr>
        <w:t xml:space="preserve">., 1982; </w:t>
      </w:r>
      <w:r w:rsidRPr="00E3177E">
        <w:rPr>
          <w:rFonts w:ascii="Times New Roman" w:hAnsi="Times New Roman"/>
          <w:sz w:val="28"/>
          <w:szCs w:val="28"/>
          <w:lang w:val="en-US"/>
        </w:rPr>
        <w:t>Andrews</w:t>
      </w:r>
      <w:r w:rsidRPr="00E3177E">
        <w:rPr>
          <w:rFonts w:ascii="Times New Roman" w:hAnsi="Times New Roman"/>
          <w:sz w:val="28"/>
          <w:szCs w:val="28"/>
        </w:rPr>
        <w:t xml:space="preserve"> </w:t>
      </w:r>
      <w:r w:rsidRPr="00E3177E">
        <w:rPr>
          <w:rFonts w:ascii="Times New Roman" w:hAnsi="Times New Roman"/>
          <w:sz w:val="28"/>
          <w:szCs w:val="28"/>
          <w:lang w:val="en-US"/>
        </w:rPr>
        <w:t>I</w:t>
      </w:r>
      <w:r w:rsidRPr="00E3177E">
        <w:rPr>
          <w:rFonts w:ascii="Times New Roman" w:hAnsi="Times New Roman"/>
          <w:sz w:val="28"/>
          <w:szCs w:val="28"/>
        </w:rPr>
        <w:t xml:space="preserve">., 1983]. Симпатолитический эффект эпидуральной анестезии является благоприятным фоном для улучшения кровообращения в стенке кишечника, </w:t>
      </w:r>
      <w:r w:rsidRPr="00E3177E">
        <w:rPr>
          <w:rFonts w:ascii="Times New Roman" w:hAnsi="Times New Roman"/>
          <w:sz w:val="28"/>
          <w:szCs w:val="28"/>
        </w:rPr>
        <w:lastRenderedPageBreak/>
        <w:t>восстановления реабсорбции и моторики. Снятие болевого раздражения с брюшины способствует ранней активизации больного, увеличению дыхательной экскурсии грудной клетки; облегчается откашливание и предупреждаются легочные осложнения. Традиционное назначение центральных анальгетиков с целью послеоперационного обезболивания является далеко не лучшим методом и в современных условиях должно быть ограниченным.</w:t>
      </w:r>
    </w:p>
    <w:p w14:paraId="4C33D5D7" w14:textId="77777777"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3. Респираторная терапия. Больным с компенсированными и субкомпенсированными нарушениями дыхания сразу же после перевода в отделение реанимации и интенсивной терапии следует придать возвышенное положение в кровати (положение Фовлера), обеспечить подачу увлажненного кислорода через носовой катетер, проводить дыхательные упражнения и стимулировать кашель, назначить аэрозольную ингаляционную терапию, а при необходимости сеансы перкуссионного и вибрационного массажа грудной клетки.</w:t>
      </w:r>
    </w:p>
    <w:p w14:paraId="7B9F768A" w14:textId="77777777"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При более выраженных расстройствах газообмена показаны пролонгированная ИВЛ, лечение дыхательной недостаточности [</w:t>
      </w:r>
      <w:r w:rsidRPr="00E3177E">
        <w:rPr>
          <w:rFonts w:ascii="Times New Roman" w:hAnsi="Times New Roman"/>
          <w:sz w:val="28"/>
          <w:szCs w:val="28"/>
          <w:lang w:val="en-US"/>
        </w:rPr>
        <w:t>Vincent</w:t>
      </w:r>
      <w:r w:rsidRPr="00E3177E">
        <w:rPr>
          <w:rFonts w:ascii="Times New Roman" w:hAnsi="Times New Roman"/>
          <w:sz w:val="28"/>
          <w:szCs w:val="28"/>
        </w:rPr>
        <w:t xml:space="preserve"> </w:t>
      </w:r>
      <w:r w:rsidRPr="00E3177E">
        <w:rPr>
          <w:rFonts w:ascii="Times New Roman" w:hAnsi="Times New Roman"/>
          <w:sz w:val="28"/>
          <w:szCs w:val="28"/>
          <w:lang w:val="en-US"/>
        </w:rPr>
        <w:t>J</w:t>
      </w:r>
      <w:r w:rsidRPr="00E3177E">
        <w:rPr>
          <w:rFonts w:ascii="Times New Roman" w:hAnsi="Times New Roman"/>
          <w:sz w:val="28"/>
          <w:szCs w:val="28"/>
        </w:rPr>
        <w:t xml:space="preserve">. </w:t>
      </w:r>
      <w:r w:rsidRPr="00E3177E">
        <w:rPr>
          <w:rFonts w:ascii="Times New Roman" w:hAnsi="Times New Roman"/>
          <w:sz w:val="28"/>
          <w:szCs w:val="28"/>
          <w:lang w:val="en-US"/>
        </w:rPr>
        <w:t>et</w:t>
      </w:r>
      <w:r w:rsidRPr="00E3177E">
        <w:rPr>
          <w:rFonts w:ascii="Times New Roman" w:hAnsi="Times New Roman"/>
          <w:sz w:val="28"/>
          <w:szCs w:val="28"/>
        </w:rPr>
        <w:t xml:space="preserve"> </w:t>
      </w:r>
      <w:r w:rsidRPr="00E3177E">
        <w:rPr>
          <w:rFonts w:ascii="Times New Roman" w:hAnsi="Times New Roman"/>
          <w:sz w:val="28"/>
          <w:szCs w:val="28"/>
          <w:lang w:val="en-US"/>
        </w:rPr>
        <w:t>al</w:t>
      </w:r>
      <w:r w:rsidRPr="00E3177E">
        <w:rPr>
          <w:rFonts w:ascii="Times New Roman" w:hAnsi="Times New Roman"/>
          <w:sz w:val="28"/>
          <w:szCs w:val="28"/>
        </w:rPr>
        <w:t>., 1984].</w:t>
      </w:r>
    </w:p>
    <w:p w14:paraId="2F937961" w14:textId="77777777"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4. Сбалансированная инфузионно-трансфузионная терапия, направленная на дальнейшее восполнение водно-электролитных, белковых дефицитов и коррекцию метаболизма. Под контролем клинических и биохимических показателей при разлитом перитоните или деструктивных формах острого панкреатита общий объем инфузии в первые сутки после операции может составлять в среднем 4—5 л (60—80 мл/кг), т.е. почти вдвое превышает обычную потребность в жидкости. Как отмечалось выше, суточная потеря белка у больных с перитонитом может достигать 250—300 г. В связи с этим на первых этапах корригирующей интенсивной терапии необходимо повысить коллоидно-осмотическое давление крови путем введения альбумина, протеина, нативной плазмы и кристаллоидов для сохранения удовлетворительного уровня водных секторов.</w:t>
      </w:r>
    </w:p>
    <w:p w14:paraId="47A451C8" w14:textId="77777777"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lastRenderedPageBreak/>
        <w:t>В последующие дни коррекция белковых дефицитов становится жизненно необходимой для удовлетворения энергетических и пластических потребностей организма. Для этого назначаются не только белковые препараты (альбумин, протеин, белковые гидролизаты, гидролизин, гидролизат казеина), на усвоение которых требуется несколько дней, но и смеси синтетических и естественных аминокислот в необходимой пропорции. Для покрытия энергетической потребности, которая возрастает до 12,5—16,7 мДж/сут (3000—4000 ккал/сут), вводят расчетные количества глюкозы, жиров, этилового спирта, сорбитола с витаминами (</w:t>
      </w:r>
      <w:r w:rsidRPr="00E3177E">
        <w:rPr>
          <w:rFonts w:ascii="Times New Roman" w:hAnsi="Times New Roman"/>
          <w:sz w:val="28"/>
          <w:szCs w:val="28"/>
          <w:lang w:val="en-US"/>
        </w:rPr>
        <w:t>B</w:t>
      </w:r>
      <w:r w:rsidRPr="00E3177E">
        <w:rPr>
          <w:rFonts w:ascii="Times New Roman" w:hAnsi="Times New Roman"/>
          <w:sz w:val="28"/>
          <w:szCs w:val="28"/>
          <w:vertAlign w:val="subscript"/>
        </w:rPr>
        <w:t>1</w:t>
      </w:r>
      <w:r w:rsidRPr="00E3177E">
        <w:rPr>
          <w:rFonts w:ascii="Times New Roman" w:hAnsi="Times New Roman"/>
          <w:sz w:val="28"/>
          <w:szCs w:val="28"/>
        </w:rPr>
        <w:t>, С), инсулином и анаболическими гормональными препаратами.</w:t>
      </w:r>
    </w:p>
    <w:p w14:paraId="05E253CE" w14:textId="77777777"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 xml:space="preserve">5. Обязательным компонентом послеоперационной интенсивной терапии является антибиотикотерапия. При лечении гнойного перитонита обычно применяют три группы антибиотиков: иенициллины (пенициллина натриевая соль, ампициллин, метициллин), аминогликозиды (неомицина сульфат, канамицин, гентамицин), тетрациклины (тетрациклина гидрохлорид, олететрин), а также другие антибиотики широкого спектра (ристомицина сульфат, цефалоспорины и др.). При определении чувствительности микрофлоры к антибиотикам положительно зарекомендовал себя ТТХ-тест [Рябинский В.С., 1967]. Суть его заключается в следующем: антибиотик, введенный в пробирку с экссудатом, подавляет рост микрофлоры и снижает уровень дегидрогеназ, выделяемых бактериями, что и вызывает восстановление бесцветного ТТХ (трифенил-тетразолий-хлорид) в красный трифенилформазан, выпадающий в осадок. По степени окраски экссудата судят об эффективности данного антибиотика. Суточные дозы антибиотиков при подкожном, интраперигонеальном, эндолимфатическом и внут-риаортальном введении приведены в специальной литературе [Федоров В.Д., 1974; Акжигитов Г.Н., 1974; Савчук Б.Д., 1979; Мезенцев С.С., 1987; </w:t>
      </w:r>
      <w:r w:rsidRPr="00E3177E">
        <w:rPr>
          <w:rFonts w:ascii="Times New Roman" w:hAnsi="Times New Roman"/>
          <w:sz w:val="28"/>
          <w:szCs w:val="28"/>
          <w:lang w:val="en-US"/>
        </w:rPr>
        <w:t>Lasson</w:t>
      </w:r>
      <w:r w:rsidRPr="00E3177E">
        <w:rPr>
          <w:rFonts w:ascii="Times New Roman" w:hAnsi="Times New Roman"/>
          <w:sz w:val="28"/>
          <w:szCs w:val="28"/>
        </w:rPr>
        <w:t xml:space="preserve"> </w:t>
      </w:r>
      <w:r w:rsidRPr="00E3177E">
        <w:rPr>
          <w:rFonts w:ascii="Times New Roman" w:hAnsi="Times New Roman"/>
          <w:sz w:val="28"/>
          <w:szCs w:val="28"/>
          <w:lang w:val="en-US"/>
        </w:rPr>
        <w:t>A</w:t>
      </w:r>
      <w:r w:rsidRPr="00E3177E">
        <w:rPr>
          <w:rFonts w:ascii="Times New Roman" w:hAnsi="Times New Roman"/>
          <w:sz w:val="28"/>
          <w:szCs w:val="28"/>
        </w:rPr>
        <w:t xml:space="preserve">. </w:t>
      </w:r>
      <w:r w:rsidRPr="00E3177E">
        <w:rPr>
          <w:rFonts w:ascii="Times New Roman" w:hAnsi="Times New Roman"/>
          <w:sz w:val="28"/>
          <w:szCs w:val="28"/>
          <w:lang w:val="en-US"/>
        </w:rPr>
        <w:t>et</w:t>
      </w:r>
      <w:r w:rsidRPr="00E3177E">
        <w:rPr>
          <w:rFonts w:ascii="Times New Roman" w:hAnsi="Times New Roman"/>
          <w:sz w:val="28"/>
          <w:szCs w:val="28"/>
        </w:rPr>
        <w:t xml:space="preserve"> </w:t>
      </w:r>
      <w:r w:rsidRPr="00E3177E">
        <w:rPr>
          <w:rFonts w:ascii="Times New Roman" w:hAnsi="Times New Roman"/>
          <w:sz w:val="28"/>
          <w:szCs w:val="28"/>
          <w:lang w:val="en-US"/>
        </w:rPr>
        <w:t>al</w:t>
      </w:r>
      <w:r w:rsidRPr="00E3177E">
        <w:rPr>
          <w:rFonts w:ascii="Times New Roman" w:hAnsi="Times New Roman"/>
          <w:sz w:val="28"/>
          <w:szCs w:val="28"/>
        </w:rPr>
        <w:t xml:space="preserve">., 1984; </w:t>
      </w:r>
      <w:r w:rsidRPr="00E3177E">
        <w:rPr>
          <w:rFonts w:ascii="Times New Roman" w:hAnsi="Times New Roman"/>
          <w:sz w:val="28"/>
          <w:szCs w:val="28"/>
          <w:lang w:val="en-US"/>
        </w:rPr>
        <w:t>Cuilleret</w:t>
      </w:r>
      <w:r w:rsidRPr="00E3177E">
        <w:rPr>
          <w:rFonts w:ascii="Times New Roman" w:hAnsi="Times New Roman"/>
          <w:sz w:val="28"/>
          <w:szCs w:val="28"/>
        </w:rPr>
        <w:t xml:space="preserve"> </w:t>
      </w:r>
      <w:r w:rsidRPr="00E3177E">
        <w:rPr>
          <w:rFonts w:ascii="Times New Roman" w:hAnsi="Times New Roman"/>
          <w:sz w:val="28"/>
          <w:szCs w:val="28"/>
          <w:lang w:val="en-US"/>
        </w:rPr>
        <w:t>J</w:t>
      </w:r>
      <w:r w:rsidRPr="00E3177E">
        <w:rPr>
          <w:rFonts w:ascii="Times New Roman" w:hAnsi="Times New Roman"/>
          <w:sz w:val="28"/>
          <w:szCs w:val="28"/>
        </w:rPr>
        <w:t xml:space="preserve">., 1985; </w:t>
      </w:r>
      <w:r w:rsidRPr="00E3177E">
        <w:rPr>
          <w:rFonts w:ascii="Times New Roman" w:hAnsi="Times New Roman"/>
          <w:sz w:val="28"/>
          <w:szCs w:val="28"/>
          <w:lang w:val="en-US"/>
        </w:rPr>
        <w:t>Mayrhofer</w:t>
      </w:r>
      <w:r w:rsidRPr="00E3177E">
        <w:rPr>
          <w:rFonts w:ascii="Times New Roman" w:hAnsi="Times New Roman"/>
          <w:sz w:val="28"/>
          <w:szCs w:val="28"/>
        </w:rPr>
        <w:t xml:space="preserve"> О. </w:t>
      </w:r>
      <w:r w:rsidRPr="00E3177E">
        <w:rPr>
          <w:rFonts w:ascii="Times New Roman" w:hAnsi="Times New Roman"/>
          <w:sz w:val="28"/>
          <w:szCs w:val="28"/>
          <w:lang w:val="en-US"/>
        </w:rPr>
        <w:t>et</w:t>
      </w:r>
      <w:r w:rsidRPr="00E3177E">
        <w:rPr>
          <w:rFonts w:ascii="Times New Roman" w:hAnsi="Times New Roman"/>
          <w:sz w:val="28"/>
          <w:szCs w:val="28"/>
        </w:rPr>
        <w:t xml:space="preserve"> </w:t>
      </w:r>
      <w:r w:rsidRPr="00E3177E">
        <w:rPr>
          <w:rFonts w:ascii="Times New Roman" w:hAnsi="Times New Roman"/>
          <w:sz w:val="28"/>
          <w:szCs w:val="28"/>
          <w:lang w:val="en-US"/>
        </w:rPr>
        <w:t>al</w:t>
      </w:r>
      <w:r w:rsidRPr="00E3177E">
        <w:rPr>
          <w:rFonts w:ascii="Times New Roman" w:hAnsi="Times New Roman"/>
          <w:sz w:val="28"/>
          <w:szCs w:val="28"/>
        </w:rPr>
        <w:t xml:space="preserve">., 1985; </w:t>
      </w:r>
      <w:r w:rsidRPr="00E3177E">
        <w:rPr>
          <w:rFonts w:ascii="Times New Roman" w:hAnsi="Times New Roman"/>
          <w:sz w:val="28"/>
          <w:szCs w:val="28"/>
          <w:lang w:val="en-US"/>
        </w:rPr>
        <w:t>Gui</w:t>
      </w:r>
      <w:r w:rsidRPr="00E3177E">
        <w:rPr>
          <w:rFonts w:ascii="Times New Roman" w:hAnsi="Times New Roman"/>
          <w:sz w:val="28"/>
          <w:szCs w:val="28"/>
        </w:rPr>
        <w:t xml:space="preserve"> </w:t>
      </w:r>
      <w:r w:rsidRPr="00E3177E">
        <w:rPr>
          <w:rFonts w:ascii="Times New Roman" w:hAnsi="Times New Roman"/>
          <w:sz w:val="28"/>
          <w:szCs w:val="28"/>
          <w:lang w:val="en-US"/>
        </w:rPr>
        <w:t>D</w:t>
      </w:r>
      <w:r w:rsidRPr="00E3177E">
        <w:rPr>
          <w:rFonts w:ascii="Times New Roman" w:hAnsi="Times New Roman"/>
          <w:sz w:val="28"/>
          <w:szCs w:val="28"/>
        </w:rPr>
        <w:t xml:space="preserve">. </w:t>
      </w:r>
      <w:r w:rsidRPr="00E3177E">
        <w:rPr>
          <w:rFonts w:ascii="Times New Roman" w:hAnsi="Times New Roman"/>
          <w:sz w:val="28"/>
          <w:szCs w:val="28"/>
          <w:lang w:val="en-US"/>
        </w:rPr>
        <w:t>et</w:t>
      </w:r>
      <w:r w:rsidRPr="00E3177E">
        <w:rPr>
          <w:rFonts w:ascii="Times New Roman" w:hAnsi="Times New Roman"/>
          <w:sz w:val="28"/>
          <w:szCs w:val="28"/>
        </w:rPr>
        <w:t xml:space="preserve"> </w:t>
      </w:r>
      <w:r w:rsidRPr="00E3177E">
        <w:rPr>
          <w:rFonts w:ascii="Times New Roman" w:hAnsi="Times New Roman"/>
          <w:sz w:val="28"/>
          <w:szCs w:val="28"/>
          <w:lang w:val="en-US"/>
        </w:rPr>
        <w:t>al</w:t>
      </w:r>
      <w:r w:rsidRPr="00E3177E">
        <w:rPr>
          <w:rFonts w:ascii="Times New Roman" w:hAnsi="Times New Roman"/>
          <w:sz w:val="28"/>
          <w:szCs w:val="28"/>
        </w:rPr>
        <w:t>., 1986].</w:t>
      </w:r>
    </w:p>
    <w:p w14:paraId="56B5B9C3" w14:textId="77777777"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lastRenderedPageBreak/>
        <w:t>6. Применение средств, повышающих иммунобиологическую реактивность, использование препаратов для активной и пассивной иммунизации (гамма-глобулин, стафилококковый анатоксин, специфическая антитоксическая сыворотка).</w:t>
      </w:r>
    </w:p>
    <w:p w14:paraId="14A442F6" w14:textId="77777777"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7. Мероприятия, направленные на стимуляцию моторной функции кишечника, борьбу с парезом. С этой целью применяют средства, оказывающие прямое влияние на гладкую мускулатуру: 5—10% раствор натрия хлорида (10мл), 1% раствор калия хлорида (3—6 г в сутки), 20% раствор сорбитола (по 200 мл 2— 3 раза в сутки), питуитрин (1—2 мл подкожно), а также очистительные, сифонные или гипертонические клизмы. Используют также препараты, обладающие парасимпатомиметическим (прозерин в дозе 1—2 мл 0,05% раствора, убретид в дозе 1 мл 0,1% раствора) или адренолитическим (орнид по 1 мл 5% раствора 2—3 раза в сутки, пироксан по 0,3 мг/кг 2 раза в сутки) действием.</w:t>
      </w:r>
    </w:p>
    <w:p w14:paraId="7CA99807" w14:textId="77777777"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Широко применяются новокаиновые блокады, например, околопочечная блокада по А.В. Вишневскому (по 60 мл 0,25% раствора новокаина с обеих сторон), эпидуральная аналгезия тримекаином (80—100 мг). Последняя обеспечивает обезболивание и снимает парез кишечника вследствие симпатолитического действия, что позволяет рекомендовать этот метод как наиболее эффективный и перспективный.</w:t>
      </w:r>
    </w:p>
    <w:p w14:paraId="113A3B62" w14:textId="77777777"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При наличии соответствующей аппаратуры для эффективного лечения парезов кишечника может быть применена электростимуляция. Используют электроимпульсы с силой тока 6—15 мА, длительностью 5 мс и частотой 10--50 Гц. Обязательно зондирование кишечника. Другой индифферентный электрод прикрепляют на коже живота.</w:t>
      </w:r>
    </w:p>
    <w:p w14:paraId="0204D561" w14:textId="77777777"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 xml:space="preserve">Однако в клинической практике нашли более широкое применение методы чрескожной электростимуляции с помощью хорошо известных портативных аппаратов «Дельта 101», «Элиман», «Кулон», «ЧЭНС», различных типов электро-кардиостимуляторов, а также аппаратов специального назначения — гастро-энтеростимуляторов («Эндотон-1»). </w:t>
      </w:r>
      <w:r w:rsidRPr="00E3177E">
        <w:rPr>
          <w:rFonts w:ascii="Times New Roman" w:hAnsi="Times New Roman"/>
          <w:sz w:val="28"/>
          <w:szCs w:val="28"/>
        </w:rPr>
        <w:lastRenderedPageBreak/>
        <w:t xml:space="preserve">Электроды размещают паравертебрально на уровне соответствующих сегментов (Т\ </w:t>
      </w:r>
      <w:r w:rsidRPr="00E3177E">
        <w:rPr>
          <w:rFonts w:ascii="Times New Roman" w:hAnsi="Times New Roman"/>
          <w:smallCaps/>
          <w:sz w:val="28"/>
          <w:szCs w:val="28"/>
          <w:lang w:val="en-US"/>
        </w:rPr>
        <w:t>li</w:t>
      </w:r>
      <w:r w:rsidRPr="00E3177E">
        <w:rPr>
          <w:rFonts w:ascii="Times New Roman" w:hAnsi="Times New Roman"/>
          <w:smallCaps/>
          <w:sz w:val="28"/>
          <w:szCs w:val="28"/>
        </w:rPr>
        <w:t xml:space="preserve">). </w:t>
      </w:r>
      <w:r w:rsidRPr="00E3177E">
        <w:rPr>
          <w:rFonts w:ascii="Times New Roman" w:hAnsi="Times New Roman"/>
          <w:sz w:val="28"/>
          <w:szCs w:val="28"/>
        </w:rPr>
        <w:t>Длительность сеанса электростимуляции 30 мин. Ее проводят 2 раза в день, начиная со 2-го дня после операции. Наилучшие результаты отмечаются при сочетании сеансов электростимуляции с назначением церукала по 10 мг внутримышечно 2—3 раза в сутки и очистительной клизмой.</w:t>
      </w:r>
    </w:p>
    <w:p w14:paraId="0E7A9540" w14:textId="77777777"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8. Важное место в комплексной терапии занимают методы детоксикации. Кроме инфузионной терапии с включением средств, снижающих степень эндогенной интоксикации (гемодез, желатиноль, лактосол, ингибиторы протеаз, белковые препараты, антибиотики), большое значение приобретают методы экстра-корпоральной детоксикации: гемосорбция, лимфосорбция, плазмаферез, ультрафиолетовое облучение крови, гемодиализ, перитонеальный лаваж, проведение сеансов гипербарической оксигенации.</w:t>
      </w:r>
    </w:p>
    <w:p w14:paraId="0FBC75C6" w14:textId="77777777" w:rsidR="00DC4598" w:rsidRPr="00E3177E" w:rsidRDefault="00DC4598" w:rsidP="00E3177E">
      <w:pPr>
        <w:spacing w:after="0" w:line="360" w:lineRule="auto"/>
        <w:ind w:firstLine="709"/>
        <w:jc w:val="both"/>
        <w:rPr>
          <w:rFonts w:ascii="Times New Roman" w:hAnsi="Times New Roman"/>
          <w:bCs/>
          <w:sz w:val="28"/>
          <w:szCs w:val="28"/>
        </w:rPr>
      </w:pPr>
    </w:p>
    <w:p w14:paraId="4BFED5EA" w14:textId="77777777" w:rsidR="005304CB" w:rsidRPr="00E3177E" w:rsidRDefault="005304CB" w:rsidP="00E3177E">
      <w:pPr>
        <w:spacing w:after="0" w:line="360" w:lineRule="auto"/>
        <w:ind w:firstLine="709"/>
        <w:jc w:val="both"/>
        <w:rPr>
          <w:rFonts w:ascii="Times New Roman" w:hAnsi="Times New Roman"/>
          <w:bCs/>
          <w:sz w:val="28"/>
          <w:szCs w:val="28"/>
        </w:rPr>
      </w:pPr>
      <w:r w:rsidRPr="00E3177E">
        <w:rPr>
          <w:rFonts w:ascii="Times New Roman" w:hAnsi="Times New Roman"/>
          <w:bCs/>
          <w:sz w:val="28"/>
          <w:szCs w:val="28"/>
        </w:rPr>
        <w:t>Ошибки, опасности и осложнения</w:t>
      </w:r>
    </w:p>
    <w:p w14:paraId="0A615990" w14:textId="77777777" w:rsidR="005304CB" w:rsidRPr="00E3177E" w:rsidRDefault="005304CB" w:rsidP="00E3177E">
      <w:pPr>
        <w:spacing w:after="0" w:line="360" w:lineRule="auto"/>
        <w:ind w:firstLine="709"/>
        <w:jc w:val="both"/>
        <w:rPr>
          <w:rFonts w:ascii="Times New Roman" w:hAnsi="Times New Roman"/>
          <w:bCs/>
          <w:sz w:val="28"/>
          <w:szCs w:val="28"/>
        </w:rPr>
      </w:pPr>
    </w:p>
    <w:p w14:paraId="53B59DD6" w14:textId="77777777"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bCs/>
          <w:sz w:val="28"/>
          <w:szCs w:val="28"/>
        </w:rPr>
        <w:t xml:space="preserve">Ошибки, опасности и осложнения </w:t>
      </w:r>
      <w:r w:rsidRPr="00E3177E">
        <w:rPr>
          <w:rFonts w:ascii="Times New Roman" w:hAnsi="Times New Roman"/>
          <w:sz w:val="28"/>
          <w:szCs w:val="28"/>
        </w:rPr>
        <w:t xml:space="preserve">могут возникнуть на различных этапах анестезии и операции. В начальном периоде в силу специфических особенностей неотложной хирургии возможны диагностические ошибки и недооценка тяжести состояния больного. Нередко острую хирургическую патологию, напоминающую острый холецистит, острый панкреатит, прободную язву, тромбоз мезентериальных сосудов, имитирует </w:t>
      </w:r>
      <w:r w:rsidRPr="00E3177E">
        <w:rPr>
          <w:rFonts w:ascii="Times New Roman" w:hAnsi="Times New Roman"/>
          <w:bCs/>
          <w:iCs/>
          <w:sz w:val="28"/>
          <w:szCs w:val="28"/>
        </w:rPr>
        <w:t xml:space="preserve">острый инфаркт миокарда. </w:t>
      </w:r>
      <w:r w:rsidRPr="00E3177E">
        <w:rPr>
          <w:rFonts w:ascii="Times New Roman" w:hAnsi="Times New Roman"/>
          <w:sz w:val="28"/>
          <w:szCs w:val="28"/>
        </w:rPr>
        <w:t xml:space="preserve">При общей оценке исходного состояния больного анестезиолог обязан помнить о возможности инфаркта миокарда. В отличие от острой хирургической патологии при инфаркте миокарда нет при знаков раздражения брюшины, напряжения мышц живота, выраженною пареза кишечника Изменения ЭКГ, наличие аритмии, неустойчивая гемодинамика, приглушенность тонов сердца, данные лабораторных исследовании, а также консультация кардиолога помогают исключить или подтвердить инфаркт </w:t>
      </w:r>
      <w:r w:rsidRPr="00E3177E">
        <w:rPr>
          <w:rFonts w:ascii="Times New Roman" w:hAnsi="Times New Roman"/>
          <w:sz w:val="28"/>
          <w:szCs w:val="28"/>
        </w:rPr>
        <w:lastRenderedPageBreak/>
        <w:t>миокарда. Нет необходимости подчеркивать, что проведение анестезии и операции на фоне острого нарушения коронарного кровообращения связано с высокой степенью риска.</w:t>
      </w:r>
    </w:p>
    <w:p w14:paraId="7975013E" w14:textId="77777777"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 xml:space="preserve">К самым опасным и специфическим осложнениям в начальном периоде анестезии в ургентной хирургии относятся регургитация и развитие </w:t>
      </w:r>
      <w:r w:rsidRPr="00E3177E">
        <w:rPr>
          <w:rFonts w:ascii="Times New Roman" w:hAnsi="Times New Roman"/>
          <w:bCs/>
          <w:iCs/>
          <w:sz w:val="28"/>
          <w:szCs w:val="28"/>
        </w:rPr>
        <w:t>аспирационного синдрома</w:t>
      </w:r>
      <w:r w:rsidRPr="00E3177E">
        <w:rPr>
          <w:rFonts w:ascii="Times New Roman" w:hAnsi="Times New Roman"/>
          <w:sz w:val="28"/>
          <w:szCs w:val="28"/>
        </w:rPr>
        <w:t xml:space="preserve"> Выше говорилось о технике вводной анестезии и профилактике регургитации и аспирации, включающей строго определенную систему мероприятий (опорожнение желудка, придание головному концу стола возвышенного положения, проведение прекураризации, приема Селлика). Кроме того, следует подчеркнуть, что определенную роль в профилактике регургитации играет атропинизация. Атропин, включенный в премедикацию, способен повысить тонус кардиального сфинктера до 5,3 кПа (</w:t>
      </w:r>
      <w:smartTag w:uri="urn:schemas-microsoft-com:office:smarttags" w:element="metricconverter">
        <w:smartTagPr>
          <w:attr w:name="ProductID" w:val="54 см"/>
        </w:smartTagPr>
        <w:r w:rsidRPr="00E3177E">
          <w:rPr>
            <w:rFonts w:ascii="Times New Roman" w:hAnsi="Times New Roman"/>
            <w:sz w:val="28"/>
            <w:szCs w:val="28"/>
          </w:rPr>
          <w:t>54 см</w:t>
        </w:r>
      </w:smartTag>
      <w:r w:rsidRPr="00E3177E">
        <w:rPr>
          <w:rFonts w:ascii="Times New Roman" w:hAnsi="Times New Roman"/>
          <w:sz w:val="28"/>
          <w:szCs w:val="28"/>
        </w:rPr>
        <w:t xml:space="preserve"> вод. ст.), т.е. до такого уровня давления, который не достигается при введении апнойных доз деполяризующих миорелаксантов. Кроме того, атропин снижает частоту случаев повышения внутрижелудочного давления под действием дитилина [Оркин Ф.К., Куперман Л.</w:t>
      </w:r>
      <w:r w:rsidRPr="00E3177E">
        <w:rPr>
          <w:rFonts w:ascii="Times New Roman" w:hAnsi="Times New Roman"/>
          <w:sz w:val="28"/>
          <w:szCs w:val="28"/>
          <w:lang w:val="en-US"/>
        </w:rPr>
        <w:t>X</w:t>
      </w:r>
      <w:r w:rsidRPr="00E3177E">
        <w:rPr>
          <w:rFonts w:ascii="Times New Roman" w:hAnsi="Times New Roman"/>
          <w:sz w:val="28"/>
          <w:szCs w:val="28"/>
        </w:rPr>
        <w:t>., 1985]. В связи с этим роль атропиновой премедикации в ургентной хирургии остается исключительно высокой.</w:t>
      </w:r>
    </w:p>
    <w:p w14:paraId="18BD93F3" w14:textId="77777777"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 xml:space="preserve">Не менее важным практическим приемом для профилактики регургитации при вводной анестезии является метод интубации трахеи, основанный на свойстве мышечных релаксантов вызывать расслабление скелетной мускулатуры последовательно «сверху вниз». Интубацию трахеи производят сразу же после расслабления жевательной мускулатуры и мышц шеи, т е. до момента максимального повышения внутрижелудочного давления Метод требует высокой практической подготовки анестезиолога и соблюдения всех перечисленных мер профилактики регургитации. </w:t>
      </w:r>
    </w:p>
    <w:p w14:paraId="3BE17E76" w14:textId="77777777"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Вместе с тем практическому анестезиологу не следует забывать, что у ряда больных с полным желудком интубация трахеи может быть выполнена под местной анестезией.</w:t>
      </w:r>
    </w:p>
    <w:p w14:paraId="54BD3CA6" w14:textId="77777777"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lastRenderedPageBreak/>
        <w:t>При возникновении регургитации и аспирации желудочного содержимого в дыхательные пути необходимо интубировать больного, быстро произвести туалет трахеобронхиального дерева с помощью катетера с центральным срезом, направляя конец его поочередно в правый и левый главные бронхи путем смещения эндотрахеальной трубки на уровне щитовидного хряща соответственно влево и вправо. Одновременно с этим целесообразно через эндотрахеальную трубку ввести 8—10 мл 0,25% раствора новокаина или 0,5% раствора натрия гидрокарбоната с последующим отсасыванием и проведением вибрационного и перкуссионного массажа грудной клетки. При выполнении указанных мероприятии нецелесообразно проводить ИВЛ из-за опасности перемещения аспирационною содержимого в дистальном направлении. В связи с угрозой асфиксии туалет трахеобронхиального дерева должен производиться максимально быстро. После 2 3-минутной ИВЛ туалет дыхательных путей следует повторить Затем проводят диагностическую и лечебную бронхоскопию. При наличии признаков аспирационного синдрома назначают коргикостероидные препараты, бронхолитики, антигистаминные средства, оксигенотерапию, пролонгированную ИВЛ.</w:t>
      </w:r>
    </w:p>
    <w:p w14:paraId="7ACC8697" w14:textId="77777777"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Недооценка общего состояния больных с неотложной хирургической патологией, неумеренное применение наркотических препаратов, сеаативных средств и мышечных ре.таксантов в процессе анестезии бе</w:t>
      </w:r>
      <w:r w:rsidR="00A27617" w:rsidRPr="00E3177E">
        <w:rPr>
          <w:rFonts w:ascii="Times New Roman" w:hAnsi="Times New Roman"/>
          <w:sz w:val="28"/>
          <w:szCs w:val="28"/>
        </w:rPr>
        <w:t>з</w:t>
      </w:r>
      <w:r w:rsidRPr="00E3177E">
        <w:rPr>
          <w:rFonts w:ascii="Times New Roman" w:hAnsi="Times New Roman"/>
          <w:sz w:val="28"/>
          <w:szCs w:val="28"/>
        </w:rPr>
        <w:t xml:space="preserve"> учета сниженной способности организма к биогрансформации фармаколо</w:t>
      </w:r>
      <w:r w:rsidR="00A27617" w:rsidRPr="00E3177E">
        <w:rPr>
          <w:rFonts w:ascii="Times New Roman" w:hAnsi="Times New Roman"/>
          <w:sz w:val="28"/>
          <w:szCs w:val="28"/>
        </w:rPr>
        <w:t>г</w:t>
      </w:r>
      <w:r w:rsidRPr="00E3177E">
        <w:rPr>
          <w:rFonts w:ascii="Times New Roman" w:hAnsi="Times New Roman"/>
          <w:sz w:val="28"/>
          <w:szCs w:val="28"/>
        </w:rPr>
        <w:t xml:space="preserve">ических средств приводит к длительной </w:t>
      </w:r>
      <w:r w:rsidRPr="00E3177E">
        <w:rPr>
          <w:rFonts w:ascii="Times New Roman" w:hAnsi="Times New Roman"/>
          <w:bCs/>
          <w:iCs/>
          <w:sz w:val="28"/>
          <w:szCs w:val="28"/>
        </w:rPr>
        <w:t>депроссии сознания, дыхания, остаточной миорелаксации, гипоциркуляции</w:t>
      </w:r>
      <w:r w:rsidRPr="00E3177E">
        <w:rPr>
          <w:rFonts w:ascii="Times New Roman" w:hAnsi="Times New Roman"/>
          <w:sz w:val="28"/>
          <w:szCs w:val="28"/>
        </w:rPr>
        <w:t xml:space="preserve"> [</w:t>
      </w:r>
      <w:r w:rsidRPr="00E3177E">
        <w:rPr>
          <w:rFonts w:ascii="Times New Roman" w:hAnsi="Times New Roman"/>
          <w:sz w:val="28"/>
          <w:szCs w:val="28"/>
          <w:lang w:val="en-US"/>
        </w:rPr>
        <w:t>Vincent</w:t>
      </w:r>
      <w:r w:rsidRPr="00E3177E">
        <w:rPr>
          <w:rFonts w:ascii="Times New Roman" w:hAnsi="Times New Roman"/>
          <w:sz w:val="28"/>
          <w:szCs w:val="28"/>
        </w:rPr>
        <w:t xml:space="preserve"> </w:t>
      </w:r>
      <w:r w:rsidRPr="00E3177E">
        <w:rPr>
          <w:rFonts w:ascii="Times New Roman" w:hAnsi="Times New Roman"/>
          <w:sz w:val="28"/>
          <w:szCs w:val="28"/>
          <w:lang w:val="en-US"/>
        </w:rPr>
        <w:t>J</w:t>
      </w:r>
      <w:r w:rsidRPr="00E3177E">
        <w:rPr>
          <w:rFonts w:ascii="Times New Roman" w:hAnsi="Times New Roman"/>
          <w:sz w:val="28"/>
          <w:szCs w:val="28"/>
        </w:rPr>
        <w:t xml:space="preserve">. </w:t>
      </w:r>
      <w:r w:rsidRPr="00E3177E">
        <w:rPr>
          <w:rFonts w:ascii="Times New Roman" w:hAnsi="Times New Roman"/>
          <w:sz w:val="28"/>
          <w:szCs w:val="28"/>
          <w:lang w:val="en-US"/>
        </w:rPr>
        <w:t>et</w:t>
      </w:r>
      <w:r w:rsidRPr="00E3177E">
        <w:rPr>
          <w:rFonts w:ascii="Times New Roman" w:hAnsi="Times New Roman"/>
          <w:sz w:val="28"/>
          <w:szCs w:val="28"/>
        </w:rPr>
        <w:t xml:space="preserve"> </w:t>
      </w:r>
      <w:r w:rsidRPr="00E3177E">
        <w:rPr>
          <w:rFonts w:ascii="Times New Roman" w:hAnsi="Times New Roman"/>
          <w:sz w:val="28"/>
          <w:szCs w:val="28"/>
          <w:lang w:val="en-US"/>
        </w:rPr>
        <w:t>al</w:t>
      </w:r>
      <w:r w:rsidRPr="00E3177E">
        <w:rPr>
          <w:rFonts w:ascii="Times New Roman" w:hAnsi="Times New Roman"/>
          <w:sz w:val="28"/>
          <w:szCs w:val="28"/>
        </w:rPr>
        <w:t>., 1984] Преждевременная зкстубация больного или декураризация с временным эффектом при ослабленном врачебном наблюдении за больным может привести к значительным расстройствам газообмена и остановке кровообращения. Профилактика зтих осложнений состоит в проведении пролонгированной ИВЛ до полного восстановления сознания, адекватного дыхания, мышечною тонуса и нормализации показателей кровообращения.</w:t>
      </w:r>
    </w:p>
    <w:p w14:paraId="13544A57" w14:textId="77777777"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lastRenderedPageBreak/>
        <w:t>Проводя инфузионную терапию при острых хирургических заболеваниях органов брюшной полости, следует помнить, что в запущенных стадиях сохраняется опасность перегрузки сердечной деятельности, особенно при использовании кристаллоидов в самом начале лечения. Без восполнения белкового состава плазмы онкотическое давление крови быстро снижается. Появляются симптомы водной интоксикации (гипергидратация) и признаки сердечной недостаточности — повышение ЦВД и снижение артериального давления. Профилактика этого осложнения заключается в проведении сбалансированной инфузионной терапии с включением альбумина, нативной плазмы, реополиглюкина, полиглюкина в сочетании с кортикостероидами, сердечными глюкозидами, ганглиолитиками, мочегонными средствами.</w:t>
      </w:r>
    </w:p>
    <w:p w14:paraId="23B4AC45" w14:textId="77777777"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Определенная опасность в конце операции и анестезии имеет место при введении в брюшную полость антибиотиков широкого спектра, особенно канами-цина, гентамицина, которые нарушают нервно-мышечную проводимость и вызывают стойкое и длительное расстройство дыхания.</w:t>
      </w:r>
    </w:p>
    <w:p w14:paraId="6541A38A" w14:textId="77777777"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Другой реальной опасностью в конце операции и анестезии является развитие болевого шока Выше отмечалось, что ноцицептивная импульсация с висцеро-висцеральных, висцеросоматических и соматических рецепторов настолько сильна, что требует анестезиологической защиты и в ближайшем послеоперационном периоде В связи в этим окончание операции и общей анестезии не должно отождествляться с прекращением обезболивания. Игнорирование этого факта ведет к осложнениям — острому расстройству кровообращения, нарушениям дыхания, болевому шоку. Оптимальным вариантом антиноцицеп-тивной защиты при этом является пролонгированная эпидуральная аналгезия.</w:t>
      </w:r>
    </w:p>
    <w:p w14:paraId="222BC21F" w14:textId="77777777" w:rsidR="00BE0B7B" w:rsidRDefault="00BE0B7B" w:rsidP="00E3177E">
      <w:pPr>
        <w:spacing w:after="0" w:line="360" w:lineRule="auto"/>
        <w:ind w:firstLine="709"/>
        <w:jc w:val="both"/>
        <w:rPr>
          <w:rFonts w:ascii="Times New Roman" w:hAnsi="Times New Roman"/>
          <w:sz w:val="28"/>
          <w:szCs w:val="28"/>
        </w:rPr>
      </w:pPr>
    </w:p>
    <w:p w14:paraId="03C2E2B4" w14:textId="77777777" w:rsidR="00DC4598" w:rsidRPr="00E3177E" w:rsidRDefault="00BE0B7B" w:rsidP="00E3177E">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C4598" w:rsidRPr="00E3177E">
        <w:rPr>
          <w:rFonts w:ascii="Times New Roman" w:hAnsi="Times New Roman"/>
          <w:sz w:val="28"/>
          <w:szCs w:val="28"/>
        </w:rPr>
        <w:lastRenderedPageBreak/>
        <w:t>СПИСОК ЛИТЕРАТУРЫ</w:t>
      </w:r>
    </w:p>
    <w:p w14:paraId="667FB2C9" w14:textId="77777777" w:rsidR="00DC4598" w:rsidRPr="00E3177E" w:rsidRDefault="00DC4598" w:rsidP="00E3177E">
      <w:pPr>
        <w:spacing w:after="0" w:line="360" w:lineRule="auto"/>
        <w:ind w:firstLine="709"/>
        <w:jc w:val="both"/>
        <w:rPr>
          <w:rFonts w:ascii="Times New Roman" w:hAnsi="Times New Roman"/>
          <w:sz w:val="28"/>
          <w:szCs w:val="28"/>
        </w:rPr>
      </w:pPr>
    </w:p>
    <w:p w14:paraId="4BFAA6FB" w14:textId="77777777" w:rsidR="00DC4598" w:rsidRPr="00E3177E" w:rsidRDefault="00DC4598" w:rsidP="00BE0B7B">
      <w:pPr>
        <w:spacing w:after="0" w:line="360" w:lineRule="auto"/>
        <w:jc w:val="both"/>
        <w:rPr>
          <w:rFonts w:ascii="Times New Roman" w:hAnsi="Times New Roman"/>
          <w:sz w:val="28"/>
          <w:szCs w:val="28"/>
        </w:rPr>
      </w:pPr>
      <w:r w:rsidRPr="00E3177E">
        <w:rPr>
          <w:rFonts w:ascii="Times New Roman" w:hAnsi="Times New Roman"/>
          <w:iCs/>
          <w:sz w:val="28"/>
          <w:szCs w:val="28"/>
        </w:rPr>
        <w:t>Лужников Е.А.</w:t>
      </w:r>
      <w:r w:rsidRPr="00E3177E">
        <w:rPr>
          <w:rFonts w:ascii="Times New Roman" w:hAnsi="Times New Roman"/>
          <w:sz w:val="28"/>
          <w:szCs w:val="28"/>
        </w:rPr>
        <w:t xml:space="preserve">, </w:t>
      </w:r>
      <w:r w:rsidRPr="00E3177E">
        <w:rPr>
          <w:rFonts w:ascii="Times New Roman" w:hAnsi="Times New Roman"/>
          <w:iCs/>
          <w:sz w:val="28"/>
          <w:szCs w:val="28"/>
        </w:rPr>
        <w:t xml:space="preserve">Шиманко Н.И., Костомарова Л.Г. </w:t>
      </w:r>
      <w:r w:rsidRPr="00E3177E">
        <w:rPr>
          <w:rFonts w:ascii="Times New Roman" w:hAnsi="Times New Roman"/>
          <w:sz w:val="28"/>
          <w:szCs w:val="28"/>
        </w:rPr>
        <w:t xml:space="preserve">Сорбционная детоксикация в реанимационной практике // Анест. и реаниматол. 1980 № </w:t>
      </w:r>
      <w:r w:rsidRPr="00E3177E">
        <w:rPr>
          <w:rFonts w:ascii="Times New Roman" w:hAnsi="Times New Roman"/>
          <w:sz w:val="28"/>
          <w:szCs w:val="28"/>
          <w:lang w:val="en-US"/>
        </w:rPr>
        <w:t>b</w:t>
      </w:r>
      <w:r w:rsidRPr="00E3177E">
        <w:rPr>
          <w:rFonts w:ascii="Times New Roman" w:hAnsi="Times New Roman"/>
          <w:sz w:val="28"/>
          <w:szCs w:val="28"/>
        </w:rPr>
        <w:t xml:space="preserve"> С 57—61</w:t>
      </w:r>
    </w:p>
    <w:p w14:paraId="69E4BC7B" w14:textId="77777777" w:rsidR="00DC4598" w:rsidRPr="00E3177E" w:rsidRDefault="00DC4598" w:rsidP="00BE0B7B">
      <w:pPr>
        <w:spacing w:after="0" w:line="360" w:lineRule="auto"/>
        <w:jc w:val="both"/>
        <w:rPr>
          <w:rFonts w:ascii="Times New Roman" w:hAnsi="Times New Roman"/>
          <w:sz w:val="28"/>
          <w:szCs w:val="28"/>
        </w:rPr>
      </w:pPr>
      <w:r w:rsidRPr="00E3177E">
        <w:rPr>
          <w:rFonts w:ascii="Times New Roman" w:hAnsi="Times New Roman"/>
          <w:iCs/>
          <w:sz w:val="28"/>
          <w:szCs w:val="28"/>
        </w:rPr>
        <w:t xml:space="preserve">Малышев В.Д. </w:t>
      </w:r>
      <w:r w:rsidRPr="00E3177E">
        <w:rPr>
          <w:rFonts w:ascii="Times New Roman" w:hAnsi="Times New Roman"/>
          <w:sz w:val="28"/>
          <w:szCs w:val="28"/>
        </w:rPr>
        <w:t xml:space="preserve">Интенсивная терапия острых водно-электролитных нарушений М Медицина, 1985 </w:t>
      </w:r>
    </w:p>
    <w:p w14:paraId="071F9799" w14:textId="77777777" w:rsidR="00DC4598" w:rsidRPr="00E3177E" w:rsidRDefault="00DC4598" w:rsidP="00BE0B7B">
      <w:pPr>
        <w:spacing w:after="0" w:line="360" w:lineRule="auto"/>
        <w:jc w:val="both"/>
        <w:rPr>
          <w:rFonts w:ascii="Times New Roman" w:hAnsi="Times New Roman"/>
          <w:sz w:val="28"/>
          <w:szCs w:val="28"/>
        </w:rPr>
      </w:pPr>
      <w:r w:rsidRPr="00E3177E">
        <w:rPr>
          <w:rFonts w:ascii="Times New Roman" w:hAnsi="Times New Roman"/>
          <w:iCs/>
          <w:sz w:val="28"/>
          <w:szCs w:val="28"/>
        </w:rPr>
        <w:t xml:space="preserve">Осложнения </w:t>
      </w:r>
      <w:r w:rsidRPr="00E3177E">
        <w:rPr>
          <w:rFonts w:ascii="Times New Roman" w:hAnsi="Times New Roman"/>
          <w:sz w:val="28"/>
          <w:szCs w:val="28"/>
        </w:rPr>
        <w:t>при анестезии Пер. с англ. /Под ред Ф.К. Оркина и Л.А. Купермана М. -</w:t>
      </w:r>
      <w:r w:rsidR="00E3177E">
        <w:rPr>
          <w:rFonts w:ascii="Times New Roman" w:hAnsi="Times New Roman"/>
          <w:sz w:val="28"/>
          <w:szCs w:val="28"/>
        </w:rPr>
        <w:t xml:space="preserve"> </w:t>
      </w:r>
      <w:r w:rsidRPr="00E3177E">
        <w:rPr>
          <w:rFonts w:ascii="Times New Roman" w:hAnsi="Times New Roman"/>
          <w:sz w:val="28"/>
          <w:szCs w:val="28"/>
        </w:rPr>
        <w:t>Медицина, 1985 Т 2</w:t>
      </w:r>
    </w:p>
    <w:p w14:paraId="6207850C" w14:textId="77777777" w:rsidR="00DC4598" w:rsidRPr="00E3177E" w:rsidRDefault="00DC4598" w:rsidP="00BE0B7B">
      <w:pPr>
        <w:spacing w:after="0" w:line="360" w:lineRule="auto"/>
        <w:jc w:val="both"/>
        <w:rPr>
          <w:rFonts w:ascii="Times New Roman" w:hAnsi="Times New Roman"/>
          <w:sz w:val="28"/>
          <w:szCs w:val="28"/>
        </w:rPr>
      </w:pPr>
      <w:r w:rsidRPr="00E3177E">
        <w:rPr>
          <w:rFonts w:ascii="Times New Roman" w:hAnsi="Times New Roman"/>
          <w:iCs/>
          <w:sz w:val="28"/>
          <w:szCs w:val="28"/>
        </w:rPr>
        <w:t xml:space="preserve">Рчбов Г.А., Семенов В.Н., Терентьева Л.М. </w:t>
      </w:r>
      <w:r w:rsidRPr="00E3177E">
        <w:rPr>
          <w:rFonts w:ascii="Times New Roman" w:hAnsi="Times New Roman"/>
          <w:sz w:val="28"/>
          <w:szCs w:val="28"/>
        </w:rPr>
        <w:t>Экстренная анестезиология М Медицина 1981</w:t>
      </w:r>
    </w:p>
    <w:p w14:paraId="55880D9A" w14:textId="77777777" w:rsidR="00DC4598" w:rsidRPr="00E3177E" w:rsidRDefault="00DC4598" w:rsidP="00BE0B7B">
      <w:pPr>
        <w:spacing w:after="0" w:line="360" w:lineRule="auto"/>
        <w:jc w:val="both"/>
        <w:rPr>
          <w:rFonts w:ascii="Times New Roman" w:hAnsi="Times New Roman"/>
          <w:sz w:val="28"/>
          <w:szCs w:val="28"/>
        </w:rPr>
      </w:pPr>
      <w:r w:rsidRPr="00E3177E">
        <w:rPr>
          <w:rFonts w:ascii="Times New Roman" w:hAnsi="Times New Roman"/>
          <w:iCs/>
          <w:sz w:val="28"/>
          <w:szCs w:val="28"/>
        </w:rPr>
        <w:t xml:space="preserve">Савельев В.С., Абакумов М.М., Бакулева Л.П. </w:t>
      </w:r>
      <w:r w:rsidRPr="00E3177E">
        <w:rPr>
          <w:rFonts w:ascii="Times New Roman" w:hAnsi="Times New Roman"/>
          <w:sz w:val="28"/>
          <w:szCs w:val="28"/>
        </w:rPr>
        <w:t>Руководство по неотложной хирургии органов брюшной полости. – М.- Медицина, 1986.</w:t>
      </w:r>
    </w:p>
    <w:p w14:paraId="5F7EAA87" w14:textId="77777777" w:rsidR="00DC4598" w:rsidRPr="00E3177E" w:rsidRDefault="00DC4598" w:rsidP="00BE0B7B">
      <w:pPr>
        <w:shd w:val="clear" w:color="auto" w:fill="FFFFFF"/>
        <w:spacing w:after="0" w:line="360" w:lineRule="auto"/>
        <w:jc w:val="both"/>
        <w:rPr>
          <w:rFonts w:ascii="Times New Roman" w:hAnsi="Times New Roman"/>
          <w:color w:val="000000"/>
          <w:sz w:val="28"/>
          <w:szCs w:val="28"/>
        </w:rPr>
      </w:pPr>
      <w:r w:rsidRPr="00E3177E">
        <w:rPr>
          <w:rFonts w:ascii="Times New Roman" w:hAnsi="Times New Roman"/>
          <w:iCs/>
          <w:color w:val="000000"/>
          <w:sz w:val="28"/>
          <w:szCs w:val="28"/>
        </w:rPr>
        <w:t xml:space="preserve">Лужников Е.А., Шиманко Н.И., Костомарова Л.Г. </w:t>
      </w:r>
      <w:r w:rsidRPr="00E3177E">
        <w:rPr>
          <w:rFonts w:ascii="Times New Roman" w:hAnsi="Times New Roman"/>
          <w:color w:val="000000"/>
          <w:sz w:val="28"/>
          <w:szCs w:val="28"/>
        </w:rPr>
        <w:t xml:space="preserve">Сорбционная детоксикация в реанимационной практике // Анест. и реаниматол.— 1980.— № 6.— С. 57—61. </w:t>
      </w:r>
      <w:r w:rsidRPr="00E3177E">
        <w:rPr>
          <w:rFonts w:ascii="Times New Roman" w:hAnsi="Times New Roman"/>
          <w:iCs/>
          <w:color w:val="000000"/>
          <w:sz w:val="28"/>
          <w:szCs w:val="28"/>
        </w:rPr>
        <w:t>Малышев В.Д.</w:t>
      </w:r>
      <w:r w:rsidR="00E3177E">
        <w:rPr>
          <w:rFonts w:ascii="Times New Roman" w:hAnsi="Times New Roman"/>
          <w:iCs/>
          <w:color w:val="000000"/>
          <w:sz w:val="28"/>
          <w:szCs w:val="28"/>
        </w:rPr>
        <w:t xml:space="preserve"> </w:t>
      </w:r>
      <w:r w:rsidRPr="00E3177E">
        <w:rPr>
          <w:rFonts w:ascii="Times New Roman" w:hAnsi="Times New Roman"/>
          <w:color w:val="000000"/>
          <w:sz w:val="28"/>
          <w:szCs w:val="28"/>
        </w:rPr>
        <w:t xml:space="preserve">Интенсивная терапия острых водно-электролитных нарушений.— М.: Медицина, 1985. </w:t>
      </w:r>
    </w:p>
    <w:p w14:paraId="1960F83A" w14:textId="77777777" w:rsidR="00DC4598" w:rsidRPr="00E3177E" w:rsidRDefault="00DC4598" w:rsidP="00BE0B7B">
      <w:pPr>
        <w:shd w:val="clear" w:color="auto" w:fill="FFFFFF"/>
        <w:spacing w:after="0" w:line="360" w:lineRule="auto"/>
        <w:jc w:val="both"/>
        <w:rPr>
          <w:rFonts w:ascii="Times New Roman" w:hAnsi="Times New Roman"/>
          <w:sz w:val="28"/>
          <w:szCs w:val="28"/>
        </w:rPr>
      </w:pPr>
      <w:r w:rsidRPr="00E3177E">
        <w:rPr>
          <w:rFonts w:ascii="Times New Roman" w:hAnsi="Times New Roman"/>
          <w:iCs/>
          <w:color w:val="000000"/>
          <w:sz w:val="28"/>
          <w:szCs w:val="28"/>
        </w:rPr>
        <w:t xml:space="preserve">Осложнения </w:t>
      </w:r>
      <w:r w:rsidRPr="00E3177E">
        <w:rPr>
          <w:rFonts w:ascii="Times New Roman" w:hAnsi="Times New Roman"/>
          <w:color w:val="000000"/>
          <w:sz w:val="28"/>
          <w:szCs w:val="28"/>
        </w:rPr>
        <w:t xml:space="preserve">при анестезии: Пер. с англ./Под ред. Ф К. Оркина и Л. </w:t>
      </w:r>
      <w:r w:rsidRPr="00E3177E">
        <w:rPr>
          <w:rFonts w:ascii="Times New Roman" w:hAnsi="Times New Roman"/>
          <w:color w:val="000000"/>
          <w:sz w:val="28"/>
          <w:szCs w:val="28"/>
          <w:lang w:val="en-US"/>
        </w:rPr>
        <w:t>X</w:t>
      </w:r>
      <w:r w:rsidRPr="00E3177E">
        <w:rPr>
          <w:rFonts w:ascii="Times New Roman" w:hAnsi="Times New Roman"/>
          <w:color w:val="000000"/>
          <w:sz w:val="28"/>
          <w:szCs w:val="28"/>
        </w:rPr>
        <w:t>. Купермана.— М.: Медицина, 1985.— Т. 2.</w:t>
      </w:r>
    </w:p>
    <w:p w14:paraId="381F9439" w14:textId="77777777" w:rsidR="00DC4598" w:rsidRPr="00E3177E" w:rsidRDefault="00DC4598" w:rsidP="00BE0B7B">
      <w:pPr>
        <w:shd w:val="clear" w:color="auto" w:fill="FFFFFF"/>
        <w:spacing w:after="0" w:line="360" w:lineRule="auto"/>
        <w:jc w:val="both"/>
        <w:rPr>
          <w:rFonts w:ascii="Times New Roman" w:hAnsi="Times New Roman"/>
          <w:color w:val="000000"/>
          <w:sz w:val="28"/>
          <w:szCs w:val="28"/>
        </w:rPr>
      </w:pPr>
      <w:r w:rsidRPr="00E3177E">
        <w:rPr>
          <w:rFonts w:ascii="Times New Roman" w:hAnsi="Times New Roman"/>
          <w:iCs/>
          <w:color w:val="000000"/>
          <w:sz w:val="28"/>
          <w:szCs w:val="28"/>
        </w:rPr>
        <w:t xml:space="preserve">Рябов Г.А., Семенов В.Н., Терентьева Л.М. </w:t>
      </w:r>
      <w:r w:rsidRPr="00E3177E">
        <w:rPr>
          <w:rFonts w:ascii="Times New Roman" w:hAnsi="Times New Roman"/>
          <w:color w:val="000000"/>
          <w:sz w:val="28"/>
          <w:szCs w:val="28"/>
        </w:rPr>
        <w:t xml:space="preserve">Экстренная анестезиология.— М.: Медицина, 1983. </w:t>
      </w:r>
    </w:p>
    <w:p w14:paraId="2E862FAA" w14:textId="77777777" w:rsidR="00DC4598" w:rsidRPr="00E3177E" w:rsidRDefault="00DC4598" w:rsidP="00BE0B7B">
      <w:pPr>
        <w:shd w:val="clear" w:color="auto" w:fill="FFFFFF"/>
        <w:spacing w:after="0" w:line="360" w:lineRule="auto"/>
        <w:jc w:val="both"/>
        <w:rPr>
          <w:rFonts w:ascii="Times New Roman" w:hAnsi="Times New Roman"/>
          <w:sz w:val="28"/>
          <w:szCs w:val="28"/>
          <w:lang w:val="en-US"/>
        </w:rPr>
      </w:pPr>
      <w:r w:rsidRPr="00E3177E">
        <w:rPr>
          <w:rFonts w:ascii="Times New Roman" w:hAnsi="Times New Roman"/>
          <w:iCs/>
          <w:color w:val="000000"/>
          <w:sz w:val="28"/>
          <w:szCs w:val="28"/>
        </w:rPr>
        <w:t xml:space="preserve">Савельев В.С., Абакумов М.М., Бакулева Л.П. </w:t>
      </w:r>
      <w:r w:rsidRPr="00E3177E">
        <w:rPr>
          <w:rFonts w:ascii="Times New Roman" w:hAnsi="Times New Roman"/>
          <w:color w:val="000000"/>
          <w:sz w:val="28"/>
          <w:szCs w:val="28"/>
        </w:rPr>
        <w:t>Руководство по неотложной хирургии органов брюшной полости.— М</w:t>
      </w:r>
      <w:r w:rsidRPr="00E3177E">
        <w:rPr>
          <w:rFonts w:ascii="Times New Roman" w:hAnsi="Times New Roman"/>
          <w:color w:val="000000"/>
          <w:sz w:val="28"/>
          <w:szCs w:val="28"/>
          <w:lang w:val="en-US"/>
        </w:rPr>
        <w:t xml:space="preserve">.: </w:t>
      </w:r>
      <w:r w:rsidRPr="00E3177E">
        <w:rPr>
          <w:rFonts w:ascii="Times New Roman" w:hAnsi="Times New Roman"/>
          <w:color w:val="000000"/>
          <w:sz w:val="28"/>
          <w:szCs w:val="28"/>
        </w:rPr>
        <w:t>Медицина</w:t>
      </w:r>
      <w:r w:rsidRPr="00E3177E">
        <w:rPr>
          <w:rFonts w:ascii="Times New Roman" w:hAnsi="Times New Roman"/>
          <w:color w:val="000000"/>
          <w:sz w:val="28"/>
          <w:szCs w:val="28"/>
          <w:lang w:val="en-US"/>
        </w:rPr>
        <w:t>, 1986.</w:t>
      </w:r>
    </w:p>
    <w:p w14:paraId="6CDF683E" w14:textId="77777777" w:rsidR="00DC4598" w:rsidRPr="00E3177E" w:rsidRDefault="00DC4598" w:rsidP="00BE0B7B">
      <w:pPr>
        <w:shd w:val="clear" w:color="auto" w:fill="FFFFFF"/>
        <w:spacing w:after="0" w:line="360" w:lineRule="auto"/>
        <w:jc w:val="both"/>
        <w:rPr>
          <w:rFonts w:ascii="Times New Roman" w:hAnsi="Times New Roman"/>
          <w:color w:val="000000"/>
          <w:sz w:val="28"/>
          <w:szCs w:val="28"/>
          <w:lang w:val="en-US"/>
        </w:rPr>
      </w:pPr>
      <w:r w:rsidRPr="00E3177E">
        <w:rPr>
          <w:rFonts w:ascii="Times New Roman" w:hAnsi="Times New Roman"/>
          <w:iCs/>
          <w:color w:val="000000"/>
          <w:sz w:val="28"/>
          <w:szCs w:val="28"/>
          <w:lang w:val="en-US"/>
        </w:rPr>
        <w:t xml:space="preserve">Andrews </w:t>
      </w:r>
      <w:r w:rsidRPr="00E3177E">
        <w:rPr>
          <w:rFonts w:ascii="Times New Roman" w:hAnsi="Times New Roman"/>
          <w:iCs/>
          <w:color w:val="000000"/>
          <w:sz w:val="28"/>
          <w:szCs w:val="28"/>
        </w:rPr>
        <w:t>Т</w:t>
      </w:r>
      <w:r w:rsidRPr="00E3177E">
        <w:rPr>
          <w:rFonts w:ascii="Times New Roman" w:hAnsi="Times New Roman"/>
          <w:iCs/>
          <w:color w:val="000000"/>
          <w:sz w:val="28"/>
          <w:szCs w:val="28"/>
          <w:lang w:val="en-US"/>
        </w:rPr>
        <w:t xml:space="preserve">. </w:t>
      </w:r>
      <w:r w:rsidRPr="00E3177E">
        <w:rPr>
          <w:rFonts w:ascii="Times New Roman" w:hAnsi="Times New Roman"/>
          <w:iCs/>
          <w:color w:val="000000"/>
          <w:sz w:val="28"/>
          <w:szCs w:val="28"/>
        </w:rPr>
        <w:t>С</w:t>
      </w:r>
      <w:r w:rsidRPr="00E3177E">
        <w:rPr>
          <w:rFonts w:ascii="Times New Roman" w:hAnsi="Times New Roman"/>
          <w:iCs/>
          <w:color w:val="000000"/>
          <w:sz w:val="28"/>
          <w:szCs w:val="28"/>
          <w:lang w:val="en-US"/>
        </w:rPr>
        <w:t xml:space="preserve">. </w:t>
      </w:r>
      <w:r w:rsidRPr="00E3177E">
        <w:rPr>
          <w:rFonts w:ascii="Times New Roman" w:hAnsi="Times New Roman"/>
          <w:color w:val="000000"/>
          <w:sz w:val="28"/>
          <w:szCs w:val="28"/>
          <w:lang w:val="en-US"/>
        </w:rPr>
        <w:t xml:space="preserve">Management of postoperative pain // Int. Anesth. Clm — 1983.— Vol. 21, N 1.— P. 31 —43. </w:t>
      </w:r>
    </w:p>
    <w:p w14:paraId="51AF0A68" w14:textId="77777777" w:rsidR="00DC4598" w:rsidRPr="00E3177E" w:rsidRDefault="00DC4598" w:rsidP="00BE0B7B">
      <w:pPr>
        <w:shd w:val="clear" w:color="auto" w:fill="FFFFFF"/>
        <w:spacing w:after="0" w:line="360" w:lineRule="auto"/>
        <w:jc w:val="both"/>
        <w:rPr>
          <w:rFonts w:ascii="Times New Roman" w:hAnsi="Times New Roman"/>
          <w:color w:val="000000"/>
          <w:sz w:val="28"/>
          <w:szCs w:val="28"/>
          <w:lang w:val="en-US"/>
        </w:rPr>
      </w:pPr>
      <w:r w:rsidRPr="00E3177E">
        <w:rPr>
          <w:rFonts w:ascii="Times New Roman" w:hAnsi="Times New Roman"/>
          <w:iCs/>
          <w:color w:val="000000"/>
          <w:sz w:val="28"/>
          <w:szCs w:val="28"/>
          <w:lang w:val="en-US"/>
        </w:rPr>
        <w:t xml:space="preserve">Chambers W.A., Sinclair C. J., Scott D. </w:t>
      </w:r>
      <w:r w:rsidRPr="00E3177E">
        <w:rPr>
          <w:rFonts w:ascii="Times New Roman" w:hAnsi="Times New Roman"/>
          <w:iCs/>
          <w:color w:val="000000"/>
          <w:sz w:val="28"/>
          <w:szCs w:val="28"/>
        </w:rPr>
        <w:t>В</w:t>
      </w:r>
      <w:r w:rsidR="00E3177E">
        <w:rPr>
          <w:rFonts w:ascii="Times New Roman" w:hAnsi="Times New Roman"/>
          <w:iCs/>
          <w:color w:val="000000"/>
          <w:sz w:val="28"/>
          <w:szCs w:val="28"/>
          <w:lang w:val="en-US"/>
        </w:rPr>
        <w:t xml:space="preserve"> </w:t>
      </w:r>
      <w:r w:rsidRPr="00E3177E">
        <w:rPr>
          <w:rFonts w:ascii="Times New Roman" w:hAnsi="Times New Roman"/>
          <w:color w:val="000000"/>
          <w:sz w:val="28"/>
          <w:szCs w:val="28"/>
          <w:lang w:val="en-US"/>
        </w:rPr>
        <w:t>Exstradural morphine for pain alter surgery // Brit</w:t>
      </w:r>
      <w:r w:rsidR="00E3177E">
        <w:rPr>
          <w:rFonts w:ascii="Times New Roman" w:hAnsi="Times New Roman"/>
          <w:color w:val="000000"/>
          <w:sz w:val="28"/>
          <w:szCs w:val="28"/>
          <w:lang w:val="en-US"/>
        </w:rPr>
        <w:t xml:space="preserve"> </w:t>
      </w:r>
      <w:r w:rsidRPr="00E3177E">
        <w:rPr>
          <w:rFonts w:ascii="Times New Roman" w:hAnsi="Times New Roman"/>
          <w:color w:val="000000"/>
          <w:sz w:val="28"/>
          <w:szCs w:val="28"/>
          <w:lang w:val="en-US"/>
        </w:rPr>
        <w:t xml:space="preserve">J. Anaesth.— 1981.— Vol. 53, N 9.— P. 921—925. </w:t>
      </w:r>
    </w:p>
    <w:p w14:paraId="432F2999" w14:textId="77777777" w:rsidR="00DC4598" w:rsidRPr="00E3177E" w:rsidRDefault="00DC4598" w:rsidP="00BE0B7B">
      <w:pPr>
        <w:shd w:val="clear" w:color="auto" w:fill="FFFFFF"/>
        <w:spacing w:after="0" w:line="360" w:lineRule="auto"/>
        <w:jc w:val="both"/>
        <w:rPr>
          <w:rFonts w:ascii="Times New Roman" w:hAnsi="Times New Roman"/>
          <w:color w:val="000000"/>
          <w:sz w:val="28"/>
          <w:szCs w:val="28"/>
          <w:lang w:val="en-US"/>
        </w:rPr>
      </w:pPr>
      <w:r w:rsidRPr="00E3177E">
        <w:rPr>
          <w:rFonts w:ascii="Times New Roman" w:hAnsi="Times New Roman"/>
          <w:iCs/>
          <w:color w:val="000000"/>
          <w:sz w:val="28"/>
          <w:szCs w:val="28"/>
          <w:lang w:val="en-US"/>
        </w:rPr>
        <w:t>Cuilleret J</w:t>
      </w:r>
      <w:r w:rsidR="00E3177E">
        <w:rPr>
          <w:rFonts w:ascii="Times New Roman" w:hAnsi="Times New Roman"/>
          <w:iCs/>
          <w:color w:val="000000"/>
          <w:sz w:val="28"/>
          <w:szCs w:val="28"/>
          <w:lang w:val="en-US"/>
        </w:rPr>
        <w:t xml:space="preserve"> </w:t>
      </w:r>
      <w:r w:rsidRPr="00E3177E">
        <w:rPr>
          <w:rFonts w:ascii="Times New Roman" w:hAnsi="Times New Roman"/>
          <w:color w:val="000000"/>
          <w:sz w:val="28"/>
          <w:szCs w:val="28"/>
          <w:lang w:val="en-US"/>
        </w:rPr>
        <w:t>Opinion sur la reanimation des pancreatites aigues necrosantes // Med</w:t>
      </w:r>
      <w:r w:rsidR="00E3177E">
        <w:rPr>
          <w:rFonts w:ascii="Times New Roman" w:hAnsi="Times New Roman"/>
          <w:color w:val="000000"/>
          <w:sz w:val="28"/>
          <w:szCs w:val="28"/>
          <w:lang w:val="en-US"/>
        </w:rPr>
        <w:t xml:space="preserve"> </w:t>
      </w:r>
      <w:r w:rsidRPr="00E3177E">
        <w:rPr>
          <w:rFonts w:ascii="Times New Roman" w:hAnsi="Times New Roman"/>
          <w:color w:val="000000"/>
          <w:sz w:val="28"/>
          <w:szCs w:val="28"/>
          <w:lang w:val="en-US"/>
        </w:rPr>
        <w:t>Chir</w:t>
      </w:r>
      <w:r w:rsidR="00E3177E">
        <w:rPr>
          <w:rFonts w:ascii="Times New Roman" w:hAnsi="Times New Roman"/>
          <w:color w:val="000000"/>
          <w:sz w:val="28"/>
          <w:szCs w:val="28"/>
          <w:lang w:val="en-US"/>
        </w:rPr>
        <w:t xml:space="preserve"> </w:t>
      </w:r>
      <w:r w:rsidRPr="00E3177E">
        <w:rPr>
          <w:rFonts w:ascii="Times New Roman" w:hAnsi="Times New Roman"/>
          <w:color w:val="000000"/>
          <w:sz w:val="28"/>
          <w:szCs w:val="28"/>
          <w:lang w:val="en-US"/>
        </w:rPr>
        <w:t xml:space="preserve">Digest — 1985.— Vol. 14, N 6.— P. 465—468. </w:t>
      </w:r>
    </w:p>
    <w:p w14:paraId="035BA90E" w14:textId="77777777" w:rsidR="00DC4598" w:rsidRPr="00E3177E" w:rsidRDefault="00DC4598" w:rsidP="00BE0B7B">
      <w:pPr>
        <w:shd w:val="clear" w:color="auto" w:fill="FFFFFF"/>
        <w:spacing w:after="0" w:line="360" w:lineRule="auto"/>
        <w:jc w:val="both"/>
        <w:rPr>
          <w:rFonts w:ascii="Times New Roman" w:hAnsi="Times New Roman"/>
          <w:color w:val="000000"/>
          <w:sz w:val="28"/>
          <w:szCs w:val="28"/>
          <w:lang w:val="en-US"/>
        </w:rPr>
      </w:pPr>
      <w:r w:rsidRPr="00E3177E">
        <w:rPr>
          <w:rFonts w:ascii="Times New Roman" w:hAnsi="Times New Roman"/>
          <w:iCs/>
          <w:color w:val="000000"/>
          <w:sz w:val="28"/>
          <w:szCs w:val="28"/>
          <w:lang w:val="en-US"/>
        </w:rPr>
        <w:t>Gui D , Sganga G , Ronconi P</w:t>
      </w:r>
      <w:r w:rsidR="00E3177E">
        <w:rPr>
          <w:rFonts w:ascii="Times New Roman" w:hAnsi="Times New Roman"/>
          <w:iCs/>
          <w:color w:val="000000"/>
          <w:sz w:val="28"/>
          <w:szCs w:val="28"/>
          <w:lang w:val="en-US"/>
        </w:rPr>
        <w:t xml:space="preserve"> </w:t>
      </w:r>
      <w:r w:rsidRPr="00E3177E">
        <w:rPr>
          <w:rFonts w:ascii="Times New Roman" w:hAnsi="Times New Roman"/>
          <w:color w:val="000000"/>
          <w:sz w:val="28"/>
          <w:szCs w:val="28"/>
          <w:lang w:val="en-US"/>
        </w:rPr>
        <w:t xml:space="preserve">Peritoniti e terapia antibiotica // Minerva Chir — 1986, Vol. 41, N 17/18.— P. 1455—1459. </w:t>
      </w:r>
    </w:p>
    <w:p w14:paraId="6E7122B9" w14:textId="77777777" w:rsidR="00DC4598" w:rsidRPr="00E3177E" w:rsidRDefault="00DC4598" w:rsidP="00BE0B7B">
      <w:pPr>
        <w:shd w:val="clear" w:color="auto" w:fill="FFFFFF"/>
        <w:spacing w:after="0" w:line="360" w:lineRule="auto"/>
        <w:jc w:val="both"/>
        <w:rPr>
          <w:rFonts w:ascii="Times New Roman" w:hAnsi="Times New Roman"/>
          <w:sz w:val="28"/>
          <w:szCs w:val="28"/>
          <w:lang w:val="en-US"/>
        </w:rPr>
      </w:pPr>
      <w:r w:rsidRPr="00E3177E">
        <w:rPr>
          <w:rFonts w:ascii="Times New Roman" w:hAnsi="Times New Roman"/>
          <w:iCs/>
          <w:color w:val="000000"/>
          <w:sz w:val="28"/>
          <w:szCs w:val="28"/>
          <w:lang w:val="en-US"/>
        </w:rPr>
        <w:lastRenderedPageBreak/>
        <w:t xml:space="preserve">Lasson A , Balldin G., Genell S., Ohlsson K. </w:t>
      </w:r>
      <w:r w:rsidRPr="00E3177E">
        <w:rPr>
          <w:rFonts w:ascii="Times New Roman" w:hAnsi="Times New Roman"/>
          <w:color w:val="000000"/>
          <w:sz w:val="28"/>
          <w:szCs w:val="28"/>
          <w:lang w:val="en-US"/>
        </w:rPr>
        <w:t>Peritoneal lavage in severe acute pancreatitis // Acta. chir. scand — 1984.— Vol. 150, N 6.— P. 479—484.</w:t>
      </w:r>
    </w:p>
    <w:p w14:paraId="054E0C98" w14:textId="77777777" w:rsidR="00DC4598" w:rsidRPr="00E3177E" w:rsidRDefault="00DC4598" w:rsidP="00BE0B7B">
      <w:pPr>
        <w:shd w:val="clear" w:color="auto" w:fill="FFFFFF"/>
        <w:spacing w:after="0" w:line="360" w:lineRule="auto"/>
        <w:jc w:val="both"/>
        <w:rPr>
          <w:rFonts w:ascii="Times New Roman" w:hAnsi="Times New Roman"/>
          <w:color w:val="000000"/>
          <w:sz w:val="28"/>
          <w:szCs w:val="28"/>
          <w:lang w:val="en-US"/>
        </w:rPr>
      </w:pPr>
      <w:r w:rsidRPr="00E3177E">
        <w:rPr>
          <w:rFonts w:ascii="Times New Roman" w:hAnsi="Times New Roman"/>
          <w:iCs/>
          <w:color w:val="000000"/>
          <w:sz w:val="28"/>
          <w:szCs w:val="28"/>
          <w:lang w:val="en-US"/>
        </w:rPr>
        <w:t xml:space="preserve">Mayrhofer O., Mauritz W., Sparn P. </w:t>
      </w:r>
      <w:r w:rsidRPr="00E3177E">
        <w:rPr>
          <w:rFonts w:ascii="Times New Roman" w:hAnsi="Times New Roman"/>
          <w:color w:val="000000"/>
          <w:sz w:val="28"/>
          <w:szCs w:val="28"/>
          <w:lang w:val="en-US"/>
        </w:rPr>
        <w:t>Intensiv therapeutische Erfahrungen beim akut-septischen Abdomen // Anaesth</w:t>
      </w:r>
      <w:r w:rsidR="00E3177E">
        <w:rPr>
          <w:rFonts w:ascii="Times New Roman" w:hAnsi="Times New Roman"/>
          <w:color w:val="000000"/>
          <w:sz w:val="28"/>
          <w:szCs w:val="28"/>
          <w:lang w:val="en-US"/>
        </w:rPr>
        <w:t xml:space="preserve"> </w:t>
      </w:r>
      <w:r w:rsidRPr="00E3177E">
        <w:rPr>
          <w:rFonts w:ascii="Times New Roman" w:hAnsi="Times New Roman"/>
          <w:color w:val="000000"/>
          <w:sz w:val="28"/>
          <w:szCs w:val="28"/>
          <w:lang w:val="en-US"/>
        </w:rPr>
        <w:t xml:space="preserve">Reamm.— 1985.—Vol. 10, N 1.— P. 29—40. </w:t>
      </w:r>
    </w:p>
    <w:p w14:paraId="1E45E096" w14:textId="77777777" w:rsidR="00DC4598" w:rsidRPr="00E3177E" w:rsidRDefault="00DC4598" w:rsidP="00BE0B7B">
      <w:pPr>
        <w:shd w:val="clear" w:color="auto" w:fill="FFFFFF"/>
        <w:spacing w:after="0" w:line="360" w:lineRule="auto"/>
        <w:jc w:val="both"/>
        <w:rPr>
          <w:rFonts w:ascii="Times New Roman" w:hAnsi="Times New Roman"/>
          <w:color w:val="000000"/>
          <w:sz w:val="28"/>
          <w:szCs w:val="28"/>
        </w:rPr>
      </w:pPr>
      <w:r w:rsidRPr="00E3177E">
        <w:rPr>
          <w:rFonts w:ascii="Times New Roman" w:hAnsi="Times New Roman"/>
          <w:iCs/>
          <w:color w:val="000000"/>
          <w:sz w:val="28"/>
          <w:szCs w:val="28"/>
          <w:lang w:val="en-US"/>
        </w:rPr>
        <w:t xml:space="preserve">Vincent J.L., Berre J., Delpierre G., Kanh R. J. </w:t>
      </w:r>
      <w:r w:rsidRPr="00E3177E">
        <w:rPr>
          <w:rFonts w:ascii="Times New Roman" w:hAnsi="Times New Roman"/>
          <w:color w:val="000000"/>
          <w:sz w:val="28"/>
          <w:szCs w:val="28"/>
          <w:lang w:val="en-US"/>
        </w:rPr>
        <w:t>Acute respiratory failure after abdominal surgery // Anaesth. Reanim</w:t>
      </w:r>
      <w:r w:rsidRPr="00E3177E">
        <w:rPr>
          <w:rFonts w:ascii="Times New Roman" w:hAnsi="Times New Roman"/>
          <w:color w:val="000000"/>
          <w:sz w:val="28"/>
          <w:szCs w:val="28"/>
        </w:rPr>
        <w:t xml:space="preserve">.— 1984.— </w:t>
      </w:r>
      <w:r w:rsidRPr="00E3177E">
        <w:rPr>
          <w:rFonts w:ascii="Times New Roman" w:hAnsi="Times New Roman"/>
          <w:color w:val="000000"/>
          <w:sz w:val="28"/>
          <w:szCs w:val="28"/>
          <w:lang w:val="en-US"/>
        </w:rPr>
        <w:t>Vol</w:t>
      </w:r>
      <w:r w:rsidRPr="00E3177E">
        <w:rPr>
          <w:rFonts w:ascii="Times New Roman" w:hAnsi="Times New Roman"/>
          <w:color w:val="000000"/>
          <w:sz w:val="28"/>
          <w:szCs w:val="28"/>
        </w:rPr>
        <w:t xml:space="preserve">. 94.— </w:t>
      </w:r>
      <w:r w:rsidRPr="00E3177E">
        <w:rPr>
          <w:rFonts w:ascii="Times New Roman" w:hAnsi="Times New Roman"/>
          <w:color w:val="000000"/>
          <w:sz w:val="28"/>
          <w:szCs w:val="28"/>
          <w:lang w:val="en-US"/>
        </w:rPr>
        <w:t>P</w:t>
      </w:r>
      <w:r w:rsidRPr="00E3177E">
        <w:rPr>
          <w:rFonts w:ascii="Times New Roman" w:hAnsi="Times New Roman"/>
          <w:color w:val="000000"/>
          <w:sz w:val="28"/>
          <w:szCs w:val="28"/>
        </w:rPr>
        <w:t>. 203—206</w:t>
      </w:r>
    </w:p>
    <w:p w14:paraId="79C5AB43" w14:textId="77777777" w:rsidR="00056996" w:rsidRPr="00E3177E" w:rsidRDefault="00056996" w:rsidP="00BE0B7B">
      <w:pPr>
        <w:spacing w:after="0" w:line="360" w:lineRule="auto"/>
        <w:jc w:val="both"/>
        <w:rPr>
          <w:rFonts w:ascii="Times New Roman" w:hAnsi="Times New Roman"/>
          <w:sz w:val="28"/>
        </w:rPr>
      </w:pPr>
    </w:p>
    <w:sectPr w:rsidR="00056996" w:rsidRPr="00E3177E" w:rsidSect="00E3177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F7251"/>
    <w:multiLevelType w:val="hybridMultilevel"/>
    <w:tmpl w:val="640A4F64"/>
    <w:lvl w:ilvl="0" w:tplc="2A7050FE">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357"/>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A22"/>
    <w:rsid w:val="0002760F"/>
    <w:rsid w:val="00056996"/>
    <w:rsid w:val="002C7A22"/>
    <w:rsid w:val="00524F81"/>
    <w:rsid w:val="005304CB"/>
    <w:rsid w:val="009F06D9"/>
    <w:rsid w:val="00A27617"/>
    <w:rsid w:val="00BE0B7B"/>
    <w:rsid w:val="00DC4598"/>
    <w:rsid w:val="00E31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D54D7EA"/>
  <w14:defaultImageDpi w14:val="0"/>
  <w15:docId w15:val="{485BDEED-F34E-44E3-9866-D9925924A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DC4598"/>
    <w:pPr>
      <w:widowControl w:val="0"/>
      <w:autoSpaceDE w:val="0"/>
      <w:autoSpaceDN w:val="0"/>
      <w:adjustRightInd w:val="0"/>
      <w:spacing w:after="0" w:line="240" w:lineRule="auto"/>
      <w:ind w:firstLine="720"/>
      <w:jc w:val="both"/>
    </w:pPr>
    <w:rPr>
      <w:rFonts w:ascii="Times New Roman" w:hAnsi="Times New Roman"/>
      <w:sz w:val="28"/>
      <w:szCs w:val="21"/>
    </w:rPr>
  </w:style>
  <w:style w:type="character" w:customStyle="1" w:styleId="a4">
    <w:name w:val="Основной текст с отступом Знак"/>
    <w:basedOn w:val="a0"/>
    <w:link w:val="a3"/>
    <w:uiPriority w:val="99"/>
    <w:semiHidden/>
    <w:locked/>
    <w:rsid w:val="00DC4598"/>
    <w:rPr>
      <w:rFonts w:ascii="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3045</Words>
  <Characters>17361</Characters>
  <Application>Microsoft Office Word</Application>
  <DocSecurity>0</DocSecurity>
  <Lines>144</Lines>
  <Paragraphs>40</Paragraphs>
  <ScaleCrop>false</ScaleCrop>
  <Company>ATHLON</Company>
  <LinksUpToDate>false</LinksUpToDate>
  <CharactersWithSpaces>20366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AMD</dc:creator>
  <cp:keywords/>
  <dc:description/>
  <cp:lastModifiedBy>Igor</cp:lastModifiedBy>
  <cp:revision>3</cp:revision>
  <dcterms:created xsi:type="dcterms:W3CDTF">2025-03-29T21:34:00Z</dcterms:created>
  <dcterms:modified xsi:type="dcterms:W3CDTF">2025-03-29T21:34:00Z</dcterms:modified>
</cp:coreProperties>
</file>