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6FF8" w14:textId="77777777" w:rsidR="005C1A6B" w:rsidRPr="00B0086F" w:rsidRDefault="005C1A6B" w:rsidP="00B008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Министерство образования Российской Федерации</w:t>
      </w:r>
    </w:p>
    <w:p w14:paraId="279128A1" w14:textId="77777777" w:rsidR="005C1A6B" w:rsidRPr="00B0086F" w:rsidRDefault="005C1A6B" w:rsidP="00B008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Пензенский Государственный Университет</w:t>
      </w:r>
    </w:p>
    <w:p w14:paraId="06D0706C" w14:textId="77777777" w:rsidR="005C1A6B" w:rsidRPr="00B0086F" w:rsidRDefault="005C1A6B" w:rsidP="00B008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Медицинский Институт</w:t>
      </w:r>
    </w:p>
    <w:p w14:paraId="0575A11A" w14:textId="77777777" w:rsidR="005C1A6B" w:rsidRPr="00B0086F" w:rsidRDefault="005C1A6B" w:rsidP="00B008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CB208F6" w14:textId="77777777" w:rsidR="005C1A6B" w:rsidRPr="00B0086F" w:rsidRDefault="005C1A6B" w:rsidP="00B0086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Кафедра Хирургии</w:t>
      </w:r>
    </w:p>
    <w:p w14:paraId="250E86C8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39557016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1DB9D622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7D589D88" w14:textId="77777777" w:rsidR="005C1A6B" w:rsidRPr="00B0086F" w:rsidRDefault="005C1A6B" w:rsidP="00B0086F">
      <w:pPr>
        <w:spacing w:line="360" w:lineRule="auto"/>
        <w:ind w:firstLine="6804"/>
        <w:jc w:val="both"/>
        <w:outlineLvl w:val="0"/>
        <w:rPr>
          <w:sz w:val="28"/>
          <w:szCs w:val="28"/>
        </w:rPr>
      </w:pPr>
      <w:r w:rsidRPr="00B0086F">
        <w:rPr>
          <w:sz w:val="28"/>
          <w:szCs w:val="28"/>
        </w:rPr>
        <w:t>Зав. кафедрой д.м.н.</w:t>
      </w:r>
    </w:p>
    <w:p w14:paraId="4BA059AD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619D11A5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61BAD1F0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5714CCB6" w14:textId="77777777" w:rsidR="005C1A6B" w:rsidRPr="00B0086F" w:rsidRDefault="005C1A6B" w:rsidP="00B0086F">
      <w:pPr>
        <w:spacing w:line="360" w:lineRule="auto"/>
        <w:ind w:firstLine="709"/>
        <w:jc w:val="center"/>
        <w:rPr>
          <w:sz w:val="28"/>
          <w:szCs w:val="28"/>
        </w:rPr>
      </w:pPr>
      <w:r w:rsidRPr="00B0086F">
        <w:rPr>
          <w:sz w:val="28"/>
          <w:szCs w:val="28"/>
        </w:rPr>
        <w:t>Реферат</w:t>
      </w:r>
    </w:p>
    <w:p w14:paraId="53FE4ADE" w14:textId="77777777" w:rsidR="005C1A6B" w:rsidRPr="00B0086F" w:rsidRDefault="005C1A6B" w:rsidP="00B0086F">
      <w:pPr>
        <w:spacing w:line="360" w:lineRule="auto"/>
        <w:ind w:firstLine="709"/>
        <w:jc w:val="center"/>
        <w:rPr>
          <w:sz w:val="28"/>
          <w:szCs w:val="28"/>
        </w:rPr>
      </w:pPr>
      <w:r w:rsidRPr="00B0086F">
        <w:rPr>
          <w:sz w:val="28"/>
          <w:szCs w:val="28"/>
        </w:rPr>
        <w:t>на тему:</w:t>
      </w:r>
    </w:p>
    <w:p w14:paraId="5D8AFDF0" w14:textId="77777777" w:rsidR="005C1A6B" w:rsidRPr="00B0086F" w:rsidRDefault="00D075FF" w:rsidP="00B0086F">
      <w:pPr>
        <w:pStyle w:val="1"/>
        <w:spacing w:before="0" w:line="360" w:lineRule="auto"/>
        <w:ind w:firstLine="709"/>
        <w:rPr>
          <w:color w:val="auto"/>
          <w:spacing w:val="0"/>
          <w:sz w:val="28"/>
          <w:szCs w:val="28"/>
        </w:rPr>
      </w:pPr>
      <w:r w:rsidRPr="00B0086F">
        <w:rPr>
          <w:color w:val="auto"/>
          <w:spacing w:val="0"/>
          <w:sz w:val="28"/>
          <w:szCs w:val="28"/>
        </w:rPr>
        <w:t>«Анестезия у пожилых</w:t>
      </w:r>
      <w:r w:rsidR="005C1A6B" w:rsidRPr="00B0086F">
        <w:rPr>
          <w:color w:val="auto"/>
          <w:spacing w:val="0"/>
          <w:sz w:val="28"/>
          <w:szCs w:val="28"/>
        </w:rPr>
        <w:t>»</w:t>
      </w:r>
    </w:p>
    <w:p w14:paraId="383CD17B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103D27BD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152A3F27" w14:textId="77777777" w:rsidR="00B0086F" w:rsidRDefault="00B0086F" w:rsidP="00B008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0C56535" w14:textId="77777777" w:rsidR="00B0086F" w:rsidRPr="00B0086F" w:rsidRDefault="005C1A6B" w:rsidP="00B0086F">
      <w:pPr>
        <w:spacing w:line="360" w:lineRule="auto"/>
        <w:ind w:firstLine="6804"/>
        <w:jc w:val="both"/>
        <w:rPr>
          <w:sz w:val="28"/>
          <w:szCs w:val="28"/>
          <w:lang w:val="en-US"/>
        </w:rPr>
      </w:pPr>
      <w:r w:rsidRPr="00B0086F">
        <w:rPr>
          <w:sz w:val="28"/>
          <w:szCs w:val="28"/>
        </w:rPr>
        <w:t xml:space="preserve">Выполнила: </w:t>
      </w:r>
    </w:p>
    <w:p w14:paraId="7FC851E8" w14:textId="77777777" w:rsidR="005C1A6B" w:rsidRPr="00B0086F" w:rsidRDefault="005C1A6B" w:rsidP="00B0086F">
      <w:pPr>
        <w:spacing w:line="360" w:lineRule="auto"/>
        <w:ind w:firstLine="6804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студентка V курса</w:t>
      </w:r>
    </w:p>
    <w:p w14:paraId="42FB1F34" w14:textId="77777777" w:rsidR="00B0086F" w:rsidRPr="00B0086F" w:rsidRDefault="00B0086F" w:rsidP="00B0086F">
      <w:pPr>
        <w:spacing w:line="360" w:lineRule="auto"/>
        <w:ind w:firstLine="6804"/>
        <w:jc w:val="both"/>
        <w:rPr>
          <w:sz w:val="28"/>
          <w:szCs w:val="28"/>
          <w:lang w:val="en-US"/>
        </w:rPr>
      </w:pPr>
    </w:p>
    <w:p w14:paraId="36E8D35A" w14:textId="77777777" w:rsidR="00B0086F" w:rsidRPr="00B0086F" w:rsidRDefault="005C1A6B" w:rsidP="00B0086F">
      <w:pPr>
        <w:spacing w:line="360" w:lineRule="auto"/>
        <w:ind w:firstLine="6804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Проверил:</w:t>
      </w:r>
    </w:p>
    <w:p w14:paraId="1D00E5C9" w14:textId="77777777" w:rsidR="005C1A6B" w:rsidRPr="00B0086F" w:rsidRDefault="005C1A6B" w:rsidP="00B0086F">
      <w:pPr>
        <w:spacing w:line="360" w:lineRule="auto"/>
        <w:ind w:firstLine="6804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к.м.н., доцент</w:t>
      </w:r>
    </w:p>
    <w:p w14:paraId="467C0B70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1FCFA31A" w14:textId="77777777"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14:paraId="7BB0E6FF" w14:textId="77777777" w:rsidR="00B0086F" w:rsidRDefault="00B0086F" w:rsidP="00B0086F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4C9ABA93" w14:textId="77777777" w:rsidR="00B0086F" w:rsidRDefault="00B0086F" w:rsidP="00B0086F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66F46FA5" w14:textId="77777777" w:rsidR="00B0086F" w:rsidRDefault="00B0086F" w:rsidP="00B0086F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4A6BE967" w14:textId="77777777" w:rsidR="005C1A6B" w:rsidRPr="00B0086F" w:rsidRDefault="005C1A6B" w:rsidP="00B0086F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Пенза</w:t>
      </w:r>
    </w:p>
    <w:p w14:paraId="28E5F3CE" w14:textId="77777777" w:rsidR="005C1A6B" w:rsidRPr="00B0086F" w:rsidRDefault="00D075FF" w:rsidP="00B0086F">
      <w:pPr>
        <w:pStyle w:val="a6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0086F">
        <w:rPr>
          <w:b/>
          <w:sz w:val="28"/>
          <w:szCs w:val="28"/>
        </w:rPr>
        <w:t>2009</w:t>
      </w:r>
    </w:p>
    <w:p w14:paraId="18C6E215" w14:textId="77777777" w:rsidR="005C1A6B" w:rsidRPr="00B0086F" w:rsidRDefault="00B0086F" w:rsidP="00B0086F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  <w:lang w:val="en-US"/>
        </w:rPr>
        <w:br w:type="page"/>
      </w:r>
      <w:r w:rsidR="005C1A6B" w:rsidRPr="00B0086F">
        <w:rPr>
          <w:b/>
          <w:sz w:val="28"/>
          <w:szCs w:val="28"/>
        </w:rPr>
        <w:lastRenderedPageBreak/>
        <w:t>План</w:t>
      </w:r>
    </w:p>
    <w:p w14:paraId="20DBF49B" w14:textId="77777777" w:rsidR="00B0086F" w:rsidRDefault="00B0086F" w:rsidP="00B008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43A1E5" w14:textId="77777777" w:rsidR="00D075FF" w:rsidRPr="00B0086F" w:rsidRDefault="00D075FF" w:rsidP="00B0086F">
      <w:pPr>
        <w:spacing w:line="360" w:lineRule="auto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Введение</w:t>
      </w:r>
    </w:p>
    <w:p w14:paraId="0AA6A1E4" w14:textId="77777777" w:rsidR="005C1A6B" w:rsidRPr="00B0086F" w:rsidRDefault="00D075FF" w:rsidP="00B0086F">
      <w:pPr>
        <w:numPr>
          <w:ilvl w:val="0"/>
          <w:numId w:val="2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Анатомические и физиологические особенности пожилых</w:t>
      </w:r>
    </w:p>
    <w:p w14:paraId="359D572F" w14:textId="77777777"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Сердечно-сосудистая система</w:t>
      </w:r>
    </w:p>
    <w:p w14:paraId="7026781E" w14:textId="77777777"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Система дыхания</w:t>
      </w:r>
    </w:p>
    <w:p w14:paraId="0EDB1322" w14:textId="77777777"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Почки</w:t>
      </w:r>
    </w:p>
    <w:p w14:paraId="0579B920" w14:textId="77777777"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Желудочно-кишечный тракт</w:t>
      </w:r>
    </w:p>
    <w:p w14:paraId="29BFB5D3" w14:textId="77777777"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Нервная система</w:t>
      </w:r>
    </w:p>
    <w:p w14:paraId="3AAF3825" w14:textId="77777777"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Прочее</w:t>
      </w:r>
    </w:p>
    <w:p w14:paraId="6F09AAC5" w14:textId="77777777" w:rsidR="005C1A6B" w:rsidRPr="00B0086F" w:rsidRDefault="00D075FF" w:rsidP="00B0086F">
      <w:pPr>
        <w:numPr>
          <w:ilvl w:val="0"/>
          <w:numId w:val="2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Особенности действия лекарственных препаратов у пожилых</w:t>
      </w:r>
    </w:p>
    <w:p w14:paraId="60E944C5" w14:textId="77777777" w:rsidR="00D075FF" w:rsidRPr="00B0086F" w:rsidRDefault="00D075FF" w:rsidP="00B0086F">
      <w:pPr>
        <w:numPr>
          <w:ilvl w:val="0"/>
          <w:numId w:val="6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Ингаляционные анестетики</w:t>
      </w:r>
    </w:p>
    <w:p w14:paraId="7000277C" w14:textId="77777777" w:rsidR="00D075FF" w:rsidRPr="00B0086F" w:rsidRDefault="00D075FF" w:rsidP="00B0086F">
      <w:pPr>
        <w:numPr>
          <w:ilvl w:val="0"/>
          <w:numId w:val="6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Неингаляционные анестетики</w:t>
      </w:r>
    </w:p>
    <w:p w14:paraId="50F7ABCB" w14:textId="77777777" w:rsidR="00D075FF" w:rsidRPr="00B0086F" w:rsidRDefault="00D075FF" w:rsidP="00B0086F">
      <w:pPr>
        <w:numPr>
          <w:ilvl w:val="0"/>
          <w:numId w:val="6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Миорелаксанты</w:t>
      </w:r>
    </w:p>
    <w:p w14:paraId="48866C61" w14:textId="77777777" w:rsidR="005C1A6B" w:rsidRPr="00B0086F" w:rsidRDefault="005C1A6B" w:rsidP="00B0086F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Литература</w:t>
      </w:r>
    </w:p>
    <w:p w14:paraId="67F892B6" w14:textId="77777777" w:rsidR="00B50A08" w:rsidRPr="00B0086F" w:rsidRDefault="00B0086F" w:rsidP="00B0086F">
      <w:pPr>
        <w:pStyle w:val="1"/>
        <w:spacing w:before="0" w:line="360" w:lineRule="auto"/>
        <w:ind w:firstLine="709"/>
        <w:rPr>
          <w:color w:val="auto"/>
          <w:spacing w:val="0"/>
          <w:sz w:val="28"/>
          <w:szCs w:val="28"/>
        </w:rPr>
      </w:pPr>
      <w:r w:rsidRPr="00B0086F">
        <w:rPr>
          <w:color w:val="auto"/>
          <w:spacing w:val="0"/>
          <w:sz w:val="28"/>
          <w:szCs w:val="28"/>
        </w:rPr>
        <w:br w:type="page"/>
      </w:r>
      <w:r w:rsidRPr="00B0086F">
        <w:rPr>
          <w:caps w:val="0"/>
          <w:color w:val="auto"/>
          <w:spacing w:val="0"/>
          <w:sz w:val="28"/>
          <w:szCs w:val="28"/>
        </w:rPr>
        <w:lastRenderedPageBreak/>
        <w:t>Введение</w:t>
      </w:r>
    </w:p>
    <w:p w14:paraId="46214947" w14:textId="77777777" w:rsidR="00B0086F" w:rsidRPr="00B0086F" w:rsidRDefault="00B0086F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604F79F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0086F">
        <w:rPr>
          <w:sz w:val="28"/>
          <w:szCs w:val="28"/>
        </w:rPr>
        <w:t>К 2040 году люди в возрасте 65 лет и старше составят 24% всего населения, на их лечение будет израсходовано 50% бюджета здравоохранения. Половине из этих людей</w:t>
      </w:r>
      <w:r w:rsidR="00631EAA" w:rsidRPr="00B0086F">
        <w:rPr>
          <w:sz w:val="28"/>
          <w:szCs w:val="28"/>
        </w:rPr>
        <w:t xml:space="preserve"> потребуется операция, и их пре</w:t>
      </w:r>
      <w:r w:rsidRPr="00B0086F">
        <w:rPr>
          <w:sz w:val="28"/>
          <w:szCs w:val="28"/>
        </w:rPr>
        <w:t>клонный возраст трехкратно увеличит риск периоперационной смерти. Необходимо знать анатомические, физиологические и фармакологические особенности пожилых, чтобы успешно проводить им анестезию. Между пожилыми и детьми суще</w:t>
      </w:r>
      <w:r w:rsidR="00235E9B">
        <w:rPr>
          <w:sz w:val="28"/>
          <w:szCs w:val="28"/>
        </w:rPr>
        <w:t>ствует много общего</w:t>
      </w:r>
      <w:r w:rsidRPr="00B0086F">
        <w:rPr>
          <w:sz w:val="28"/>
          <w:szCs w:val="28"/>
        </w:rPr>
        <w:t>. У пожилых, в отличие от детей, колебания указанных параметров более значительны. Относительно высокий риск серьезных сопутствующих заболеваний требует тщательного предоперационного обследования.</w:t>
      </w:r>
    </w:p>
    <w:p w14:paraId="079C458A" w14:textId="77777777" w:rsidR="00B50A08" w:rsidRPr="00B0086F" w:rsidRDefault="00B0086F" w:rsidP="00B0086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0086F">
        <w:rPr>
          <w:sz w:val="28"/>
          <w:szCs w:val="28"/>
        </w:rPr>
        <w:br w:type="page"/>
      </w:r>
      <w:r w:rsidR="00D075FF" w:rsidRPr="00B0086F">
        <w:rPr>
          <w:b/>
          <w:bCs/>
          <w:sz w:val="28"/>
          <w:szCs w:val="28"/>
        </w:rPr>
        <w:lastRenderedPageBreak/>
        <w:t xml:space="preserve">1. </w:t>
      </w:r>
      <w:r w:rsidR="00B50A08" w:rsidRPr="00B0086F">
        <w:rPr>
          <w:b/>
          <w:bCs/>
          <w:sz w:val="28"/>
          <w:szCs w:val="28"/>
        </w:rPr>
        <w:t>Анатомические и физиологические особенности пожилых</w:t>
      </w:r>
    </w:p>
    <w:p w14:paraId="11246A25" w14:textId="77777777" w:rsidR="00B0086F" w:rsidRPr="00B0086F" w:rsidRDefault="00B0086F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3D08CAF5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Сердечно-сосудистая система</w:t>
      </w:r>
    </w:p>
    <w:p w14:paraId="155EF7B7" w14:textId="77777777" w:rsidR="00631EAA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Важно отличать нормальные возрастные измен</w:t>
      </w:r>
      <w:r w:rsidR="00631EAA" w:rsidRPr="00B0086F">
        <w:rPr>
          <w:sz w:val="28"/>
          <w:szCs w:val="28"/>
        </w:rPr>
        <w:t xml:space="preserve">ения от заболеваний (таблица </w:t>
      </w:r>
      <w:r w:rsidRPr="00B0086F">
        <w:rPr>
          <w:sz w:val="28"/>
          <w:szCs w:val="28"/>
        </w:rPr>
        <w:t>2). Например, атеросклероз является заболеванием — у здоровых пожилых людей его нет. Напротив, снижение эластичности артерий вследствие фиброза медии представляет с</w:t>
      </w:r>
      <w:r w:rsidR="00631EAA" w:rsidRPr="00B0086F">
        <w:rPr>
          <w:sz w:val="28"/>
          <w:szCs w:val="28"/>
        </w:rPr>
        <w:t>обой проявление нормального процесса старения. Снижение эластичности артерий приводит к повышению постнагрузки, увеличению АД</w:t>
      </w:r>
      <w:r w:rsidR="00631EAA" w:rsidRPr="00B0086F">
        <w:rPr>
          <w:sz w:val="28"/>
          <w:szCs w:val="28"/>
          <w:vertAlign w:val="subscript"/>
        </w:rPr>
        <w:t>СИСТ</w:t>
      </w:r>
      <w:r w:rsidR="00631EAA" w:rsidRPr="00B0086F">
        <w:rPr>
          <w:sz w:val="28"/>
          <w:szCs w:val="28"/>
        </w:rPr>
        <w:t xml:space="preserve"> и гипертрофии ЛЖ. Утолщение стенки ЛЖ происходит за счет уменьшения объема его полости. Диастолическое давление в отсутствие сопутствующих заболеваний не изменяется или снижается. Хотя с возрастом сердечный выброс снижается, при хорошем общем состоянии он может сохраняться на прежнем уровне. Повышение тонуса блуждающего нерва и снижение чувствительности адрено-рецепторов приводит к урежению ЧСС; после 50 лет максимальная ЧСС каждый год снижается на один удар/мин. Фиброз проводящей системы сердца и гибель клеток синусового узла повышают риск аритмий.</w:t>
      </w:r>
    </w:p>
    <w:p w14:paraId="7751F1BB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iCs/>
          <w:sz w:val="28"/>
          <w:szCs w:val="28"/>
        </w:rPr>
        <w:t>Сходство между детьми младшего возраста и пожилыми, отличающие их от остальной популяции</w:t>
      </w:r>
    </w:p>
    <w:p w14:paraId="1DB3935D" w14:textId="77777777"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Сниженная способность к увеличению ЧСС в ответ на артериальную гипотонию, гиповолемию и гипоксемию</w:t>
      </w:r>
    </w:p>
    <w:p w14:paraId="0D291727" w14:textId="77777777"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Сниженная растяжимость легких</w:t>
      </w:r>
    </w:p>
    <w:p w14:paraId="7C69E7C4" w14:textId="77777777"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Сниженное Ра02</w:t>
      </w:r>
    </w:p>
    <w:p w14:paraId="05ED37AD" w14:textId="77777777"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Невозможность эффективно кашлять</w:t>
      </w:r>
    </w:p>
    <w:p w14:paraId="787DA9DB" w14:textId="77777777"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Сниженная функция почечных канальцев</w:t>
      </w:r>
    </w:p>
    <w:p w14:paraId="07EA37BD" w14:textId="77777777"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Повышенная чувствительность к гипотермии</w:t>
      </w:r>
    </w:p>
    <w:p w14:paraId="3F6906D5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У пожилых часто выявляют повышенное ДЗЛА, легочную гиперте</w:t>
      </w:r>
      <w:r w:rsidR="00631EAA" w:rsidRPr="00B0086F">
        <w:rPr>
          <w:sz w:val="28"/>
          <w:szCs w:val="28"/>
        </w:rPr>
        <w:t>нзию и дисфункцию ЛЖ</w:t>
      </w:r>
      <w:r w:rsidRPr="00B0086F">
        <w:rPr>
          <w:sz w:val="28"/>
          <w:szCs w:val="28"/>
        </w:rPr>
        <w:t xml:space="preserve">. </w:t>
      </w:r>
      <w:r w:rsidRPr="00B0086F">
        <w:rPr>
          <w:iCs/>
          <w:sz w:val="28"/>
          <w:szCs w:val="28"/>
        </w:rPr>
        <w:t xml:space="preserve">Сниженный сердечный резерв у пожилых может проявляться выраженным падением АД во время индукции анестезии. </w:t>
      </w:r>
      <w:r w:rsidRPr="00B0086F">
        <w:rPr>
          <w:sz w:val="28"/>
          <w:szCs w:val="28"/>
        </w:rPr>
        <w:t xml:space="preserve">Удлиненное время циркуляции приводит к замедлению действия </w:t>
      </w:r>
      <w:r w:rsidRPr="00B0086F">
        <w:rPr>
          <w:sz w:val="28"/>
          <w:szCs w:val="28"/>
        </w:rPr>
        <w:lastRenderedPageBreak/>
        <w:t>вну</w:t>
      </w:r>
      <w:r w:rsidR="00631EAA" w:rsidRPr="00B0086F">
        <w:rPr>
          <w:sz w:val="28"/>
          <w:szCs w:val="28"/>
        </w:rPr>
        <w:t>тривен</w:t>
      </w:r>
      <w:r w:rsidRPr="00B0086F">
        <w:rPr>
          <w:sz w:val="28"/>
          <w:szCs w:val="28"/>
        </w:rPr>
        <w:t>ных анестетиков, но ускоряет ингаляционную индукцию. У пожилых, как и у детей младшего возраста, снижена реакция ЧСС в ответ на гиповолемию, артериальную гипотонию и гипоксию.</w:t>
      </w:r>
    </w:p>
    <w:p w14:paraId="3B37E38F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Система дыхания</w:t>
      </w:r>
    </w:p>
    <w:p w14:paraId="6A21B80B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 xml:space="preserve">Снижение растяжимости легких приводит к перерастяжению альвеол и коллапсу мелких дыхательных путей. Перерастяжение альвеол уменьшает площадь поверхности газообмена, тем самым значительно снижая его эффективность. Коллапс мелких дыхательных путей увеличивает </w:t>
      </w:r>
      <w:r w:rsidR="00631EAA" w:rsidRPr="00B0086F">
        <w:rPr>
          <w:b/>
          <w:bCs/>
          <w:sz w:val="28"/>
          <w:szCs w:val="28"/>
        </w:rPr>
        <w:t>остаточ</w:t>
      </w:r>
      <w:r w:rsidRPr="00B0086F">
        <w:rPr>
          <w:b/>
          <w:bCs/>
          <w:sz w:val="28"/>
          <w:szCs w:val="28"/>
        </w:rPr>
        <w:t xml:space="preserve">ный объем </w:t>
      </w:r>
      <w:r w:rsidRPr="00B0086F">
        <w:rPr>
          <w:sz w:val="28"/>
          <w:szCs w:val="28"/>
        </w:rPr>
        <w:t xml:space="preserve">(объем воздуха, остающегося в легких в конце форсированного выдоха) и </w:t>
      </w:r>
      <w:r w:rsidRPr="00B0086F">
        <w:rPr>
          <w:b/>
          <w:bCs/>
          <w:sz w:val="28"/>
          <w:szCs w:val="28"/>
        </w:rPr>
        <w:t xml:space="preserve">емкость закрытия </w:t>
      </w:r>
      <w:r w:rsidRPr="00B0086F">
        <w:rPr>
          <w:sz w:val="28"/>
          <w:szCs w:val="28"/>
        </w:rPr>
        <w:t xml:space="preserve">(объем воздуха в легких, при котором начинают спадаться мелкие дыхательные пути). </w:t>
      </w:r>
      <w:r w:rsidRPr="00B0086F">
        <w:rPr>
          <w:iCs/>
          <w:sz w:val="28"/>
          <w:szCs w:val="28"/>
        </w:rPr>
        <w:t>Даже у здоровых людей в возрасте 45</w:t>
      </w:r>
      <w:r w:rsidR="00631EAA" w:rsidRPr="00B0086F">
        <w:rPr>
          <w:iCs/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 xml:space="preserve">лет в положении на спине и в 65лет в положении сидя емкость закрытия превышает </w:t>
      </w:r>
      <w:r w:rsidRPr="00B0086F">
        <w:rPr>
          <w:b/>
          <w:bCs/>
          <w:iCs/>
          <w:sz w:val="28"/>
          <w:szCs w:val="28"/>
        </w:rPr>
        <w:t xml:space="preserve">функциональную остаточную емкость </w:t>
      </w:r>
      <w:r w:rsidRPr="00B0086F">
        <w:rPr>
          <w:iCs/>
          <w:sz w:val="28"/>
          <w:szCs w:val="28"/>
        </w:rPr>
        <w:t>(объем воздуха, ост</w:t>
      </w:r>
      <w:r w:rsidR="00631EAA" w:rsidRPr="00B0086F">
        <w:rPr>
          <w:iCs/>
          <w:sz w:val="28"/>
          <w:szCs w:val="28"/>
        </w:rPr>
        <w:t xml:space="preserve">ающийся в легких в конце спокойного выдоха). </w:t>
      </w:r>
      <w:r w:rsidR="00631EAA" w:rsidRPr="00B0086F">
        <w:rPr>
          <w:sz w:val="28"/>
          <w:szCs w:val="28"/>
        </w:rPr>
        <w:t xml:space="preserve">Когда функциональная остаточная емкость становится меньше емкости закрытия, некоторые дыхательные пути спадаются при спокойном выдохе, что приводит к нарушению вентиляционно-перфузионных отношений. Дополнительный эффект этих эмфизематозно-подобных изменений состоит в снижении </w:t>
      </w:r>
      <w:r w:rsidR="00631EAA" w:rsidRPr="00B0086F">
        <w:rPr>
          <w:sz w:val="28"/>
          <w:szCs w:val="28"/>
          <w:lang w:val="en-US"/>
        </w:rPr>
        <w:t>PaO</w:t>
      </w:r>
      <w:r w:rsidR="00631EAA" w:rsidRPr="00B0086F">
        <w:rPr>
          <w:sz w:val="28"/>
          <w:szCs w:val="28"/>
          <w:vertAlign w:val="subscript"/>
        </w:rPr>
        <w:t>2</w:t>
      </w:r>
      <w:r w:rsidR="00631EAA" w:rsidRPr="00B0086F">
        <w:rPr>
          <w:sz w:val="28"/>
          <w:szCs w:val="28"/>
        </w:rPr>
        <w:t xml:space="preserve"> в среднем на </w:t>
      </w:r>
      <w:smartTag w:uri="urn:schemas-microsoft-com:office:smarttags" w:element="metricconverter">
        <w:smartTagPr>
          <w:attr w:name="ProductID" w:val="0,35 мм"/>
        </w:smartTagPr>
        <w:r w:rsidR="00631EAA" w:rsidRPr="00B0086F">
          <w:rPr>
            <w:sz w:val="28"/>
            <w:szCs w:val="28"/>
          </w:rPr>
          <w:t>0,35 мм</w:t>
        </w:r>
      </w:smartTag>
      <w:r w:rsidR="00631EAA" w:rsidRPr="00B0086F">
        <w:rPr>
          <w:sz w:val="28"/>
          <w:szCs w:val="28"/>
        </w:rPr>
        <w:t xml:space="preserve"> рт. ст. в год. Значения </w:t>
      </w:r>
      <w:r w:rsidR="00631EAA" w:rsidRPr="00B0086F">
        <w:rPr>
          <w:sz w:val="28"/>
          <w:szCs w:val="28"/>
          <w:lang w:val="en-US"/>
        </w:rPr>
        <w:t>PaO</w:t>
      </w:r>
      <w:r w:rsidR="00631EAA" w:rsidRPr="00B0086F">
        <w:rPr>
          <w:sz w:val="28"/>
          <w:szCs w:val="28"/>
          <w:vertAlign w:val="subscript"/>
        </w:rPr>
        <w:t>2</w:t>
      </w:r>
      <w:r w:rsidR="00631EAA" w:rsidRPr="00B0086F">
        <w:rPr>
          <w:sz w:val="28"/>
          <w:szCs w:val="28"/>
        </w:rPr>
        <w:t xml:space="preserve"> у пожилых в предоперационном периоде колеблются в широких пределах. Прочие возрастные изменения со стороны системы дыхания суммированы в таблице 2.</w:t>
      </w:r>
    </w:p>
    <w:p w14:paraId="2A9E68B2" w14:textId="77777777" w:rsidR="00B0086F" w:rsidRDefault="00B0086F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1A234151" w14:textId="77777777" w:rsidR="00B50A08" w:rsidRPr="00B0086F" w:rsidRDefault="00B0086F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Таблица</w:t>
      </w:r>
      <w:r>
        <w:rPr>
          <w:b/>
          <w:bCs/>
          <w:sz w:val="28"/>
          <w:szCs w:val="28"/>
        </w:rPr>
        <w:t>.</w:t>
      </w:r>
      <w:r w:rsidR="00B50A08" w:rsidRPr="00B0086F">
        <w:rPr>
          <w:b/>
          <w:bCs/>
          <w:sz w:val="28"/>
          <w:szCs w:val="28"/>
        </w:rPr>
        <w:t xml:space="preserve"> </w:t>
      </w:r>
      <w:r w:rsidR="00B50A08" w:rsidRPr="00B0086F">
        <w:rPr>
          <w:iCs/>
          <w:sz w:val="28"/>
          <w:szCs w:val="28"/>
        </w:rPr>
        <w:t>Нормальные возрастные изменения и наиболее распространенные заболевания у пожилых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3"/>
        <w:gridCol w:w="3911"/>
      </w:tblGrid>
      <w:tr w:rsidR="00B50A08" w:rsidRPr="00B0086F" w14:paraId="6A0E686E" w14:textId="77777777" w:rsidTr="00235E9B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934C" w14:textId="77777777" w:rsidR="00B50A08" w:rsidRPr="00B0086F" w:rsidRDefault="00B50A08" w:rsidP="00B0086F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B0086F">
              <w:rPr>
                <w:b/>
                <w:bCs/>
              </w:rPr>
              <w:t>Нормальные возрастные изменения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A067" w14:textId="77777777" w:rsidR="00B50A08" w:rsidRPr="00B0086F" w:rsidRDefault="00B50A08" w:rsidP="00B0086F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B0086F">
              <w:rPr>
                <w:b/>
                <w:bCs/>
              </w:rPr>
              <w:t>Наиболее распространенные заболевания</w:t>
            </w:r>
          </w:p>
        </w:tc>
      </w:tr>
      <w:tr w:rsidR="00B50A08" w:rsidRPr="00B0086F" w14:paraId="54125EE5" w14:textId="77777777" w:rsidTr="00235E9B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9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3C12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rPr>
                <w:b/>
                <w:bCs/>
              </w:rPr>
              <w:t>Сердечно-сосудистая система</w:t>
            </w:r>
          </w:p>
        </w:tc>
      </w:tr>
      <w:tr w:rsidR="00B50A08" w:rsidRPr="00B0086F" w14:paraId="5276FF22" w14:textId="77777777" w:rsidTr="00235E9B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67A8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эластичности артерий Повышение постнагрузки Повышение АДсист Гипертрофия ЛЖ Снижение адренергической активности Урежение ЧСС в покое Урежение максимальной ЧСС Ослабление барорецепторного рефлекса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8A86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Атеросклероз ИБС Гипертоническая болезнь Сердечная недостаточность Аритмии Аортальный стеноз</w:t>
            </w:r>
          </w:p>
        </w:tc>
      </w:tr>
      <w:tr w:rsidR="00B50A08" w:rsidRPr="00B0086F" w14:paraId="78EDBFAA" w14:textId="77777777" w:rsidTr="00235E9B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9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ADFE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rPr>
                <w:b/>
                <w:bCs/>
              </w:rPr>
              <w:lastRenderedPageBreak/>
              <w:t>Система дыхания</w:t>
            </w:r>
          </w:p>
        </w:tc>
      </w:tr>
      <w:tr w:rsidR="00B50A08" w:rsidRPr="00B0086F" w14:paraId="05E91EFA" w14:textId="77777777" w:rsidTr="00235E9B">
        <w:tblPrEx>
          <w:tblCellMar>
            <w:top w:w="0" w:type="dxa"/>
            <w:bottom w:w="0" w:type="dxa"/>
          </w:tblCellMar>
        </w:tblPrEx>
        <w:trPr>
          <w:trHeight w:val="1692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C728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растяжимости легких Уменьшение площади поверхности альвеол Увеличение остаточного объема Увеличение емкости закрытия Нарушение вентиляционно-перфузионных отношений Снижение РаО</w:t>
            </w:r>
            <w:r w:rsidRPr="00B0086F">
              <w:rPr>
                <w:vertAlign w:val="subscript"/>
              </w:rPr>
              <w:t xml:space="preserve">2 </w:t>
            </w:r>
            <w:r w:rsidRPr="00B0086F">
              <w:t>Увеличение ригидности грудной клетки Снижение мышечной силы Уменьшение эффективности кашля</w:t>
            </w:r>
          </w:p>
          <w:p w14:paraId="248B20AD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Сниженная способность к увеличению минутного объема дыхания при физической нагрузке</w:t>
            </w:r>
          </w:p>
          <w:p w14:paraId="087149D8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Ослабление реакции на гиперкапнию и гипоксию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9165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Эмфизема Хронический бронхит Пневмония Рак легкого Туберкулез</w:t>
            </w:r>
          </w:p>
          <w:p w14:paraId="6518DD27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</w:p>
        </w:tc>
      </w:tr>
      <w:tr w:rsidR="00B50A08" w:rsidRPr="00B0086F" w14:paraId="0F96A6F7" w14:textId="77777777" w:rsidTr="00235E9B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9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0F52" w14:textId="77777777" w:rsidR="00B50A08" w:rsidRPr="00B0086F" w:rsidRDefault="00B50A08" w:rsidP="00B0086F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B0086F">
              <w:rPr>
                <w:b/>
                <w:bCs/>
              </w:rPr>
              <w:t>Почки</w:t>
            </w:r>
          </w:p>
        </w:tc>
      </w:tr>
      <w:tr w:rsidR="00B50A08" w:rsidRPr="00B0086F" w14:paraId="07EC98EF" w14:textId="77777777" w:rsidTr="00235E9B">
        <w:tblPrEx>
          <w:tblCellMar>
            <w:top w:w="0" w:type="dxa"/>
            <w:bottom w:w="0" w:type="dxa"/>
          </w:tblCellMar>
        </w:tblPrEx>
        <w:trPr>
          <w:trHeight w:val="2007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13F8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почечного кровотока Снижение почечного плазмотока Снижение СКФ Уменьшение массы почек Нарушение функции канальцев Нарушение реабсорбции натрия Нарушение способности к концентрации мочи Нарушение способности к разведению мочи Нарушение реабсорбции воды</w:t>
            </w:r>
          </w:p>
          <w:p w14:paraId="2F5ADA73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способности к экскреции лекарственных препаратов</w:t>
            </w:r>
          </w:p>
          <w:p w14:paraId="4B7B40F3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реактивности системы ренин-альдостерон Нарушение экскреции калия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7594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Диабетическая нефропатия</w:t>
            </w:r>
          </w:p>
          <w:p w14:paraId="4BE69DA9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Нефропатия, обусловленная артериальной гипертонией</w:t>
            </w:r>
          </w:p>
          <w:p w14:paraId="693B2FA3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Обструкция мочевыводящих путей, обусловленная гипертрофией предстательной железы</w:t>
            </w:r>
          </w:p>
          <w:p w14:paraId="1E9F78DA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Сердечная недостаточность</w:t>
            </w:r>
          </w:p>
          <w:p w14:paraId="66EC079A" w14:textId="77777777" w:rsidR="00B50A08" w:rsidRPr="00B0086F" w:rsidRDefault="00B50A08" w:rsidP="00B0086F">
            <w:pPr>
              <w:shd w:val="clear" w:color="auto" w:fill="FFFFFF"/>
              <w:spacing w:line="360" w:lineRule="auto"/>
            </w:pPr>
          </w:p>
        </w:tc>
      </w:tr>
    </w:tbl>
    <w:p w14:paraId="1AB3B137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AA23AC8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 xml:space="preserve">Масочную вентиляцию может затруднить отсутствие зубов, </w:t>
      </w:r>
      <w:r w:rsidR="00631EAA" w:rsidRPr="00B0086F">
        <w:rPr>
          <w:sz w:val="28"/>
          <w:szCs w:val="28"/>
        </w:rPr>
        <w:t>интубацию трахеи — артрит височ</w:t>
      </w:r>
      <w:r w:rsidRPr="00B0086F">
        <w:rPr>
          <w:sz w:val="28"/>
          <w:szCs w:val="28"/>
        </w:rPr>
        <w:t>но-нижнечелюстных суставов и суставов шейного отдела позвоночника. С другой стороны, отсутствие верхних зубов улучшает визуализацию голосовых связок во время ларингоскопии.</w:t>
      </w:r>
    </w:p>
    <w:p w14:paraId="3CB60683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 xml:space="preserve">Меры профилактики периоперационной гипоксии: увеличение </w:t>
      </w:r>
      <w:r w:rsidRPr="00B0086F">
        <w:rPr>
          <w:sz w:val="28"/>
          <w:szCs w:val="28"/>
          <w:lang w:val="en-US"/>
        </w:rPr>
        <w:t>FiO</w:t>
      </w:r>
      <w:r w:rsidRPr="00B0086F">
        <w:rPr>
          <w:sz w:val="28"/>
          <w:szCs w:val="28"/>
          <w:vertAlign w:val="subscript"/>
        </w:rPr>
        <w:t>2</w:t>
      </w:r>
      <w:r w:rsidRPr="00B0086F">
        <w:rPr>
          <w:sz w:val="28"/>
          <w:szCs w:val="28"/>
        </w:rPr>
        <w:t>, дробное увеличение ПДКВ, тщательное периодическое отсасывание слизи из дыхательных путей. Аспирационная пневмония является распространенным и опасным для жизни осложнением у пожилых. Один из факторов, предрасполагающих к аспирационной пневмонии — возрастное снижение защитных гортанных рефлексов. У пожилых после операции часто развивается дыхательная недостаточность. Тяжелые сопутствующие заболевания легких и большие абдоминальные операции — показания к продленной ИВЛ в послеоперационном периоде. Кроме того, показаны методики обезболивания,</w:t>
      </w:r>
      <w:r w:rsidR="00631EAA" w:rsidRPr="00B0086F">
        <w:rPr>
          <w:sz w:val="28"/>
          <w:szCs w:val="28"/>
        </w:rPr>
        <w:t xml:space="preserve"> улучшающие функцию легких в по</w:t>
      </w:r>
      <w:r w:rsidRPr="00B0086F">
        <w:rPr>
          <w:sz w:val="28"/>
          <w:szCs w:val="28"/>
        </w:rPr>
        <w:t>слеоперационном периоде (например, эпидуральное введение опиоидов, блокада межреберных нервов).</w:t>
      </w:r>
    </w:p>
    <w:p w14:paraId="2E24B32C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086F">
        <w:rPr>
          <w:b/>
          <w:bCs/>
          <w:sz w:val="28"/>
          <w:szCs w:val="28"/>
        </w:rPr>
        <w:t>Почки</w:t>
      </w:r>
    </w:p>
    <w:p w14:paraId="50FA61D2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B0086F">
        <w:rPr>
          <w:sz w:val="28"/>
          <w:szCs w:val="28"/>
        </w:rPr>
        <w:t xml:space="preserve">Почечный кровоток и масса почек (в частности, число клубочков и длина канальцев) с возрастом уменьшаются. Эти изменения особенно ярко выражены в корковом слое. Снижается функция почек, что определяется по уменьшению СКФ </w:t>
      </w:r>
      <w:r w:rsidR="00631EAA" w:rsidRPr="00B0086F">
        <w:rPr>
          <w:sz w:val="28"/>
          <w:szCs w:val="28"/>
        </w:rPr>
        <w:t xml:space="preserve">и клиренса креатинина (табл. </w:t>
      </w:r>
      <w:r w:rsidRPr="00B0086F">
        <w:rPr>
          <w:sz w:val="28"/>
          <w:szCs w:val="28"/>
        </w:rPr>
        <w:t xml:space="preserve">2). Уровень креатинина в плазме не изменяется, потому что с возрастом уменьшается мышечная масса и выработка креатинина. Напротив, уровень </w:t>
      </w:r>
      <w:r w:rsidRPr="00B0086F">
        <w:rPr>
          <w:sz w:val="28"/>
          <w:szCs w:val="28"/>
          <w:lang w:val="en-US"/>
        </w:rPr>
        <w:t>AMK</w:t>
      </w:r>
      <w:r w:rsidRPr="00B0086F">
        <w:rPr>
          <w:sz w:val="28"/>
          <w:szCs w:val="28"/>
        </w:rPr>
        <w:t xml:space="preserve"> постепенно повышается (на 2 мг/л в год). </w:t>
      </w:r>
      <w:r w:rsidRPr="00B0086F">
        <w:rPr>
          <w:iCs/>
          <w:sz w:val="28"/>
          <w:szCs w:val="28"/>
        </w:rPr>
        <w:t xml:space="preserve">Характерные для пожилых нарушения реабсорбции натрия, а также способности к разведению и концентрации мочи предрасполагают к дегидратации и гипергидратации. Пожилой возраст в сочетании с повышенным уровнем </w:t>
      </w:r>
      <w:r w:rsidRPr="00B0086F">
        <w:rPr>
          <w:iCs/>
          <w:sz w:val="28"/>
          <w:szCs w:val="28"/>
          <w:lang w:val="en-US"/>
        </w:rPr>
        <w:t>AMK</w:t>
      </w:r>
      <w:r w:rsidRPr="00B0086F">
        <w:rPr>
          <w:iCs/>
          <w:sz w:val="28"/>
          <w:szCs w:val="28"/>
        </w:rPr>
        <w:t xml:space="preserve"> или креатинина плазмы сопряжен с повышенным риском послеоперационной ОПН.</w:t>
      </w:r>
    </w:p>
    <w:p w14:paraId="30879007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По мере снижения функции почек уменьшается и их способность к экскреции лекарственных препаратов. Почки у пожилых хуже справляются с регуляцией водно-электролитного обмена, поэтому следует тщательного планировать инфузионную терапию. Еще нужно учитывать, что пожилые часто получают диуретики. Все эти факторы объясняют необходимость скрупулезного частого мониторинга электролитов сыворотки, ЦВД, ДЗЛА и диуреза.</w:t>
      </w:r>
    </w:p>
    <w:p w14:paraId="5BAD351B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086F">
        <w:rPr>
          <w:b/>
          <w:bCs/>
          <w:sz w:val="28"/>
          <w:szCs w:val="28"/>
        </w:rPr>
        <w:t>Желудочно-кишечный тракт</w:t>
      </w:r>
    </w:p>
    <w:p w14:paraId="1EDB4179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 возрастом снижаются печеночный кровоток и масса печени. Замедляется скорость биотрансформации, синтеза альбумина и холинэстеразы плазмы в печени. рН желудочного содержимого повышается, эвакуация из желудка замедляется. Эти факторы могут влиять на фармакокинетику лекарственных препаратов.</w:t>
      </w:r>
    </w:p>
    <w:p w14:paraId="5C6B91AD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086F">
        <w:rPr>
          <w:b/>
          <w:bCs/>
          <w:sz w:val="28"/>
          <w:szCs w:val="28"/>
        </w:rPr>
        <w:t>Нервная система</w:t>
      </w:r>
    </w:p>
    <w:p w14:paraId="25C08812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Мозговой кровоток и масса мозга с возрастом уменьшаются, особенно заметно снижение числа нейронов в коре головного мозга. Снижается синтез некоторых трансмиттеров. Дегенерация периферических нервных клеток приводит к замедлению скорости проведения нервных импульсов и атрофии мышц.</w:t>
      </w:r>
    </w:p>
    <w:p w14:paraId="6630D56E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Потребность в местных и общих анестетиках снижается. При эпидуральной анестезии анестетик распространяется краниальнее, но вызывает более короткую анальгезию и моторную блокаду, чем при использовании того же объема препарата у лиц среднего возраст</w:t>
      </w:r>
      <w:r w:rsidR="00631EAA" w:rsidRPr="00B0086F">
        <w:rPr>
          <w:sz w:val="28"/>
          <w:szCs w:val="28"/>
        </w:rPr>
        <w:t>а. Напротив, при субарахноидаль</w:t>
      </w:r>
      <w:r w:rsidRPr="00B0086F">
        <w:rPr>
          <w:sz w:val="28"/>
          <w:szCs w:val="28"/>
        </w:rPr>
        <w:t>ном введении местные анестетики оказывают более длительное действие. Пробуждение после анестезии может быть замедленным, особенно при спутанности или дезориентации перед операцией. Это имеет особенно</w:t>
      </w:r>
      <w:r w:rsidR="00631EAA" w:rsidRPr="00B0086F">
        <w:rPr>
          <w:sz w:val="28"/>
          <w:szCs w:val="28"/>
        </w:rPr>
        <w:t>е значение при амбулаторных вме</w:t>
      </w:r>
      <w:r w:rsidRPr="00B0086F">
        <w:rPr>
          <w:sz w:val="28"/>
          <w:szCs w:val="28"/>
        </w:rPr>
        <w:t>шательствах: пожилые часто живут одни, поэтому при выписке они должны удовлетворять достаточно жестким критериям. У многих больных после операции остро возникает спутанность сознания различной степени выраженности.</w:t>
      </w:r>
    </w:p>
    <w:p w14:paraId="7A78D452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086F">
        <w:rPr>
          <w:b/>
          <w:bCs/>
          <w:sz w:val="28"/>
          <w:szCs w:val="28"/>
        </w:rPr>
        <w:t>Прочее</w:t>
      </w:r>
    </w:p>
    <w:p w14:paraId="08763532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Кожа с возрастом атрофируется, поэтому у пожилых повышен риск ее повреждения клейкой лентой, пластиной электрокоагулятора и ЭКГ-электродами. Периферические вены становятся хрупкими, их катетеризация может быть затруднена, они легко разрываются в ходе переливания растворов. При артритах может быть затруднена укладка на операционном столе (например, литотомическое положение, положение для выполнения спинномозговой блокады).</w:t>
      </w:r>
    </w:p>
    <w:p w14:paraId="39E365C1" w14:textId="77777777" w:rsidR="00235E9B" w:rsidRDefault="00235E9B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3C3657E" w14:textId="77777777" w:rsidR="00B50A08" w:rsidRPr="00B0086F" w:rsidRDefault="00D075FF" w:rsidP="00235E9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 xml:space="preserve">2. </w:t>
      </w:r>
      <w:r w:rsidR="00B50A08" w:rsidRPr="00B0086F">
        <w:rPr>
          <w:b/>
          <w:bCs/>
          <w:sz w:val="28"/>
          <w:szCs w:val="28"/>
        </w:rPr>
        <w:t>Особенности действия лекарственных препаратов у пожилых</w:t>
      </w:r>
    </w:p>
    <w:p w14:paraId="5A197E72" w14:textId="77777777" w:rsidR="00235E9B" w:rsidRDefault="00235E9B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F14B5EE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Старение о</w:t>
      </w:r>
      <w:r w:rsidR="00631EAA" w:rsidRPr="00B0086F">
        <w:rPr>
          <w:sz w:val="28"/>
          <w:szCs w:val="28"/>
        </w:rPr>
        <w:t>казывает влияние на фармакокине</w:t>
      </w:r>
      <w:r w:rsidRPr="00B0086F">
        <w:rPr>
          <w:sz w:val="28"/>
          <w:szCs w:val="28"/>
        </w:rPr>
        <w:t xml:space="preserve">тику (зависимость между дозой препарата и его концентрацией </w:t>
      </w:r>
      <w:r w:rsidR="00631EAA" w:rsidRPr="00B0086F">
        <w:rPr>
          <w:sz w:val="28"/>
          <w:szCs w:val="28"/>
        </w:rPr>
        <w:t>в плазме) и фармакодинамику (за</w:t>
      </w:r>
      <w:r w:rsidRPr="00B0086F">
        <w:rPr>
          <w:sz w:val="28"/>
          <w:szCs w:val="28"/>
        </w:rPr>
        <w:t>висимость между концентрацией препарата в плазме и его клиническим эффектом). С возрастом снижается общий объем воды и вдвое увеличивается содержание жира, что влияет на распределение лекарственных препаратов. Снижается объем распределения для водорастворимых препаратов, что приводит к увеличению их концентрации в плазме. Напротив, объем распределения для жирорастворимых препаратов увеличивается, что приводит к снижению их концентрации в плазме. Изменение объема распределения влияет на период полувыведения. Если объем распределения увеличивается, то период полувыведения возрастает — при условии, что не повышается клиренс. С возрастом функция печени и почек ухудшается, в результате чего увеличивается продолжительность действия препаратов, чья биотрансформация зависит от печеночного или почечного клиренса.</w:t>
      </w:r>
    </w:p>
    <w:p w14:paraId="78942F1E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Возрастные изменения белкового состава плазмы тоже влияют на расп</w:t>
      </w:r>
      <w:r w:rsidR="00631EAA" w:rsidRPr="00B0086F">
        <w:rPr>
          <w:sz w:val="28"/>
          <w:szCs w:val="28"/>
        </w:rPr>
        <w:t>ределение и элиминацию</w:t>
      </w:r>
      <w:r w:rsidRPr="00B0086F">
        <w:rPr>
          <w:sz w:val="28"/>
          <w:szCs w:val="28"/>
        </w:rPr>
        <w:t>. С возрастом обычно снижается концентрация альбумина плазмы — белка, связывающего лекарственные препараты преимущественно с кислой реакцией (на</w:t>
      </w:r>
      <w:r w:rsidR="00631EAA" w:rsidRPr="00B0086F">
        <w:rPr>
          <w:sz w:val="28"/>
          <w:szCs w:val="28"/>
        </w:rPr>
        <w:t>пример, барбитураты, бензодиазе</w:t>
      </w:r>
      <w:r w:rsidRPr="00B0086F">
        <w:rPr>
          <w:sz w:val="28"/>
          <w:szCs w:val="28"/>
        </w:rPr>
        <w:t xml:space="preserve">пины, опиоиды). Напротив, с возрастом повышается концентрация в плазме </w:t>
      </w:r>
      <w:r w:rsidRPr="00B0086F">
        <w:rPr>
          <w:noProof/>
          <w:sz w:val="28"/>
          <w:szCs w:val="28"/>
        </w:rPr>
        <w:t>α</w:t>
      </w:r>
      <w:r w:rsidRPr="00B0086F">
        <w:rPr>
          <w:sz w:val="28"/>
          <w:szCs w:val="28"/>
          <w:vertAlign w:val="subscript"/>
        </w:rPr>
        <w:t>1</w:t>
      </w:r>
      <w:r w:rsidRPr="00B0086F">
        <w:rPr>
          <w:sz w:val="28"/>
          <w:szCs w:val="28"/>
        </w:rPr>
        <w:t>-гликопротеина — белка, связывающего препараты со щелочной реакцией (например, местные анестетики). Препараты, связанные с альбумином, не могут взаимодействовать с рецепторами органов-мишеней, не подвергаются метаболической деградации и экскреции.</w:t>
      </w:r>
    </w:p>
    <w:p w14:paraId="67E092EC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iCs/>
          <w:sz w:val="28"/>
          <w:szCs w:val="28"/>
        </w:rPr>
        <w:t>Основное влияние старения на фармакодинамику состоит в уменьшении потребности в анестетиках, что проявляется, в частности, снижением МАК.</w:t>
      </w:r>
    </w:p>
    <w:p w14:paraId="2D715FD9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Ингаляционные анестетики</w:t>
      </w:r>
    </w:p>
    <w:p w14:paraId="7176C1D3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МАК ингаляционных анестетиков снижается на 4% каждые 10 лет после достижения возраста 40 лет. Например, МАК галотана в 80 лет составит 0,65 (0,77 - [0,77 х 4% х 4]). Сниженный сердечный выброс ускоряет наступление эффекта, тогда как выраженное на</w:t>
      </w:r>
      <w:r w:rsidR="00631EAA" w:rsidRPr="00B0086F">
        <w:rPr>
          <w:sz w:val="28"/>
          <w:szCs w:val="28"/>
        </w:rPr>
        <w:t>рушение вентиляционно-перфузион</w:t>
      </w:r>
      <w:r w:rsidRPr="00B0086F">
        <w:rPr>
          <w:sz w:val="28"/>
          <w:szCs w:val="28"/>
        </w:rPr>
        <w:t>ных отношений, напр</w:t>
      </w:r>
      <w:r w:rsidR="00631EAA" w:rsidRPr="00B0086F">
        <w:rPr>
          <w:sz w:val="28"/>
          <w:szCs w:val="28"/>
        </w:rPr>
        <w:t>отив, замедляет</w:t>
      </w:r>
      <w:r w:rsidRPr="00B0086F">
        <w:rPr>
          <w:sz w:val="28"/>
          <w:szCs w:val="28"/>
        </w:rPr>
        <w:t xml:space="preserve">. У пожилых ингаляционные анестетики вызывают выраженное снижение сократимости миокарда, тогда как свойственная изофлюрану и энфлюрану тенденция увеличивать ЧСС, напротив, ослабляется. Таким образом, в отличие от пациентов среднего возраста у пожилых изофлюран снижает сердечный выброс и уменьшает ЧСС. </w:t>
      </w:r>
      <w:r w:rsidRPr="00B0086F">
        <w:rPr>
          <w:iCs/>
          <w:sz w:val="28"/>
          <w:szCs w:val="28"/>
        </w:rPr>
        <w:t>Пробуждение после ингаляционной анестезии может быть замедлено вследствие увеличения объема распределения (обусловленного повышенным содержанием жира в организме), ухудшения функции печени (приводит к замедлению метаболической деградации; особенно актуально при использовании галотана) и уменьшения интенсивности газообмена в легких.</w:t>
      </w:r>
    </w:p>
    <w:p w14:paraId="73F6AC1E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Неингаляционные анестетики</w:t>
      </w:r>
    </w:p>
    <w:p w14:paraId="5935ED76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iCs/>
          <w:sz w:val="28"/>
          <w:szCs w:val="28"/>
        </w:rPr>
        <w:t xml:space="preserve">У пожилых снижена потребность в барбитуратах, опиоидах и бензодиазепинах. </w:t>
      </w:r>
      <w:r w:rsidRPr="00B0086F">
        <w:rPr>
          <w:sz w:val="28"/>
          <w:szCs w:val="28"/>
        </w:rPr>
        <w:t>Например, в 80 лет доза тиопентала для индукции анестезии более чем в 2 раза ниже, чем в 20 лет. Вероятно, это обусловлено тем, что у пожилых пиковая концентрация тиопентала в плазме снижается плавно из-за более медленного перераспределения из центральной камеры. Таким образом, снижение потребности в тиопентале обусловлено изменениями фармакокинетики, а не фармакодинамики. Потребность в опиоидах снижена из-за фармакокинетических (снижение начального объема распределения, удлинение периода полувыведения</w:t>
      </w:r>
      <w:r w:rsidR="00631EAA" w:rsidRPr="00B0086F">
        <w:rPr>
          <w:sz w:val="28"/>
          <w:szCs w:val="28"/>
        </w:rPr>
        <w:t>) и фармакодина</w:t>
      </w:r>
      <w:r w:rsidRPr="00B0086F">
        <w:rPr>
          <w:sz w:val="28"/>
          <w:szCs w:val="28"/>
        </w:rPr>
        <w:t>мических (повышенная чувствительность мозга к опиоидам) изменений. Диазепам накапливается в жировых депо, поэтому у пожилых его объем распределения увеличивается, а элиминация, соответственно, замедл</w:t>
      </w:r>
      <w:r w:rsidR="00D075FF" w:rsidRPr="00B0086F">
        <w:rPr>
          <w:sz w:val="28"/>
          <w:szCs w:val="28"/>
        </w:rPr>
        <w:t>яется. Период полувыведения диа</w:t>
      </w:r>
      <w:r w:rsidRPr="00B0086F">
        <w:rPr>
          <w:sz w:val="28"/>
          <w:szCs w:val="28"/>
        </w:rPr>
        <w:t>зепама составляет 36 ч, поэтому его применение у пожилых может привести к спутанности сознания, длящейся несколько суток. Хотя при низких значениях рН мидазолам является водорастворимым препаратом, при физиологических значениях он становится жирорастворимым, поэтому старение влияет на его фа</w:t>
      </w:r>
      <w:r w:rsidR="00631EAA" w:rsidRPr="00B0086F">
        <w:rPr>
          <w:sz w:val="28"/>
          <w:szCs w:val="28"/>
        </w:rPr>
        <w:t>рмакокинетику аналогично мидазо</w:t>
      </w:r>
      <w:r w:rsidRPr="00B0086F">
        <w:rPr>
          <w:sz w:val="28"/>
          <w:szCs w:val="28"/>
        </w:rPr>
        <w:t>ламу. Кроме того,</w:t>
      </w:r>
      <w:r w:rsidR="00631EAA" w:rsidRPr="00B0086F">
        <w:rPr>
          <w:sz w:val="28"/>
          <w:szCs w:val="28"/>
        </w:rPr>
        <w:t xml:space="preserve"> вне зависимости от фармакокине</w:t>
      </w:r>
      <w:r w:rsidRPr="00B0086F">
        <w:rPr>
          <w:sz w:val="28"/>
          <w:szCs w:val="28"/>
        </w:rPr>
        <w:t>тики, с возрастом повышается фармакодинамиче-ская чувствительность к мидазоламу. Лоразепам растворяется в жирах хуже, чем диазепам, поэтому возраст не оказывает существенного влияния на его период полувыведения.</w:t>
      </w:r>
    </w:p>
    <w:p w14:paraId="04E3BDBC" w14:textId="77777777" w:rsidR="00B50A08" w:rsidRPr="00B0086F" w:rsidRDefault="00235E9B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0A08" w:rsidRPr="00B0086F">
        <w:rPr>
          <w:b/>
          <w:bCs/>
          <w:sz w:val="28"/>
          <w:szCs w:val="28"/>
        </w:rPr>
        <w:t>Миорелаксанты</w:t>
      </w:r>
    </w:p>
    <w:p w14:paraId="2FF27E0F" w14:textId="77777777"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 возрастом с</w:t>
      </w:r>
      <w:r w:rsidR="00631EAA" w:rsidRPr="00B0086F">
        <w:rPr>
          <w:sz w:val="28"/>
          <w:szCs w:val="28"/>
        </w:rPr>
        <w:t>нижается сердечный выброс и кро</w:t>
      </w:r>
      <w:r w:rsidRPr="00B0086F">
        <w:rPr>
          <w:sz w:val="28"/>
          <w:szCs w:val="28"/>
        </w:rPr>
        <w:t>воток в скелетных мышцах, поэтому у пожилых миорелаксанты начинают действовать в два раза медленнее, чем у лиц среднего возраста. Из-за снижения почечного клиренса может быть замедлено восстановление нервно-мышечной проводимости после применения недеполяризующих миорелаксантов, элиминация которых зависит от почечной экскреции (например, метоку</w:t>
      </w:r>
      <w:r w:rsidR="00631EAA" w:rsidRPr="00B0086F">
        <w:rPr>
          <w:sz w:val="28"/>
          <w:szCs w:val="28"/>
        </w:rPr>
        <w:t>рин, панкуроний, доксакурий, ту</w:t>
      </w:r>
      <w:r w:rsidRPr="00B0086F">
        <w:rPr>
          <w:sz w:val="28"/>
          <w:szCs w:val="28"/>
        </w:rPr>
        <w:t xml:space="preserve">бокурарин). Из-за снижения печеночного клиренса увеличивается </w:t>
      </w:r>
      <w:r w:rsidR="00D075FF" w:rsidRPr="00B0086F">
        <w:rPr>
          <w:sz w:val="28"/>
          <w:szCs w:val="28"/>
        </w:rPr>
        <w:t>продолжительность действия року</w:t>
      </w:r>
      <w:r w:rsidRPr="00B0086F">
        <w:rPr>
          <w:sz w:val="28"/>
          <w:szCs w:val="28"/>
        </w:rPr>
        <w:t>рония и векурония. Возраст не оказывает существенного влияния</w:t>
      </w:r>
      <w:r w:rsidR="00631EAA" w:rsidRPr="00B0086F">
        <w:rPr>
          <w:sz w:val="28"/>
          <w:szCs w:val="28"/>
        </w:rPr>
        <w:t xml:space="preserve"> на действие атракурия и пипеку</w:t>
      </w:r>
      <w:r w:rsidRPr="00B0086F">
        <w:rPr>
          <w:sz w:val="28"/>
          <w:szCs w:val="28"/>
        </w:rPr>
        <w:t>рония. У пожилых мужчин (но не женщин) может быть немного увеличена продолжительность действия сукцинилхолина вследствие снижения уровня холинэстеразы плазмы.</w:t>
      </w:r>
    </w:p>
    <w:p w14:paraId="04DAD819" w14:textId="77777777" w:rsidR="00454789" w:rsidRDefault="00235E9B" w:rsidP="00235E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0086F">
        <w:rPr>
          <w:b/>
          <w:sz w:val="28"/>
          <w:szCs w:val="28"/>
        </w:rPr>
        <w:t>Литература</w:t>
      </w:r>
    </w:p>
    <w:p w14:paraId="5AA0F7F8" w14:textId="77777777" w:rsidR="00235E9B" w:rsidRPr="00B0086F" w:rsidRDefault="00235E9B" w:rsidP="00B008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C55CA78" w14:textId="77777777" w:rsidR="00454789" w:rsidRPr="00B0086F" w:rsidRDefault="00454789" w:rsidP="00235E9B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B0086F">
        <w:rPr>
          <w:iCs/>
          <w:sz w:val="28"/>
          <w:szCs w:val="28"/>
        </w:rPr>
        <w:t>Перевод с английского д-ра мед. наук В.И.</w:t>
      </w:r>
      <w:r w:rsidR="00235E9B">
        <w:rPr>
          <w:iCs/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>Кандрора,</w:t>
      </w:r>
      <w:r w:rsidRPr="00B0086F">
        <w:rPr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>д. м. н. М.В.Неверовой, д-ра мед. наук А.В.Сучкова,</w:t>
      </w:r>
      <w:r w:rsidRPr="00B0086F">
        <w:rPr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>к. м. н. А.В.</w:t>
      </w:r>
      <w:r w:rsidR="00235E9B">
        <w:rPr>
          <w:iCs/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>Низового, Ю.Л.</w:t>
      </w:r>
      <w:r w:rsidR="00235E9B">
        <w:rPr>
          <w:iCs/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 xml:space="preserve">Амченкова; под ред. </w:t>
      </w:r>
      <w:r w:rsidR="00235E9B">
        <w:rPr>
          <w:iCs/>
          <w:sz w:val="28"/>
          <w:szCs w:val="28"/>
        </w:rPr>
        <w:t>д</w:t>
      </w:r>
      <w:r w:rsidRPr="00B0086F">
        <w:rPr>
          <w:iCs/>
          <w:sz w:val="28"/>
          <w:szCs w:val="28"/>
        </w:rPr>
        <w:t xml:space="preserve">.м.н. В.Т. Ивашкина, </w:t>
      </w:r>
      <w:r w:rsidR="00235E9B" w:rsidRPr="00B0086F">
        <w:rPr>
          <w:iCs/>
          <w:sz w:val="28"/>
          <w:szCs w:val="28"/>
        </w:rPr>
        <w:t xml:space="preserve">д.м.н. </w:t>
      </w:r>
      <w:r w:rsidRPr="00B0086F">
        <w:rPr>
          <w:iCs/>
          <w:sz w:val="28"/>
          <w:szCs w:val="28"/>
        </w:rPr>
        <w:t>П.Г. Брюсова; Москва «Медицина» 2001</w:t>
      </w:r>
    </w:p>
    <w:p w14:paraId="32455495" w14:textId="77777777" w:rsidR="00454789" w:rsidRPr="00B0086F" w:rsidRDefault="00454789" w:rsidP="00235E9B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5E9B">
        <w:rPr>
          <w:bCs/>
          <w:sz w:val="28"/>
          <w:szCs w:val="28"/>
        </w:rPr>
        <w:t>Интенсивная терапия. Реанимация. Первая помощь:</w:t>
      </w:r>
      <w:r w:rsidRPr="00B0086F">
        <w:rPr>
          <w:sz w:val="28"/>
          <w:szCs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B0086F">
        <w:rPr>
          <w:sz w:val="28"/>
          <w:szCs w:val="28"/>
          <w:lang w:val="en-US"/>
        </w:rPr>
        <w:t>ISBN</w:t>
      </w:r>
      <w:r w:rsidRPr="00B0086F">
        <w:rPr>
          <w:sz w:val="28"/>
          <w:szCs w:val="28"/>
        </w:rPr>
        <w:t xml:space="preserve"> 5-225-04560-Х</w:t>
      </w:r>
    </w:p>
    <w:sectPr w:rsidR="00454789" w:rsidRPr="00B0086F" w:rsidSect="00B0086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1E75" w14:textId="77777777" w:rsidR="004B1AD8" w:rsidRDefault="004B1AD8">
      <w:r>
        <w:separator/>
      </w:r>
    </w:p>
  </w:endnote>
  <w:endnote w:type="continuationSeparator" w:id="0">
    <w:p w14:paraId="42A37430" w14:textId="77777777" w:rsidR="004B1AD8" w:rsidRDefault="004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45B7" w14:textId="77777777" w:rsidR="00631EAA" w:rsidRDefault="00631EAA" w:rsidP="003752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A863E7" w14:textId="77777777" w:rsidR="00631EAA" w:rsidRDefault="00631EAA" w:rsidP="00631E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2409" w14:textId="77777777" w:rsidR="00631EAA" w:rsidRDefault="00631EAA" w:rsidP="003752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9D9">
      <w:rPr>
        <w:rStyle w:val="a5"/>
        <w:noProof/>
      </w:rPr>
      <w:t>2</w:t>
    </w:r>
    <w:r>
      <w:rPr>
        <w:rStyle w:val="a5"/>
      </w:rPr>
      <w:fldChar w:fldCharType="end"/>
    </w:r>
  </w:p>
  <w:p w14:paraId="495F6202" w14:textId="77777777" w:rsidR="00631EAA" w:rsidRDefault="00631EAA" w:rsidP="00631E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374D" w14:textId="77777777" w:rsidR="004B1AD8" w:rsidRDefault="004B1AD8">
      <w:r>
        <w:separator/>
      </w:r>
    </w:p>
  </w:footnote>
  <w:footnote w:type="continuationSeparator" w:id="0">
    <w:p w14:paraId="132D0510" w14:textId="77777777" w:rsidR="004B1AD8" w:rsidRDefault="004B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BFB5A8D"/>
    <w:multiLevelType w:val="hybridMultilevel"/>
    <w:tmpl w:val="225C812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59A02DB"/>
    <w:multiLevelType w:val="hybridMultilevel"/>
    <w:tmpl w:val="59242E8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76450D39"/>
    <w:multiLevelType w:val="hybridMultilevel"/>
    <w:tmpl w:val="D706B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08"/>
    <w:rsid w:val="0010675D"/>
    <w:rsid w:val="00235E9B"/>
    <w:rsid w:val="003752C3"/>
    <w:rsid w:val="003859D9"/>
    <w:rsid w:val="00454789"/>
    <w:rsid w:val="004B1AD8"/>
    <w:rsid w:val="005C1A6B"/>
    <w:rsid w:val="00631EAA"/>
    <w:rsid w:val="00991746"/>
    <w:rsid w:val="00A24427"/>
    <w:rsid w:val="00B0086F"/>
    <w:rsid w:val="00B05203"/>
    <w:rsid w:val="00B50A08"/>
    <w:rsid w:val="00D0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C7A607"/>
  <w14:defaultImageDpi w14:val="0"/>
  <w15:docId w15:val="{FF9220F5-558E-4E7A-B2D3-8E4D8130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A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50A08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link w:val="20"/>
    <w:uiPriority w:val="9"/>
    <w:qFormat/>
    <w:rsid w:val="005C1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50A08"/>
    <w:rPr>
      <w:rFonts w:cs="Times New Roman"/>
      <w:b/>
      <w:bCs/>
      <w:caps/>
      <w:color w:val="000000"/>
      <w:spacing w:val="-15"/>
      <w:sz w:val="94"/>
      <w:szCs w:val="9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631E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sid w:val="00631EAA"/>
    <w:rPr>
      <w:rFonts w:cs="Times New Roman"/>
    </w:rPr>
  </w:style>
  <w:style w:type="paragraph" w:styleId="a6">
    <w:name w:val="Normal (Web)"/>
    <w:basedOn w:val="a"/>
    <w:uiPriority w:val="99"/>
    <w:rsid w:val="005C1A6B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B008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08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12797</Characters>
  <Application>Microsoft Office Word</Application>
  <DocSecurity>0</DocSecurity>
  <Lines>106</Lines>
  <Paragraphs>30</Paragraphs>
  <ScaleCrop>false</ScaleCrop>
  <Company>Дом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АНЕСТЕЗИЯ У ПОЖИЛЫХ</dc:title>
  <dc:subject/>
  <dc:creator>Юля</dc:creator>
  <cp:keywords/>
  <dc:description/>
  <cp:lastModifiedBy>Igor</cp:lastModifiedBy>
  <cp:revision>2</cp:revision>
  <dcterms:created xsi:type="dcterms:W3CDTF">2025-03-29T21:21:00Z</dcterms:created>
  <dcterms:modified xsi:type="dcterms:W3CDTF">2025-03-29T21:21:00Z</dcterms:modified>
</cp:coreProperties>
</file>