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F194CD" w14:textId="77777777" w:rsidR="00381DDB" w:rsidRDefault="00381DDB">
      <w:pPr>
        <w:widowControl w:val="0"/>
        <w:tabs>
          <w:tab w:val="left" w:pos="1256"/>
        </w:tabs>
        <w:autoSpaceDE w:val="0"/>
        <w:autoSpaceDN w:val="0"/>
        <w:adjustRightInd w:val="0"/>
        <w:spacing w:before="240" w:line="360" w:lineRule="auto"/>
        <w:jc w:val="right"/>
      </w:pPr>
    </w:p>
    <w:p w14:paraId="3EE63CE9" w14:textId="77777777" w:rsidR="00381DDB" w:rsidRDefault="00381DDB">
      <w:pPr>
        <w:widowControl w:val="0"/>
        <w:tabs>
          <w:tab w:val="left" w:pos="1256"/>
        </w:tabs>
        <w:autoSpaceDE w:val="0"/>
        <w:autoSpaceDN w:val="0"/>
        <w:adjustRightInd w:val="0"/>
        <w:spacing w:before="240" w:line="360" w:lineRule="auto"/>
        <w:jc w:val="right"/>
      </w:pPr>
    </w:p>
    <w:p w14:paraId="21BB9894" w14:textId="77777777" w:rsidR="00381DDB" w:rsidRDefault="003712EA">
      <w:pPr>
        <w:widowControl w:val="0"/>
        <w:autoSpaceDE w:val="0"/>
        <w:autoSpaceDN w:val="0"/>
        <w:adjustRightInd w:val="0"/>
        <w:ind w:right="-567" w:firstLine="284"/>
        <w:jc w:val="center"/>
        <w:rPr>
          <w:rFonts w:ascii="Times New Roman CYR" w:hAnsi="Times New Roman CYR" w:cs="Times New Roman CYR"/>
          <w:b/>
          <w:bCs/>
          <w:sz w:val="28"/>
          <w:szCs w:val="28"/>
          <w:u w:val="single"/>
        </w:rPr>
      </w:pPr>
      <w:r>
        <w:rPr>
          <w:rFonts w:ascii="Times New Roman CYR" w:hAnsi="Times New Roman CYR" w:cs="Times New Roman CYR"/>
          <w:b/>
          <w:bCs/>
          <w:sz w:val="28"/>
          <w:szCs w:val="28"/>
          <w:u w:val="single"/>
        </w:rPr>
        <w:t>Оглавление.</w:t>
      </w:r>
    </w:p>
    <w:p w14:paraId="34D928C1" w14:textId="77777777" w:rsidR="00381DDB" w:rsidRDefault="003712EA">
      <w:pPr>
        <w:widowControl w:val="0"/>
        <w:autoSpaceDE w:val="0"/>
        <w:autoSpaceDN w:val="0"/>
        <w:adjustRightInd w:val="0"/>
        <w:ind w:right="-567"/>
        <w:jc w:val="both"/>
        <w:rPr>
          <w:sz w:val="28"/>
          <w:szCs w:val="28"/>
        </w:rPr>
      </w:pPr>
      <w:r>
        <w:rPr>
          <w:sz w:val="28"/>
          <w:szCs w:val="28"/>
        </w:rPr>
        <w:t xml:space="preserve">       </w:t>
      </w:r>
    </w:p>
    <w:p w14:paraId="09FD366E" w14:textId="77777777" w:rsidR="00381DDB" w:rsidRDefault="003712EA">
      <w:pPr>
        <w:widowControl w:val="0"/>
        <w:autoSpaceDE w:val="0"/>
        <w:autoSpaceDN w:val="0"/>
        <w:adjustRightInd w:val="0"/>
        <w:ind w:right="-567"/>
        <w:jc w:val="both"/>
        <w:rPr>
          <w:rFonts w:ascii="Times New Roman CYR" w:hAnsi="Times New Roman CYR" w:cs="Times New Roman CYR"/>
        </w:rPr>
      </w:pPr>
      <w:r>
        <w:rPr>
          <w:sz w:val="28"/>
          <w:szCs w:val="28"/>
        </w:rPr>
        <w:t xml:space="preserve">                                                                                                                            </w:t>
      </w:r>
      <w:r>
        <w:rPr>
          <w:rFonts w:ascii="Times New Roman CYR" w:hAnsi="Times New Roman CYR" w:cs="Times New Roman CYR"/>
        </w:rPr>
        <w:t xml:space="preserve">Стр. </w:t>
      </w:r>
    </w:p>
    <w:p w14:paraId="521DC3EC" w14:textId="77777777" w:rsidR="00381DDB" w:rsidRDefault="00381DDB">
      <w:pPr>
        <w:widowControl w:val="0"/>
        <w:autoSpaceDE w:val="0"/>
        <w:autoSpaceDN w:val="0"/>
        <w:adjustRightInd w:val="0"/>
        <w:ind w:right="-567"/>
        <w:jc w:val="both"/>
        <w:rPr>
          <w:sz w:val="28"/>
          <w:szCs w:val="28"/>
        </w:rPr>
      </w:pPr>
    </w:p>
    <w:p w14:paraId="5AF203C8" w14:textId="77777777" w:rsidR="00381DDB" w:rsidRDefault="003712EA">
      <w:pPr>
        <w:widowControl w:val="0"/>
        <w:tabs>
          <w:tab w:val="left" w:pos="644"/>
        </w:tabs>
        <w:autoSpaceDE w:val="0"/>
        <w:autoSpaceDN w:val="0"/>
        <w:adjustRightInd w:val="0"/>
        <w:ind w:left="644" w:right="-567" w:hanging="360"/>
        <w:jc w:val="both"/>
      </w:pPr>
      <w:r>
        <w:t>1.</w:t>
      </w:r>
      <w:r>
        <w:tab/>
      </w:r>
      <w:r>
        <w:rPr>
          <w:rFonts w:ascii="Times New Roman CYR" w:hAnsi="Times New Roman CYR" w:cs="Times New Roman CYR"/>
        </w:rPr>
        <w:t xml:space="preserve">Введение.                                                                                              </w:t>
      </w:r>
      <w:r>
        <w:t xml:space="preserve">                           3</w:t>
      </w:r>
    </w:p>
    <w:p w14:paraId="118801B3" w14:textId="77777777" w:rsidR="00381DDB" w:rsidRDefault="003712EA">
      <w:pPr>
        <w:widowControl w:val="0"/>
        <w:tabs>
          <w:tab w:val="left" w:pos="644"/>
        </w:tabs>
        <w:autoSpaceDE w:val="0"/>
        <w:autoSpaceDN w:val="0"/>
        <w:adjustRightInd w:val="0"/>
        <w:ind w:left="644" w:right="-567" w:hanging="360"/>
        <w:jc w:val="both"/>
        <w:rPr>
          <w:rFonts w:ascii="Times New Roman CYR" w:hAnsi="Times New Roman CYR" w:cs="Times New Roman CYR"/>
        </w:rPr>
      </w:pPr>
      <w:r>
        <w:t>2.</w:t>
      </w:r>
      <w:r>
        <w:tab/>
      </w:r>
      <w:r>
        <w:rPr>
          <w:rFonts w:ascii="Times New Roman CYR" w:hAnsi="Times New Roman CYR" w:cs="Times New Roman CYR"/>
        </w:rPr>
        <w:t>Бальнеология. Понятия и определения.                                                                        5</w:t>
      </w:r>
    </w:p>
    <w:p w14:paraId="29B5F50A" w14:textId="77777777" w:rsidR="00381DDB" w:rsidRDefault="003712EA">
      <w:pPr>
        <w:widowControl w:val="0"/>
        <w:tabs>
          <w:tab w:val="left" w:pos="644"/>
        </w:tabs>
        <w:autoSpaceDE w:val="0"/>
        <w:autoSpaceDN w:val="0"/>
        <w:adjustRightInd w:val="0"/>
        <w:ind w:left="644" w:right="-567" w:hanging="360"/>
        <w:jc w:val="both"/>
        <w:rPr>
          <w:rFonts w:ascii="Times New Roman CYR" w:hAnsi="Times New Roman CYR" w:cs="Times New Roman CYR"/>
        </w:rPr>
      </w:pPr>
      <w:r>
        <w:t>3.</w:t>
      </w:r>
      <w:r>
        <w:tab/>
      </w:r>
      <w:r>
        <w:rPr>
          <w:rFonts w:ascii="Times New Roman CYR" w:hAnsi="Times New Roman CYR" w:cs="Times New Roman CYR"/>
        </w:rPr>
        <w:t>История развития бальнеологии.                                                                                   7</w:t>
      </w:r>
    </w:p>
    <w:p w14:paraId="44863F46" w14:textId="77777777" w:rsidR="00381DDB" w:rsidRDefault="003712EA">
      <w:pPr>
        <w:widowControl w:val="0"/>
        <w:tabs>
          <w:tab w:val="left" w:pos="644"/>
        </w:tabs>
        <w:autoSpaceDE w:val="0"/>
        <w:autoSpaceDN w:val="0"/>
        <w:adjustRightInd w:val="0"/>
        <w:ind w:left="644" w:right="-567" w:hanging="360"/>
        <w:jc w:val="both"/>
        <w:rPr>
          <w:rFonts w:ascii="Times New Roman CYR" w:hAnsi="Times New Roman CYR" w:cs="Times New Roman CYR"/>
        </w:rPr>
      </w:pPr>
      <w:r>
        <w:t>4.</w:t>
      </w:r>
      <w:r>
        <w:tab/>
      </w:r>
      <w:r>
        <w:rPr>
          <w:rFonts w:ascii="Times New Roman CYR" w:hAnsi="Times New Roman CYR" w:cs="Times New Roman CYR"/>
        </w:rPr>
        <w:t xml:space="preserve">Лечебные минеральные воды Российской Федерации.                                               </w:t>
      </w:r>
    </w:p>
    <w:p w14:paraId="6D363492" w14:textId="77777777" w:rsidR="00381DDB" w:rsidRDefault="003712EA">
      <w:pPr>
        <w:widowControl w:val="0"/>
        <w:autoSpaceDE w:val="0"/>
        <w:autoSpaceDN w:val="0"/>
        <w:adjustRightInd w:val="0"/>
        <w:ind w:left="284" w:right="-567"/>
        <w:jc w:val="both"/>
        <w:rPr>
          <w:rFonts w:ascii="Times New Roman CYR" w:hAnsi="Times New Roman CYR" w:cs="Times New Roman CYR"/>
        </w:rPr>
      </w:pPr>
      <w:r>
        <w:rPr>
          <w:rFonts w:ascii="Times New Roman CYR" w:hAnsi="Times New Roman CYR" w:cs="Times New Roman CYR"/>
        </w:rPr>
        <w:t>Особенности состава, критерии оценки и принципы деления.                                        10</w:t>
      </w:r>
    </w:p>
    <w:p w14:paraId="538BC491" w14:textId="77777777" w:rsidR="00381DDB" w:rsidRDefault="003712EA">
      <w:pPr>
        <w:widowControl w:val="0"/>
        <w:tabs>
          <w:tab w:val="left" w:pos="1140"/>
        </w:tabs>
        <w:autoSpaceDE w:val="0"/>
        <w:autoSpaceDN w:val="0"/>
        <w:adjustRightInd w:val="0"/>
        <w:ind w:left="1140" w:right="-567" w:hanging="420"/>
        <w:jc w:val="both"/>
        <w:rPr>
          <w:rFonts w:ascii="Times New Roman CYR" w:hAnsi="Times New Roman CYR" w:cs="Times New Roman CYR"/>
        </w:rPr>
      </w:pPr>
      <w:r>
        <w:t>4.1</w:t>
      </w:r>
      <w:r>
        <w:tab/>
      </w:r>
      <w:r>
        <w:rPr>
          <w:rFonts w:ascii="Times New Roman CYR" w:hAnsi="Times New Roman CYR" w:cs="Times New Roman CYR"/>
        </w:rPr>
        <w:t>Газовый состав.</w:t>
      </w:r>
    </w:p>
    <w:p w14:paraId="3400CE83" w14:textId="77777777" w:rsidR="00381DDB" w:rsidRDefault="003712EA">
      <w:pPr>
        <w:widowControl w:val="0"/>
        <w:tabs>
          <w:tab w:val="left" w:pos="1140"/>
        </w:tabs>
        <w:autoSpaceDE w:val="0"/>
        <w:autoSpaceDN w:val="0"/>
        <w:adjustRightInd w:val="0"/>
        <w:ind w:left="1140" w:right="-567" w:hanging="420"/>
        <w:jc w:val="both"/>
        <w:rPr>
          <w:rFonts w:ascii="Times New Roman CYR" w:hAnsi="Times New Roman CYR" w:cs="Times New Roman CYR"/>
        </w:rPr>
      </w:pPr>
      <w:r>
        <w:t>4.2</w:t>
      </w:r>
      <w:r>
        <w:tab/>
      </w:r>
      <w:r>
        <w:rPr>
          <w:rFonts w:ascii="Times New Roman CYR" w:hAnsi="Times New Roman CYR" w:cs="Times New Roman CYR"/>
        </w:rPr>
        <w:t>Степень газонасыщенности.</w:t>
      </w:r>
    </w:p>
    <w:p w14:paraId="1DFF3748" w14:textId="77777777" w:rsidR="00381DDB" w:rsidRDefault="003712EA">
      <w:pPr>
        <w:widowControl w:val="0"/>
        <w:tabs>
          <w:tab w:val="left" w:pos="1140"/>
        </w:tabs>
        <w:autoSpaceDE w:val="0"/>
        <w:autoSpaceDN w:val="0"/>
        <w:adjustRightInd w:val="0"/>
        <w:ind w:left="1140" w:right="-567" w:hanging="420"/>
        <w:jc w:val="both"/>
        <w:rPr>
          <w:rFonts w:ascii="Times New Roman CYR" w:hAnsi="Times New Roman CYR" w:cs="Times New Roman CYR"/>
        </w:rPr>
      </w:pPr>
      <w:r>
        <w:t>4.3</w:t>
      </w:r>
      <w:r>
        <w:tab/>
      </w:r>
      <w:r>
        <w:rPr>
          <w:rFonts w:ascii="Times New Roman CYR" w:hAnsi="Times New Roman CYR" w:cs="Times New Roman CYR"/>
        </w:rPr>
        <w:t>Ионный состав.</w:t>
      </w:r>
    </w:p>
    <w:p w14:paraId="62F887C4" w14:textId="77777777" w:rsidR="00381DDB" w:rsidRDefault="003712EA">
      <w:pPr>
        <w:widowControl w:val="0"/>
        <w:tabs>
          <w:tab w:val="left" w:pos="1140"/>
        </w:tabs>
        <w:autoSpaceDE w:val="0"/>
        <w:autoSpaceDN w:val="0"/>
        <w:adjustRightInd w:val="0"/>
        <w:ind w:left="1140" w:right="-567" w:hanging="420"/>
        <w:jc w:val="both"/>
        <w:rPr>
          <w:rFonts w:ascii="Times New Roman CYR" w:hAnsi="Times New Roman CYR" w:cs="Times New Roman CYR"/>
        </w:rPr>
      </w:pPr>
      <w:r>
        <w:t>4.4</w:t>
      </w:r>
      <w:r>
        <w:tab/>
      </w:r>
      <w:r>
        <w:rPr>
          <w:rFonts w:ascii="Times New Roman CYR" w:hAnsi="Times New Roman CYR" w:cs="Times New Roman CYR"/>
        </w:rPr>
        <w:t>Общая минерализация.</w:t>
      </w:r>
    </w:p>
    <w:p w14:paraId="737D5666" w14:textId="77777777" w:rsidR="00381DDB" w:rsidRDefault="003712EA">
      <w:pPr>
        <w:widowControl w:val="0"/>
        <w:tabs>
          <w:tab w:val="left" w:pos="1140"/>
        </w:tabs>
        <w:autoSpaceDE w:val="0"/>
        <w:autoSpaceDN w:val="0"/>
        <w:adjustRightInd w:val="0"/>
        <w:ind w:left="1140" w:right="-567" w:hanging="420"/>
        <w:jc w:val="both"/>
        <w:rPr>
          <w:rFonts w:ascii="Times New Roman CYR" w:hAnsi="Times New Roman CYR" w:cs="Times New Roman CYR"/>
        </w:rPr>
      </w:pPr>
      <w:r>
        <w:t>4.5</w:t>
      </w:r>
      <w:r>
        <w:tab/>
      </w:r>
      <w:r>
        <w:rPr>
          <w:rFonts w:ascii="Times New Roman CYR" w:hAnsi="Times New Roman CYR" w:cs="Times New Roman CYR"/>
        </w:rPr>
        <w:t>Содержание биологически активных веществ.</w:t>
      </w:r>
    </w:p>
    <w:p w14:paraId="2A686BFC" w14:textId="77777777" w:rsidR="00381DDB" w:rsidRDefault="003712EA">
      <w:pPr>
        <w:widowControl w:val="0"/>
        <w:tabs>
          <w:tab w:val="left" w:pos="1140"/>
        </w:tabs>
        <w:autoSpaceDE w:val="0"/>
        <w:autoSpaceDN w:val="0"/>
        <w:adjustRightInd w:val="0"/>
        <w:ind w:left="1140" w:right="-567" w:hanging="420"/>
        <w:jc w:val="both"/>
        <w:rPr>
          <w:rFonts w:ascii="Times New Roman CYR" w:hAnsi="Times New Roman CYR" w:cs="Times New Roman CYR"/>
        </w:rPr>
      </w:pPr>
      <w:r>
        <w:t>4.6</w:t>
      </w:r>
      <w:r>
        <w:tab/>
      </w:r>
      <w:r>
        <w:rPr>
          <w:rFonts w:ascii="Times New Roman CYR" w:hAnsi="Times New Roman CYR" w:cs="Times New Roman CYR"/>
        </w:rPr>
        <w:t>Температура.</w:t>
      </w:r>
    </w:p>
    <w:p w14:paraId="03036FCD" w14:textId="77777777" w:rsidR="00381DDB" w:rsidRDefault="003712EA">
      <w:pPr>
        <w:widowControl w:val="0"/>
        <w:tabs>
          <w:tab w:val="left" w:pos="1140"/>
        </w:tabs>
        <w:autoSpaceDE w:val="0"/>
        <w:autoSpaceDN w:val="0"/>
        <w:adjustRightInd w:val="0"/>
        <w:ind w:left="1140" w:right="-567" w:hanging="420"/>
        <w:jc w:val="both"/>
        <w:rPr>
          <w:rFonts w:ascii="Times New Roman CYR" w:hAnsi="Times New Roman CYR" w:cs="Times New Roman CYR"/>
        </w:rPr>
      </w:pPr>
      <w:r>
        <w:t>4.7</w:t>
      </w:r>
      <w:r>
        <w:tab/>
      </w:r>
      <w:r>
        <w:rPr>
          <w:rFonts w:ascii="Times New Roman CYR" w:hAnsi="Times New Roman CYR" w:cs="Times New Roman CYR"/>
        </w:rPr>
        <w:t>Радиоактивность.</w:t>
      </w:r>
    </w:p>
    <w:p w14:paraId="35E4C95D" w14:textId="77777777" w:rsidR="00381DDB" w:rsidRDefault="003712EA">
      <w:pPr>
        <w:widowControl w:val="0"/>
        <w:tabs>
          <w:tab w:val="left" w:pos="1140"/>
        </w:tabs>
        <w:autoSpaceDE w:val="0"/>
        <w:autoSpaceDN w:val="0"/>
        <w:adjustRightInd w:val="0"/>
        <w:ind w:left="1140" w:right="-567" w:hanging="420"/>
        <w:jc w:val="both"/>
        <w:rPr>
          <w:rFonts w:ascii="Times New Roman CYR" w:hAnsi="Times New Roman CYR" w:cs="Times New Roman CYR"/>
        </w:rPr>
      </w:pPr>
      <w:r>
        <w:t>4.8</w:t>
      </w:r>
      <w:r>
        <w:tab/>
      </w:r>
      <w:r>
        <w:rPr>
          <w:rFonts w:ascii="Times New Roman CYR" w:hAnsi="Times New Roman CYR" w:cs="Times New Roman CYR"/>
        </w:rPr>
        <w:t>Кислотность-щелочность.</w:t>
      </w:r>
    </w:p>
    <w:p w14:paraId="250DCFFA" w14:textId="77777777" w:rsidR="00381DDB" w:rsidRDefault="003712EA">
      <w:pPr>
        <w:widowControl w:val="0"/>
        <w:tabs>
          <w:tab w:val="left" w:pos="644"/>
        </w:tabs>
        <w:autoSpaceDE w:val="0"/>
        <w:autoSpaceDN w:val="0"/>
        <w:adjustRightInd w:val="0"/>
        <w:ind w:left="644" w:right="-567" w:hanging="360"/>
        <w:jc w:val="both"/>
        <w:rPr>
          <w:rFonts w:ascii="Times New Roman CYR" w:hAnsi="Times New Roman CYR" w:cs="Times New Roman CYR"/>
        </w:rPr>
      </w:pPr>
      <w:r>
        <w:t>5.</w:t>
      </w:r>
      <w:r>
        <w:tab/>
      </w:r>
      <w:r>
        <w:rPr>
          <w:rFonts w:ascii="Times New Roman CYR" w:hAnsi="Times New Roman CYR" w:cs="Times New Roman CYR"/>
        </w:rPr>
        <w:t>Основные методы бальнеологического лечения и их применение.                          15</w:t>
      </w:r>
    </w:p>
    <w:p w14:paraId="1DF07679" w14:textId="77777777" w:rsidR="00381DDB" w:rsidRDefault="003712EA">
      <w:pPr>
        <w:widowControl w:val="0"/>
        <w:tabs>
          <w:tab w:val="left" w:pos="1140"/>
        </w:tabs>
        <w:autoSpaceDE w:val="0"/>
        <w:autoSpaceDN w:val="0"/>
        <w:adjustRightInd w:val="0"/>
        <w:ind w:left="1140" w:right="-567" w:hanging="420"/>
        <w:jc w:val="both"/>
        <w:rPr>
          <w:rFonts w:ascii="Times New Roman CYR" w:hAnsi="Times New Roman CYR" w:cs="Times New Roman CYR"/>
        </w:rPr>
      </w:pPr>
      <w:r>
        <w:t>5.1</w:t>
      </w:r>
      <w:r>
        <w:tab/>
      </w:r>
      <w:r>
        <w:rPr>
          <w:rFonts w:ascii="Times New Roman CYR" w:hAnsi="Times New Roman CYR" w:cs="Times New Roman CYR"/>
        </w:rPr>
        <w:t>Ванны.</w:t>
      </w:r>
    </w:p>
    <w:p w14:paraId="2CFDD2D4" w14:textId="77777777" w:rsidR="00381DDB" w:rsidRDefault="003712EA">
      <w:pPr>
        <w:widowControl w:val="0"/>
        <w:tabs>
          <w:tab w:val="left" w:pos="1140"/>
        </w:tabs>
        <w:autoSpaceDE w:val="0"/>
        <w:autoSpaceDN w:val="0"/>
        <w:adjustRightInd w:val="0"/>
        <w:ind w:left="1140" w:right="-567" w:hanging="420"/>
        <w:jc w:val="both"/>
        <w:rPr>
          <w:rFonts w:ascii="Times New Roman CYR" w:hAnsi="Times New Roman CYR" w:cs="Times New Roman CYR"/>
        </w:rPr>
      </w:pPr>
      <w:r>
        <w:t>5.2</w:t>
      </w:r>
      <w:r>
        <w:tab/>
      </w:r>
      <w:r>
        <w:rPr>
          <w:rFonts w:ascii="Times New Roman CYR" w:hAnsi="Times New Roman CYR" w:cs="Times New Roman CYR"/>
        </w:rPr>
        <w:t>Купания.</w:t>
      </w:r>
    </w:p>
    <w:p w14:paraId="208DE4D0" w14:textId="77777777" w:rsidR="00381DDB" w:rsidRDefault="003712EA">
      <w:pPr>
        <w:widowControl w:val="0"/>
        <w:tabs>
          <w:tab w:val="left" w:pos="1140"/>
        </w:tabs>
        <w:autoSpaceDE w:val="0"/>
        <w:autoSpaceDN w:val="0"/>
        <w:adjustRightInd w:val="0"/>
        <w:ind w:left="1140" w:right="-567" w:hanging="420"/>
        <w:jc w:val="both"/>
        <w:rPr>
          <w:rFonts w:ascii="Times New Roman CYR" w:hAnsi="Times New Roman CYR" w:cs="Times New Roman CYR"/>
        </w:rPr>
      </w:pPr>
      <w:r>
        <w:t>5.3</w:t>
      </w:r>
      <w:r>
        <w:tab/>
      </w:r>
      <w:r>
        <w:rPr>
          <w:rFonts w:ascii="Times New Roman CYR" w:hAnsi="Times New Roman CYR" w:cs="Times New Roman CYR"/>
        </w:rPr>
        <w:t>Промывания и орошения.</w:t>
      </w:r>
    </w:p>
    <w:p w14:paraId="7E8FB236" w14:textId="77777777" w:rsidR="00381DDB" w:rsidRDefault="003712EA">
      <w:pPr>
        <w:widowControl w:val="0"/>
        <w:tabs>
          <w:tab w:val="left" w:pos="1140"/>
        </w:tabs>
        <w:autoSpaceDE w:val="0"/>
        <w:autoSpaceDN w:val="0"/>
        <w:adjustRightInd w:val="0"/>
        <w:ind w:left="1140" w:right="-567" w:hanging="420"/>
        <w:jc w:val="both"/>
        <w:rPr>
          <w:rFonts w:ascii="Times New Roman CYR" w:hAnsi="Times New Roman CYR" w:cs="Times New Roman CYR"/>
        </w:rPr>
      </w:pPr>
      <w:r>
        <w:t>5.4</w:t>
      </w:r>
      <w:r>
        <w:tab/>
      </w:r>
      <w:r>
        <w:rPr>
          <w:rFonts w:ascii="Times New Roman CYR" w:hAnsi="Times New Roman CYR" w:cs="Times New Roman CYR"/>
        </w:rPr>
        <w:t>Питьевое лечение.</w:t>
      </w:r>
    </w:p>
    <w:p w14:paraId="69B4B9BA" w14:textId="77777777" w:rsidR="00381DDB" w:rsidRDefault="003712EA">
      <w:pPr>
        <w:widowControl w:val="0"/>
        <w:tabs>
          <w:tab w:val="left" w:pos="1140"/>
        </w:tabs>
        <w:autoSpaceDE w:val="0"/>
        <w:autoSpaceDN w:val="0"/>
        <w:adjustRightInd w:val="0"/>
        <w:ind w:left="1140" w:right="-567" w:hanging="420"/>
        <w:jc w:val="both"/>
        <w:rPr>
          <w:rFonts w:ascii="Times New Roman CYR" w:hAnsi="Times New Roman CYR" w:cs="Times New Roman CYR"/>
        </w:rPr>
      </w:pPr>
      <w:r>
        <w:t>5.5</w:t>
      </w:r>
      <w:r>
        <w:tab/>
      </w:r>
      <w:r>
        <w:rPr>
          <w:rFonts w:ascii="Times New Roman CYR" w:hAnsi="Times New Roman CYR" w:cs="Times New Roman CYR"/>
        </w:rPr>
        <w:t>Ингаляции.</w:t>
      </w:r>
    </w:p>
    <w:p w14:paraId="5545F501" w14:textId="77777777" w:rsidR="00381DDB" w:rsidRDefault="003712EA">
      <w:pPr>
        <w:widowControl w:val="0"/>
        <w:tabs>
          <w:tab w:val="left" w:pos="644"/>
        </w:tabs>
        <w:autoSpaceDE w:val="0"/>
        <w:autoSpaceDN w:val="0"/>
        <w:adjustRightInd w:val="0"/>
        <w:ind w:left="644" w:right="-567" w:hanging="360"/>
        <w:jc w:val="both"/>
        <w:rPr>
          <w:rFonts w:ascii="Times New Roman CYR" w:hAnsi="Times New Roman CYR" w:cs="Times New Roman CYR"/>
        </w:rPr>
      </w:pPr>
      <w:r>
        <w:t>6.</w:t>
      </w:r>
      <w:r>
        <w:tab/>
      </w:r>
      <w:r>
        <w:rPr>
          <w:rFonts w:ascii="Times New Roman CYR" w:hAnsi="Times New Roman CYR" w:cs="Times New Roman CYR"/>
        </w:rPr>
        <w:t>Бальнеологические курорты Российской Федерации.                                                20</w:t>
      </w:r>
    </w:p>
    <w:p w14:paraId="77D4F86F" w14:textId="77777777" w:rsidR="00381DDB" w:rsidRDefault="003712EA">
      <w:pPr>
        <w:widowControl w:val="0"/>
        <w:tabs>
          <w:tab w:val="left" w:pos="1140"/>
        </w:tabs>
        <w:autoSpaceDE w:val="0"/>
        <w:autoSpaceDN w:val="0"/>
        <w:adjustRightInd w:val="0"/>
        <w:ind w:left="1140" w:right="-567" w:hanging="420"/>
        <w:jc w:val="both"/>
        <w:rPr>
          <w:rFonts w:ascii="Times New Roman CYR" w:hAnsi="Times New Roman CYR" w:cs="Times New Roman CYR"/>
        </w:rPr>
      </w:pPr>
      <w:r>
        <w:t>6.1</w:t>
      </w:r>
      <w:r>
        <w:tab/>
      </w:r>
      <w:r>
        <w:rPr>
          <w:rFonts w:ascii="Times New Roman CYR" w:hAnsi="Times New Roman CYR" w:cs="Times New Roman CYR"/>
        </w:rPr>
        <w:t>Ессентуки.</w:t>
      </w:r>
    </w:p>
    <w:p w14:paraId="404BA8B2" w14:textId="77777777" w:rsidR="00381DDB" w:rsidRDefault="003712EA">
      <w:pPr>
        <w:widowControl w:val="0"/>
        <w:tabs>
          <w:tab w:val="left" w:pos="1140"/>
        </w:tabs>
        <w:autoSpaceDE w:val="0"/>
        <w:autoSpaceDN w:val="0"/>
        <w:adjustRightInd w:val="0"/>
        <w:ind w:left="1140" w:right="-567" w:hanging="420"/>
        <w:jc w:val="both"/>
        <w:rPr>
          <w:rFonts w:ascii="Times New Roman CYR" w:hAnsi="Times New Roman CYR" w:cs="Times New Roman CYR"/>
        </w:rPr>
      </w:pPr>
      <w:r>
        <w:t>6.2</w:t>
      </w:r>
      <w:r>
        <w:tab/>
      </w:r>
      <w:r>
        <w:rPr>
          <w:rFonts w:ascii="Times New Roman CYR" w:hAnsi="Times New Roman CYR" w:cs="Times New Roman CYR"/>
        </w:rPr>
        <w:t>Кисловодск.</w:t>
      </w:r>
    </w:p>
    <w:p w14:paraId="31937D92" w14:textId="77777777" w:rsidR="00381DDB" w:rsidRDefault="003712EA">
      <w:pPr>
        <w:widowControl w:val="0"/>
        <w:tabs>
          <w:tab w:val="left" w:pos="1140"/>
        </w:tabs>
        <w:autoSpaceDE w:val="0"/>
        <w:autoSpaceDN w:val="0"/>
        <w:adjustRightInd w:val="0"/>
        <w:ind w:left="1140" w:right="-567" w:hanging="420"/>
        <w:jc w:val="both"/>
        <w:rPr>
          <w:rFonts w:ascii="Times New Roman CYR" w:hAnsi="Times New Roman CYR" w:cs="Times New Roman CYR"/>
        </w:rPr>
      </w:pPr>
      <w:r>
        <w:t>6.3</w:t>
      </w:r>
      <w:r>
        <w:tab/>
      </w:r>
      <w:r>
        <w:rPr>
          <w:rFonts w:ascii="Times New Roman CYR" w:hAnsi="Times New Roman CYR" w:cs="Times New Roman CYR"/>
        </w:rPr>
        <w:t>Железноводск.</w:t>
      </w:r>
    </w:p>
    <w:p w14:paraId="024519C4" w14:textId="77777777" w:rsidR="00381DDB" w:rsidRDefault="003712EA">
      <w:pPr>
        <w:widowControl w:val="0"/>
        <w:tabs>
          <w:tab w:val="left" w:pos="1140"/>
        </w:tabs>
        <w:autoSpaceDE w:val="0"/>
        <w:autoSpaceDN w:val="0"/>
        <w:adjustRightInd w:val="0"/>
        <w:ind w:left="1140" w:right="-567" w:hanging="420"/>
        <w:jc w:val="both"/>
        <w:rPr>
          <w:rFonts w:ascii="Times New Roman CYR" w:hAnsi="Times New Roman CYR" w:cs="Times New Roman CYR"/>
        </w:rPr>
      </w:pPr>
      <w:r>
        <w:t>6.4</w:t>
      </w:r>
      <w:r>
        <w:tab/>
      </w:r>
      <w:r>
        <w:rPr>
          <w:rFonts w:ascii="Times New Roman CYR" w:hAnsi="Times New Roman CYR" w:cs="Times New Roman CYR"/>
        </w:rPr>
        <w:t>Пятигорск.</w:t>
      </w:r>
    </w:p>
    <w:p w14:paraId="2FFA31DF" w14:textId="77777777" w:rsidR="00381DDB" w:rsidRDefault="003712EA">
      <w:pPr>
        <w:widowControl w:val="0"/>
        <w:tabs>
          <w:tab w:val="left" w:pos="1140"/>
        </w:tabs>
        <w:autoSpaceDE w:val="0"/>
        <w:autoSpaceDN w:val="0"/>
        <w:adjustRightInd w:val="0"/>
        <w:ind w:left="1140" w:right="-567" w:hanging="420"/>
        <w:jc w:val="both"/>
        <w:rPr>
          <w:rFonts w:ascii="Times New Roman CYR" w:hAnsi="Times New Roman CYR" w:cs="Times New Roman CYR"/>
        </w:rPr>
      </w:pPr>
      <w:r>
        <w:t>6.5</w:t>
      </w:r>
      <w:r>
        <w:tab/>
      </w:r>
      <w:r>
        <w:rPr>
          <w:rFonts w:ascii="Times New Roman CYR" w:hAnsi="Times New Roman CYR" w:cs="Times New Roman CYR"/>
        </w:rPr>
        <w:t>Горячий Ключ.</w:t>
      </w:r>
    </w:p>
    <w:p w14:paraId="2C57FE4C" w14:textId="77777777" w:rsidR="00381DDB" w:rsidRDefault="003712EA">
      <w:pPr>
        <w:widowControl w:val="0"/>
        <w:tabs>
          <w:tab w:val="left" w:pos="1140"/>
        </w:tabs>
        <w:autoSpaceDE w:val="0"/>
        <w:autoSpaceDN w:val="0"/>
        <w:adjustRightInd w:val="0"/>
        <w:ind w:left="1140" w:right="-567" w:hanging="420"/>
        <w:jc w:val="both"/>
        <w:rPr>
          <w:rFonts w:ascii="Times New Roman CYR" w:hAnsi="Times New Roman CYR" w:cs="Times New Roman CYR"/>
        </w:rPr>
      </w:pPr>
      <w:r>
        <w:t>6.6</w:t>
      </w:r>
      <w:r>
        <w:tab/>
      </w:r>
      <w:r>
        <w:rPr>
          <w:rFonts w:ascii="Times New Roman CYR" w:hAnsi="Times New Roman CYR" w:cs="Times New Roman CYR"/>
        </w:rPr>
        <w:t>Краинка.</w:t>
      </w:r>
    </w:p>
    <w:p w14:paraId="46C382A0" w14:textId="77777777" w:rsidR="00381DDB" w:rsidRDefault="003712EA">
      <w:pPr>
        <w:widowControl w:val="0"/>
        <w:tabs>
          <w:tab w:val="left" w:pos="1140"/>
        </w:tabs>
        <w:autoSpaceDE w:val="0"/>
        <w:autoSpaceDN w:val="0"/>
        <w:adjustRightInd w:val="0"/>
        <w:ind w:left="1140" w:right="-567" w:hanging="420"/>
        <w:jc w:val="both"/>
        <w:rPr>
          <w:rFonts w:ascii="Times New Roman CYR" w:hAnsi="Times New Roman CYR" w:cs="Times New Roman CYR"/>
        </w:rPr>
      </w:pPr>
      <w:r>
        <w:t>6.7</w:t>
      </w:r>
      <w:r>
        <w:tab/>
      </w:r>
      <w:r>
        <w:rPr>
          <w:rFonts w:ascii="Times New Roman CYR" w:hAnsi="Times New Roman CYR" w:cs="Times New Roman CYR"/>
        </w:rPr>
        <w:t>Анапа.</w:t>
      </w:r>
    </w:p>
    <w:p w14:paraId="557705DF" w14:textId="77777777" w:rsidR="00381DDB" w:rsidRDefault="003712EA">
      <w:pPr>
        <w:widowControl w:val="0"/>
        <w:tabs>
          <w:tab w:val="left" w:pos="1140"/>
        </w:tabs>
        <w:autoSpaceDE w:val="0"/>
        <w:autoSpaceDN w:val="0"/>
        <w:adjustRightInd w:val="0"/>
        <w:ind w:left="1140" w:right="-567" w:hanging="420"/>
        <w:jc w:val="both"/>
        <w:rPr>
          <w:rFonts w:ascii="Times New Roman CYR" w:hAnsi="Times New Roman CYR" w:cs="Times New Roman CYR"/>
        </w:rPr>
      </w:pPr>
      <w:r>
        <w:t>6.8</w:t>
      </w:r>
      <w:r>
        <w:tab/>
      </w:r>
      <w:r>
        <w:rPr>
          <w:rFonts w:ascii="Times New Roman CYR" w:hAnsi="Times New Roman CYR" w:cs="Times New Roman CYR"/>
        </w:rPr>
        <w:t>Минеральные воды.</w:t>
      </w:r>
    </w:p>
    <w:p w14:paraId="52291C5E" w14:textId="77777777" w:rsidR="00381DDB" w:rsidRDefault="003712EA">
      <w:pPr>
        <w:widowControl w:val="0"/>
        <w:tabs>
          <w:tab w:val="left" w:pos="644"/>
        </w:tabs>
        <w:autoSpaceDE w:val="0"/>
        <w:autoSpaceDN w:val="0"/>
        <w:adjustRightInd w:val="0"/>
        <w:ind w:left="644" w:right="-567" w:hanging="360"/>
        <w:jc w:val="both"/>
        <w:rPr>
          <w:rFonts w:ascii="Times New Roman CYR" w:hAnsi="Times New Roman CYR" w:cs="Times New Roman CYR"/>
        </w:rPr>
      </w:pPr>
      <w:r>
        <w:t>7.</w:t>
      </w:r>
      <w:r>
        <w:tab/>
      </w:r>
      <w:r>
        <w:rPr>
          <w:rFonts w:ascii="Times New Roman CYR" w:hAnsi="Times New Roman CYR" w:cs="Times New Roman CYR"/>
        </w:rPr>
        <w:t>Заключение.                                                                                                                    26</w:t>
      </w:r>
    </w:p>
    <w:p w14:paraId="0E32329F" w14:textId="77777777" w:rsidR="00381DDB" w:rsidRDefault="003712EA">
      <w:pPr>
        <w:widowControl w:val="0"/>
        <w:autoSpaceDE w:val="0"/>
        <w:autoSpaceDN w:val="0"/>
        <w:adjustRightInd w:val="0"/>
        <w:spacing w:before="120"/>
        <w:ind w:left="284" w:right="-567"/>
        <w:jc w:val="both"/>
        <w:rPr>
          <w:rFonts w:ascii="Times New Roman CYR" w:hAnsi="Times New Roman CYR" w:cs="Times New Roman CYR"/>
        </w:rPr>
      </w:pPr>
      <w:r>
        <w:rPr>
          <w:rFonts w:ascii="Times New Roman CYR" w:hAnsi="Times New Roman CYR" w:cs="Times New Roman CYR"/>
        </w:rPr>
        <w:t>Литература.                                                                                                                           28</w:t>
      </w:r>
    </w:p>
    <w:p w14:paraId="36CCA387" w14:textId="77777777" w:rsidR="00381DDB" w:rsidRDefault="003712EA">
      <w:pPr>
        <w:widowControl w:val="0"/>
        <w:autoSpaceDE w:val="0"/>
        <w:autoSpaceDN w:val="0"/>
        <w:adjustRightInd w:val="0"/>
        <w:spacing w:before="120" w:after="120"/>
        <w:ind w:left="284" w:right="-567"/>
        <w:jc w:val="both"/>
        <w:rPr>
          <w:rFonts w:ascii="Times New Roman CYR" w:hAnsi="Times New Roman CYR" w:cs="Times New Roman CYR"/>
        </w:rPr>
      </w:pPr>
      <w:r>
        <w:rPr>
          <w:rFonts w:ascii="Times New Roman CYR" w:hAnsi="Times New Roman CYR" w:cs="Times New Roman CYR"/>
        </w:rPr>
        <w:t>Приложение.</w:t>
      </w:r>
    </w:p>
    <w:p w14:paraId="63AA3A7F" w14:textId="77777777" w:rsidR="00381DDB" w:rsidRDefault="003712EA">
      <w:pPr>
        <w:widowControl w:val="0"/>
        <w:tabs>
          <w:tab w:val="left" w:pos="1288"/>
        </w:tabs>
        <w:autoSpaceDE w:val="0"/>
        <w:autoSpaceDN w:val="0"/>
        <w:adjustRightInd w:val="0"/>
        <w:spacing w:before="120" w:after="120"/>
        <w:ind w:left="1288" w:right="-567" w:hanging="360"/>
        <w:jc w:val="both"/>
        <w:rPr>
          <w:rFonts w:ascii="Times New Roman CYR" w:hAnsi="Times New Roman CYR" w:cs="Times New Roman CYR"/>
        </w:rPr>
      </w:pPr>
      <w:r>
        <w:rPr>
          <w:rFonts w:ascii="Wingdings" w:hAnsi="Wingdings" w:cs="Wingdings"/>
        </w:rPr>
        <w:t>ь</w:t>
      </w:r>
      <w:r>
        <w:rPr>
          <w:rFonts w:ascii="Wingdings" w:hAnsi="Wingdings" w:cs="Wingdings"/>
        </w:rPr>
        <w:tab/>
      </w:r>
      <w:r>
        <w:rPr>
          <w:rFonts w:ascii="Times New Roman CYR" w:hAnsi="Times New Roman CYR" w:cs="Times New Roman CYR"/>
        </w:rPr>
        <w:t xml:space="preserve">В работе использовались следующие сокращения: </w:t>
      </w:r>
    </w:p>
    <w:p w14:paraId="14930CC8" w14:textId="77777777" w:rsidR="00381DDB" w:rsidRDefault="003712EA">
      <w:pPr>
        <w:widowControl w:val="0"/>
        <w:autoSpaceDE w:val="0"/>
        <w:autoSpaceDN w:val="0"/>
        <w:adjustRightInd w:val="0"/>
        <w:spacing w:before="120" w:after="120"/>
        <w:ind w:left="284" w:right="-567"/>
        <w:jc w:val="both"/>
        <w:rPr>
          <w:rFonts w:ascii="Times New Roman CYR" w:hAnsi="Times New Roman CYR" w:cs="Times New Roman CYR"/>
        </w:rPr>
      </w:pPr>
      <w:r>
        <w:rPr>
          <w:rFonts w:ascii="Times New Roman CYR" w:hAnsi="Times New Roman CYR" w:cs="Times New Roman CYR"/>
          <w:b/>
          <w:bCs/>
        </w:rPr>
        <w:t>Минвода</w:t>
      </w:r>
      <w:r>
        <w:t xml:space="preserve"> - </w:t>
      </w:r>
      <w:r>
        <w:rPr>
          <w:rFonts w:ascii="Times New Roman CYR" w:hAnsi="Times New Roman CYR" w:cs="Times New Roman CYR"/>
        </w:rPr>
        <w:t>минеральная вода;</w:t>
      </w:r>
    </w:p>
    <w:p w14:paraId="685E04AF" w14:textId="77777777" w:rsidR="00381DDB" w:rsidRDefault="003712EA">
      <w:pPr>
        <w:widowControl w:val="0"/>
        <w:autoSpaceDE w:val="0"/>
        <w:autoSpaceDN w:val="0"/>
        <w:adjustRightInd w:val="0"/>
        <w:spacing w:before="120" w:after="120"/>
        <w:ind w:left="284" w:right="-567"/>
        <w:jc w:val="both"/>
        <w:rPr>
          <w:rFonts w:ascii="Times New Roman CYR" w:hAnsi="Times New Roman CYR" w:cs="Times New Roman CYR"/>
        </w:rPr>
      </w:pPr>
      <w:r>
        <w:rPr>
          <w:rFonts w:ascii="Times New Roman CYR" w:hAnsi="Times New Roman CYR" w:cs="Times New Roman CYR"/>
          <w:b/>
          <w:bCs/>
        </w:rPr>
        <w:t>Кавминводы</w:t>
      </w:r>
      <w:r>
        <w:t xml:space="preserve"> - </w:t>
      </w:r>
      <w:r>
        <w:rPr>
          <w:rFonts w:ascii="Times New Roman CYR" w:hAnsi="Times New Roman CYR" w:cs="Times New Roman CYR"/>
        </w:rPr>
        <w:t>Кавказские Минеральные Воды;</w:t>
      </w:r>
    </w:p>
    <w:p w14:paraId="79E697F8" w14:textId="77777777" w:rsidR="00381DDB" w:rsidRDefault="003712EA">
      <w:pPr>
        <w:widowControl w:val="0"/>
        <w:autoSpaceDE w:val="0"/>
        <w:autoSpaceDN w:val="0"/>
        <w:adjustRightInd w:val="0"/>
        <w:spacing w:before="120" w:after="120"/>
        <w:ind w:left="284" w:right="-567"/>
        <w:jc w:val="both"/>
        <w:rPr>
          <w:rFonts w:ascii="Times New Roman CYR" w:hAnsi="Times New Roman CYR" w:cs="Times New Roman CYR"/>
        </w:rPr>
      </w:pPr>
      <w:r>
        <w:rPr>
          <w:rFonts w:ascii="Times New Roman CYR" w:hAnsi="Times New Roman CYR" w:cs="Times New Roman CYR"/>
          <w:b/>
          <w:bCs/>
        </w:rPr>
        <w:t>РФ</w:t>
      </w:r>
      <w:r>
        <w:t xml:space="preserve"> - </w:t>
      </w:r>
      <w:r>
        <w:rPr>
          <w:rFonts w:ascii="Times New Roman CYR" w:hAnsi="Times New Roman CYR" w:cs="Times New Roman CYR"/>
        </w:rPr>
        <w:t xml:space="preserve">Российская Федерация. </w:t>
      </w:r>
    </w:p>
    <w:p w14:paraId="1E61029A" w14:textId="77777777" w:rsidR="00381DDB" w:rsidRDefault="003712EA">
      <w:pPr>
        <w:widowControl w:val="0"/>
        <w:autoSpaceDE w:val="0"/>
        <w:autoSpaceDN w:val="0"/>
        <w:adjustRightInd w:val="0"/>
        <w:ind w:left="720" w:right="-567"/>
        <w:jc w:val="both"/>
      </w:pPr>
      <w:r>
        <w:lastRenderedPageBreak/>
        <w:t xml:space="preserve">     </w:t>
      </w:r>
    </w:p>
    <w:p w14:paraId="0AAD8B04" w14:textId="77777777" w:rsidR="00381DDB" w:rsidRDefault="00381DDB">
      <w:pPr>
        <w:widowControl w:val="0"/>
        <w:autoSpaceDE w:val="0"/>
        <w:autoSpaceDN w:val="0"/>
        <w:adjustRightInd w:val="0"/>
        <w:ind w:right="-567"/>
      </w:pPr>
    </w:p>
    <w:p w14:paraId="3EBACD5A" w14:textId="77777777" w:rsidR="00381DDB" w:rsidRDefault="00381DDB">
      <w:pPr>
        <w:widowControl w:val="0"/>
        <w:autoSpaceDE w:val="0"/>
        <w:autoSpaceDN w:val="0"/>
        <w:adjustRightInd w:val="0"/>
        <w:ind w:left="284" w:right="-567"/>
      </w:pPr>
    </w:p>
    <w:p w14:paraId="1F64D8AE" w14:textId="77777777" w:rsidR="00381DDB" w:rsidRDefault="003712EA">
      <w:pPr>
        <w:widowControl w:val="0"/>
        <w:autoSpaceDE w:val="0"/>
        <w:autoSpaceDN w:val="0"/>
        <w:adjustRightInd w:val="0"/>
        <w:ind w:left="284" w:right="-567"/>
        <w:jc w:val="center"/>
        <w:rPr>
          <w:rFonts w:ascii="Times New Roman CYR" w:hAnsi="Times New Roman CYR" w:cs="Times New Roman CYR"/>
          <w:b/>
          <w:bCs/>
          <w:u w:val="single"/>
        </w:rPr>
      </w:pPr>
      <w:r>
        <w:rPr>
          <w:b/>
          <w:bCs/>
          <w:u w:val="single"/>
        </w:rPr>
        <w:br w:type="page"/>
      </w:r>
      <w:r>
        <w:rPr>
          <w:b/>
          <w:bCs/>
          <w:u w:val="single"/>
        </w:rPr>
        <w:lastRenderedPageBreak/>
        <w:t>1.</w:t>
      </w:r>
      <w:r>
        <w:rPr>
          <w:rFonts w:ascii="Times New Roman CYR" w:hAnsi="Times New Roman CYR" w:cs="Times New Roman CYR"/>
          <w:b/>
          <w:bCs/>
          <w:u w:val="single"/>
        </w:rPr>
        <w:t>Введение.</w:t>
      </w:r>
    </w:p>
    <w:p w14:paraId="7AD93CA9" w14:textId="77777777" w:rsidR="00381DDB" w:rsidRDefault="003712EA">
      <w:pPr>
        <w:widowControl w:val="0"/>
        <w:autoSpaceDE w:val="0"/>
        <w:autoSpaceDN w:val="0"/>
        <w:adjustRightInd w:val="0"/>
        <w:ind w:right="-6" w:firstLine="284"/>
        <w:jc w:val="both"/>
        <w:rPr>
          <w:color w:val="000000"/>
        </w:rPr>
      </w:pPr>
      <w:r>
        <w:rPr>
          <w:rFonts w:ascii="Times New Roman CYR" w:hAnsi="Times New Roman CYR" w:cs="Times New Roman CYR"/>
        </w:rPr>
        <w:t>Санаторно-курортное лечение в Российской Федерации основано на применении природных лечебных ресурсов в сочетании с физиотерапевтическими и медикаментозными методами, причем природным ресурсам отводится главенствующая роль. К природным лечебным ресурсам относятся ландшафты, биоклимат и гидроминеральные ресурсы (минеральные воды и лечебные грязи). Федеральный закон «О природных лечебных ресурсах, лечебно-оздоровительных местностях и курортах», принятый Государственной Думой 27 января 1995 года, даёт следующее определение природным лечебным ресурсам:</w:t>
      </w:r>
      <w:r>
        <w:rPr>
          <w:color w:val="000000"/>
        </w:rPr>
        <w:t xml:space="preserve"> </w:t>
      </w:r>
      <w:r>
        <w:rPr>
          <w:rFonts w:ascii="Times New Roman CYR" w:hAnsi="Times New Roman CYR" w:cs="Times New Roman CYR"/>
          <w:color w:val="000000"/>
        </w:rPr>
        <w:t xml:space="preserve">минеральные воды, лечебные грязи, рапа лиманов и озер, лечебный климат, другие природные объекты и условия, используемые для лечения и профилактики заболеваний и организации отдыха. Лечебные свойства природных объектов и условий устанавливаются на основании научных исследований, многолетней практики и утверждаются федеральным органом исполнительной власти, ведающим вопросами здравоохранения. </w:t>
      </w:r>
      <w:r>
        <w:rPr>
          <w:rFonts w:ascii="Times New Roman CYR" w:hAnsi="Times New Roman CYR" w:cs="Times New Roman CYR"/>
        </w:rPr>
        <w:t>Природные лечебные ресурсы активно изучались по всей территории страны в течение почти трех столетий, была разработана научно-обоснованная технология их эксплуатации и охраны.</w:t>
      </w:r>
    </w:p>
    <w:p w14:paraId="7AF91B19" w14:textId="77777777" w:rsidR="00381DDB" w:rsidRDefault="003712EA">
      <w:pPr>
        <w:widowControl w:val="0"/>
        <w:tabs>
          <w:tab w:val="left" w:pos="9360"/>
        </w:tabs>
        <w:autoSpaceDE w:val="0"/>
        <w:autoSpaceDN w:val="0"/>
        <w:adjustRightInd w:val="0"/>
        <w:ind w:right="-6" w:firstLine="284"/>
        <w:jc w:val="both"/>
      </w:pPr>
      <w:r>
        <w:rPr>
          <w:rFonts w:ascii="Times New Roman CYR" w:hAnsi="Times New Roman CYR" w:cs="Times New Roman CYR"/>
        </w:rPr>
        <w:t>В Федеральным законе «О природных лечебных ресурсах, лечебно-оздоровительных местностях и курортах» от 27 января 1995 года сказано, что природные лечебные ресурсы, лечебно-оздоровительные местности и курорты  являются национальным достоянием народов Российской Федерации. Они  предназначены для лечения и отдыха населения и относятся соответственно к  особо охраняемым природным объектам и территориям, имеющим свои особенности в использовании и защите.  Настоящий Федеральный закон определяет принципы государственной политики и регулирует отношения в сфере изучения, использования, развития и охраны природных лечебных ресурсов, лечебно-оздоровительных местностей и курортов на территории Российской Федерации. В соответствии с этим законом</w:t>
      </w:r>
      <w:r>
        <w:rPr>
          <w:color w:val="000000"/>
        </w:rPr>
        <w:t xml:space="preserve"> </w:t>
      </w:r>
      <w:r>
        <w:rPr>
          <w:rFonts w:ascii="Times New Roman CYR" w:hAnsi="Times New Roman CYR" w:cs="Times New Roman CYR"/>
          <w:b/>
          <w:bCs/>
          <w:color w:val="000000"/>
        </w:rPr>
        <w:t>курорт</w:t>
      </w:r>
      <w:r>
        <w:rPr>
          <w:color w:val="000000"/>
        </w:rPr>
        <w:t xml:space="preserve"> - </w:t>
      </w:r>
      <w:r>
        <w:rPr>
          <w:rFonts w:ascii="Times New Roman CYR" w:hAnsi="Times New Roman CYR" w:cs="Times New Roman CYR"/>
          <w:color w:val="000000"/>
        </w:rPr>
        <w:t>это освоенная и используемая в лечебно-профилактических целях особо охраняемая природная территория, располагающая природными лечебными ресурсами и необходимыми для их эксплуатации зданиями и сооружениями, включая объекты инфраструктуры.</w:t>
      </w:r>
    </w:p>
    <w:p w14:paraId="41918A17" w14:textId="77777777" w:rsidR="00381DDB" w:rsidRDefault="003712EA">
      <w:pPr>
        <w:widowControl w:val="0"/>
        <w:tabs>
          <w:tab w:val="left" w:pos="9639"/>
        </w:tabs>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 xml:space="preserve">По определению энциклопедии </w:t>
      </w:r>
      <w:r>
        <w:rPr>
          <w:rFonts w:ascii="Times New Roman CYR" w:hAnsi="Times New Roman CYR" w:cs="Times New Roman CYR"/>
          <w:b/>
          <w:bCs/>
        </w:rPr>
        <w:t>курорт</w:t>
      </w:r>
      <w:r>
        <w:t xml:space="preserve"> - </w:t>
      </w:r>
      <w:r>
        <w:rPr>
          <w:rFonts w:ascii="Times New Roman CYR" w:hAnsi="Times New Roman CYR" w:cs="Times New Roman CYR"/>
        </w:rPr>
        <w:t>это местность, располагающая природными лечебными факторами (минеральные источники, грязи, благоприятный климат и другие) и необходимыми условиями для их применения с лечебно-профилактическими целями. Курорты являются государственной собственностью. На курортах предусматривается наличие изученных природных лечебных ресурсов, обеспечивающих нормальное функционирование курорта и его развитие; специальных устройств, сооружений и учреждений для рационального применения курортных факторов (буровые скважины, питьевые галереи, ванные здания, водолечебницы, пляжи и т. д.); лечебно-профилактических учреждений, обеспечивающих медицинское обслуживание больных, а на климатическом курорте, кроме того, и оздоровительных учреждений.</w:t>
      </w:r>
    </w:p>
    <w:p w14:paraId="076B5F83" w14:textId="77777777" w:rsidR="00381DDB" w:rsidRDefault="003712EA">
      <w:pPr>
        <w:widowControl w:val="0"/>
        <w:tabs>
          <w:tab w:val="left" w:pos="9639"/>
        </w:tabs>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Основой классификации курортов служит их ведущий природный лечебный фактор. В соответствии с этим курорты делят на бальнеологические, грязевые и климатические; если курорты располагают несколькими курортными факторами, они считаются климатобальнеологическими, бальнеогрязевыми, климатогрязевыми, климато-бальнео-грязевыми. В соответствии с Законом РФ «О природных лечебных ресурсах, лечебно-оздоровительных местностях и курортах», 1995, российские курорты делятся по принадлежности на: курорты местного, регионального и федерального значений. Близко расположенные курорты, курортные посёлки и лечебные местности объединяются под названием курортных районов или групп курортов: Апшеронская группа курортов, Батумский курортный район, Боржоми-Бакурианская группа курортов, Кавказские Минеральные Воды, курорты Крыма, Ленинградский курортный район, Одесский курортный район, Рижское взморье (Юрмала), Сочи, Тбилисская группа курортов, Черноморское побережье Кавказа и др.</w:t>
      </w:r>
    </w:p>
    <w:p w14:paraId="3D3BDF2F" w14:textId="77777777" w:rsidR="00381DDB" w:rsidRDefault="003712EA">
      <w:pPr>
        <w:widowControl w:val="0"/>
        <w:tabs>
          <w:tab w:val="left" w:pos="9639"/>
        </w:tabs>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lastRenderedPageBreak/>
        <w:t>Курорты ведут свою историю с древнеримских бань с минеральными источниками (II в. н. э.). Их цель - обслуживание людей, стремящихся к отдыху и восстановлению здоровья. В силу этих обстоятельств популярными местами размещения курортов всегда были и остаются пляжи, горы, озёра, а также территории, предоставляющие возможности для отдыха, лечения в естественных климатических и природных условиях, а также занятий спортом. Важна и сама концепция курортов: они предлагают окружающую среду и рекреационные услуги, которые могут быть совместимы с получением удовольствия от отдыха.</w:t>
      </w:r>
    </w:p>
    <w:p w14:paraId="3CEDE990" w14:textId="77777777" w:rsidR="00381DDB" w:rsidRDefault="003712EA">
      <w:pPr>
        <w:widowControl w:val="0"/>
        <w:tabs>
          <w:tab w:val="left" w:pos="9639"/>
        </w:tabs>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 xml:space="preserve">Профиль курорта определяется заболеваниями, которые в нём лечат: кардиологические, туберкулёзные, желудочно-кишечные, органов дыхания и т.п. </w:t>
      </w:r>
    </w:p>
    <w:p w14:paraId="0E260AD6" w14:textId="77777777" w:rsidR="00381DDB" w:rsidRDefault="003712EA">
      <w:pPr>
        <w:widowControl w:val="0"/>
        <w:tabs>
          <w:tab w:val="left" w:pos="9639"/>
        </w:tabs>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Самый первый курорт в России «Марциальные воды» был организован Петром I в начале 18 века. В 1997 году в РФ действовало более 14 тысяч лечебно-оздоровительных учреждений, в которых единовременно могло находиться более 600 тысяч человек.</w:t>
      </w:r>
    </w:p>
    <w:p w14:paraId="647A7F31" w14:textId="77777777" w:rsidR="00381DDB" w:rsidRDefault="003712EA">
      <w:pPr>
        <w:widowControl w:val="0"/>
        <w:tabs>
          <w:tab w:val="left" w:pos="9639"/>
        </w:tabs>
        <w:autoSpaceDE w:val="0"/>
        <w:autoSpaceDN w:val="0"/>
        <w:adjustRightInd w:val="0"/>
        <w:ind w:right="-566" w:firstLine="284"/>
        <w:jc w:val="center"/>
      </w:pPr>
      <w:r>
        <w:br w:type="page"/>
      </w:r>
      <w:r>
        <w:rPr>
          <w:b/>
          <w:bCs/>
          <w:u w:val="single"/>
        </w:rPr>
        <w:lastRenderedPageBreak/>
        <w:t>2.</w:t>
      </w:r>
      <w:r>
        <w:rPr>
          <w:rFonts w:ascii="Times New Roman CYR" w:hAnsi="Times New Roman CYR" w:cs="Times New Roman CYR"/>
          <w:b/>
          <w:bCs/>
          <w:u w:val="single"/>
        </w:rPr>
        <w:t>Бальнеология. Понятия и определения.</w:t>
      </w:r>
    </w:p>
    <w:p w14:paraId="4A6E77A2" w14:textId="77777777" w:rsidR="00381DDB" w:rsidRDefault="003712EA">
      <w:pPr>
        <w:widowControl w:val="0"/>
        <w:tabs>
          <w:tab w:val="left" w:pos="9639"/>
        </w:tabs>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Традиционно главным лечебным фактором на курортах являются минводы для наружного и внутреннего применения, имеющие широкий спектр лечебных показателей.</w:t>
      </w:r>
    </w:p>
    <w:p w14:paraId="0AF04CDC"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b/>
          <w:bCs/>
        </w:rPr>
        <w:t>Бальнеологический курорт</w:t>
      </w:r>
      <w:r>
        <w:t xml:space="preserve"> - </w:t>
      </w:r>
      <w:r>
        <w:rPr>
          <w:rFonts w:ascii="Times New Roman CYR" w:hAnsi="Times New Roman CYR" w:cs="Times New Roman CYR"/>
        </w:rPr>
        <w:t>тип курорта, где в качестве основного лечебного фактора используются природные минеральные воды. Воды могут применяться наружно (ванны, бассейны и другие), для питьевого лечения, ингаляций и других процедур. Существует несколько разновидностей бальнеологических курортов, в которых совмещаются различные виды лечения на основе бальнеологических факторов. Основным лечебным фактором бальнеологического курорта  является вода минеральных источников с углекислыми водами - Кисловодск, Арзни, Аршан, Боржоми, Дарасун и др., с сульфидными (сероводородными) водами - Арчман, Горячий Ключ, Ейск, Кемери, Ключи, Любен-Великий, Менджи, Немиров, Пятигорск, Сочи, Сергиевские Минеральные Воды, Серноводск, Синяк, Сураханы, Талги, Усть-Качка, Чимион и др.; курорты с радоновыми водами - Белокуриха, Молоковка, Пятигорск, Хмельник, Цхалтубо и др. Азотными слабоминерализованными кремнистыми термами (горячие и тёплые воды) располагают курорты - Алма-Арасан, Анненские Воды, Капал-Арасан, Горячинск, Джалал-Абад, Иссык-Ата, Кульдур, Нальчик, Обигарм, Ткварчели и др. Широко известные курорты с питьевыми минеральными водами (вода различного химического состава с минерализацией не более 10-12</w:t>
      </w:r>
      <w:r>
        <w:rPr>
          <w:i/>
          <w:iCs/>
        </w:rPr>
        <w:t xml:space="preserve"> </w:t>
      </w:r>
      <w:r>
        <w:rPr>
          <w:rFonts w:ascii="Times New Roman CYR" w:hAnsi="Times New Roman CYR" w:cs="Times New Roman CYR"/>
          <w:i/>
          <w:iCs/>
        </w:rPr>
        <w:t xml:space="preserve">г </w:t>
      </w:r>
      <w:r>
        <w:rPr>
          <w:rFonts w:ascii="Times New Roman CYR" w:hAnsi="Times New Roman CYR" w:cs="Times New Roman CYR"/>
        </w:rPr>
        <w:t xml:space="preserve">на 1 </w:t>
      </w:r>
      <w:r>
        <w:rPr>
          <w:rFonts w:ascii="Times New Roman CYR" w:hAnsi="Times New Roman CYR" w:cs="Times New Roman CYR"/>
          <w:i/>
          <w:iCs/>
        </w:rPr>
        <w:t>л</w:t>
      </w:r>
      <w:r>
        <w:t xml:space="preserve">) </w:t>
      </w:r>
      <w:r>
        <w:rPr>
          <w:rFonts w:ascii="Times New Roman CYR" w:hAnsi="Times New Roman CYR" w:cs="Times New Roman CYR"/>
        </w:rPr>
        <w:t>в СНГ - Боржоми, Ессентуки, Джава, Джермук, Друскининкай, Железноводск, Кашин, Краинка, Моршин, Пятигорск, Саирме, Трускавец и др. Наиболее известные бальнеологические курорты за рубежом: Бад-Эльстер, Брамбах, Визенбад (ГДР), Цехоцинек (Польша), Борсек, Бэиле-Еркулане (Румыния), Карлови-Вари, Марианске-Лазне, Пьештяни, Подебради, Франтишкови-Лазне (Чехословакия), Врнячка-Баня (Югославия), Бад-Ишль, Баден-бей-Вин (Австрия), Спа (Бельгия), Бат, Бакстон (Великобритания), Абано-Терме, Сальсомаджоре (Италия), Саратога-Спрингс, Уайт-Салфер-Спрингс, Хот-Спрингс (США), Баден-Баден, Висбаден, Бад-Киссинген, Бад-Наухейм, Бад-Эмс (ФРГ), Виттель, Виши, Дакс, Экс-ле-Бен (Франция), Атами (Япония).</w:t>
      </w:r>
    </w:p>
    <w:p w14:paraId="3FC14094" w14:textId="77777777" w:rsidR="00381DDB" w:rsidRDefault="003712EA">
      <w:pPr>
        <w:widowControl w:val="0"/>
        <w:tabs>
          <w:tab w:val="left" w:pos="9639"/>
        </w:tabs>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Бальнеология так же стара, как и человечество. В древние времена обращение к целительным силам воды было привычным и естественным. Во многих районах мира культ источников сохранился до сих пор. Там, где утвердилась техногенная цивилизация, бьющим из-под земли ключам придали вид декоративных фонтанов, направили их в мраморные чаши. Бывать «на водах» стало престижно. Вокруг источников выросли курортные города, ставшие центрами светской жизни; рядом с лечебницами возникли концертные залы, ипподромы и казино.</w:t>
      </w:r>
    </w:p>
    <w:p w14:paraId="73D7517E" w14:textId="77777777" w:rsidR="00381DDB" w:rsidRDefault="003712EA">
      <w:pPr>
        <w:widowControl w:val="0"/>
        <w:tabs>
          <w:tab w:val="left" w:pos="9639"/>
        </w:tabs>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 xml:space="preserve">Существует очень много определений, связанных с бальнеологией, но в совокупности они дают полное определение этой ёмкой курортной отрасли. </w:t>
      </w:r>
    </w:p>
    <w:p w14:paraId="265E45E9"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b/>
          <w:bCs/>
        </w:rPr>
        <w:t>Бальнеология -</w:t>
      </w:r>
      <w:r>
        <w:t xml:space="preserve"> (</w:t>
      </w:r>
      <w:r>
        <w:rPr>
          <w:rFonts w:ascii="Times New Roman CYR" w:hAnsi="Times New Roman CYR" w:cs="Times New Roman CYR"/>
        </w:rPr>
        <w:t xml:space="preserve">от лат. balneum - баня, купание и... </w:t>
      </w:r>
      <w:r>
        <w:rPr>
          <w:rFonts w:ascii="Times New Roman CYR" w:hAnsi="Times New Roman CYR" w:cs="Times New Roman CYR"/>
          <w:color w:val="000000"/>
        </w:rPr>
        <w:t>логия</w:t>
      </w:r>
      <w:r>
        <w:t>)</w:t>
      </w:r>
      <w:r>
        <w:rPr>
          <w:i/>
          <w:iCs/>
        </w:rPr>
        <w:t>,</w:t>
      </w:r>
      <w:r>
        <w:t xml:space="preserve"> </w:t>
      </w:r>
      <w:r>
        <w:rPr>
          <w:rFonts w:ascii="Times New Roman CYR" w:hAnsi="Times New Roman CYR" w:cs="Times New Roman CYR"/>
        </w:rPr>
        <w:t xml:space="preserve">раздел медицинской науки, изучающий происхождение и физико-химического свойства минеральных вод, методы их использования с лечебно-профилактической целью при наружном и внутреннем применении, медицинского показания и противопоказания к их применению. Иногда к бальнеологии неправильно относят пелотерапию (учение о лечебных грязях и грязелечение) и талассотерапию (учение о морских купаниях). По классификации, принятой в СССР, бальнеология и бальнеотерапия наряду с климатотерапией рассматриваются как составные части курортологии. Бальнеологию составляют бальнеотерапия, бальнеотехника, бальнеография (описание курортов). Бальнеология тесно связана с другими дисциплинами: физиотерапией, гидрогеологией, метеорологией, физикой, химией, биологией, физиологией, клинической медициной, архитектурой и другими. </w:t>
      </w:r>
    </w:p>
    <w:p w14:paraId="09ACCE4B"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b/>
          <w:bCs/>
        </w:rPr>
        <w:t>Бальнеотерапия -</w:t>
      </w:r>
      <w:r>
        <w:t xml:space="preserve"> (</w:t>
      </w:r>
      <w:r>
        <w:rPr>
          <w:rFonts w:ascii="Times New Roman CYR" w:hAnsi="Times New Roman CYR" w:cs="Times New Roman CYR"/>
        </w:rPr>
        <w:t>от лат. balneum - баня, купание и терапия)</w:t>
      </w:r>
      <w:r>
        <w:rPr>
          <w:i/>
          <w:iCs/>
        </w:rPr>
        <w:t>,</w:t>
      </w:r>
      <w:r>
        <w:t xml:space="preserve"> </w:t>
      </w:r>
      <w:r>
        <w:rPr>
          <w:rFonts w:ascii="Times New Roman CYR" w:hAnsi="Times New Roman CYR" w:cs="Times New Roman CYR"/>
        </w:rPr>
        <w:t xml:space="preserve">наружное лечение минеральными водами, использование природных и искусственно приготовленных минеральных вод для профилактики и лечения различных заболеваний и с целью медицинской </w:t>
      </w:r>
      <w:r>
        <w:rPr>
          <w:rFonts w:ascii="Times New Roman CYR" w:hAnsi="Times New Roman CYR" w:cs="Times New Roman CYR"/>
        </w:rPr>
        <w:lastRenderedPageBreak/>
        <w:t>реабилитации. К бальнеотерапии относятся также использование минеральных вод для питья, промывания-орошения кишечника, ингаляции и т.п.</w:t>
      </w:r>
    </w:p>
    <w:p w14:paraId="4572D422"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t xml:space="preserve"> </w:t>
      </w:r>
      <w:r>
        <w:rPr>
          <w:rFonts w:ascii="Times New Roman CYR" w:hAnsi="Times New Roman CYR" w:cs="Times New Roman CYR"/>
        </w:rPr>
        <w:t>Иногда некоторые авторы к бальнеотерапии неправильно относят грязелечение, морские ванны, купания в лиманах, в рапе солёных озёр (рапные ванны). Минеральные воды действуют на организм температурой, химическим составом, гидростатическим давлением. Кроме того, нервные рецепторы подвергаются раздражению газами (CO</w:t>
      </w:r>
      <w:r>
        <w:rPr>
          <w:vertAlign w:val="subscript"/>
        </w:rPr>
        <w:t>2</w:t>
      </w:r>
      <w:r>
        <w:t>, H</w:t>
      </w:r>
      <w:r>
        <w:rPr>
          <w:vertAlign w:val="subscript"/>
        </w:rPr>
        <w:t>2</w:t>
      </w:r>
      <w:r>
        <w:t>S, NO</w:t>
      </w:r>
      <w:r>
        <w:rPr>
          <w:vertAlign w:val="subscript"/>
        </w:rPr>
        <w:t>2</w:t>
      </w:r>
      <w:r>
        <w:t xml:space="preserve"> </w:t>
      </w:r>
      <w:r>
        <w:rPr>
          <w:rFonts w:ascii="Times New Roman CYR" w:hAnsi="Times New Roman CYR" w:cs="Times New Roman CYR"/>
        </w:rPr>
        <w:t xml:space="preserve">и радиоактивными веществами (радон)), проникающими через кожу, слизистые оболочки и дыхательные пути в кровь. Минеральные воды при бальнеотерапии применяют в виде ванн при заболеваниях сердечно-сосудистой системы и других внутренних органов, нервной системы, органов движения и опоры, кожных заболеваниях. </w:t>
      </w:r>
      <w:r>
        <w:rPr>
          <w:rFonts w:ascii="Times New Roman CYR" w:hAnsi="Times New Roman CYR" w:cs="Times New Roman CYR"/>
          <w:u w:val="single"/>
        </w:rPr>
        <w:t>Противопоказания</w:t>
      </w:r>
      <w:r>
        <w:t xml:space="preserve">: </w:t>
      </w:r>
      <w:r>
        <w:rPr>
          <w:rFonts w:ascii="Times New Roman CYR" w:hAnsi="Times New Roman CYR" w:cs="Times New Roman CYR"/>
        </w:rPr>
        <w:t>нарушения кровообращения выше I-II степени, инфекционные заболевания в острой стадии, злокачественные опухоли, туберкулёз в активной фазе, циррозы печени, хронические заболевания почек, болезни крови в острой стадии, резкое общее истощение. Бальнеотерапия включает методы лечения, профилактики и восстановления нарушенных функций организма природными и искусственно приготовленными минеральными водами на курортах и внекурортных условиях.</w:t>
      </w:r>
    </w:p>
    <w:p w14:paraId="614101BA"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Лечебное действие бальнеотерапевтических процедур основано главным образом на рефлекторном и гуморальном механизмах, т.е. осуществляется через нервную систему и кровь. При наружном применении минеральные воды оказывают на рецепторы кожи термальное, химическое, радиационное и другие воздействия, в частности влияют на терморегуляционные механизмы, повышают и понижают теплообмен, а соответственно, и уровень окислительно-восстановительных процессов. Каждый тип минеральных вод оказывает специфическое действие на организм, обусловленное главным образом наличием в ней так называемых ведущих химических ингредиентов.</w:t>
      </w:r>
    </w:p>
    <w:p w14:paraId="15EC338F"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При наружном применении благодаря химическому воздействию на кожу меняется функциональное состояние её рецепторов, этому способствует также влияние давления на кожу массы воды - разного при различных лекарственных методиках - и её температуры.</w:t>
      </w:r>
    </w:p>
    <w:p w14:paraId="2182B983"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При наружном и внутреннем применении минеральных вод существенную роль играют такие факторы, как цвет, запах воды, принимаемой внутрь, а также обстановка, в которой больной получает бальнеотерапевтические процедуры.</w:t>
      </w:r>
    </w:p>
    <w:p w14:paraId="2F1391C9"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b/>
          <w:bCs/>
        </w:rPr>
        <w:t>Бальнеолечебница</w:t>
      </w:r>
      <w:r>
        <w:t xml:space="preserve"> - </w:t>
      </w:r>
      <w:r>
        <w:rPr>
          <w:rFonts w:ascii="Times New Roman CYR" w:hAnsi="Times New Roman CYR" w:cs="Times New Roman CYR"/>
        </w:rPr>
        <w:t>медицинские учреждения для проведения процедур (ванн, душей, промывание, орошения, ингаляции и др.), преимущественно с использованием природных минеральных вод. На курортах, наряду с самостоятельными общекурортными бальнеолечебницами, расположенными в ванном здании, функционируют бальнеолечебные отделения в составе санаториев. Строят бальнеолечебницы, как правило, на базе имеющихся источников минеральных вод. Общекурортные бальнеолечебницы обычно рассчитаны на 20-70 ванн. При некоторых бальнеолечебницах оборудуются лечебные бассейны. Для сохранения природных лечебных свойств газово-солевого состава минеральной воды её температура при нагревании не должна превышать 45-50</w:t>
      </w:r>
      <w:r>
        <w:rPr>
          <w:rFonts w:ascii="Symbol" w:hAnsi="Symbol" w:cs="Symbol"/>
        </w:rPr>
        <w:t>°</w:t>
      </w:r>
      <w:r>
        <w:rPr>
          <w:rFonts w:ascii="Times New Roman CYR" w:hAnsi="Times New Roman CYR" w:cs="Times New Roman CYR"/>
        </w:rPr>
        <w:t xml:space="preserve">С, а материалы, из которых изготавливают все бальнеотехнические устройства и сооружения, должны отвечать специальным требованиям. </w:t>
      </w:r>
    </w:p>
    <w:p w14:paraId="1CCC9288"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b/>
          <w:bCs/>
        </w:rPr>
        <w:t>Бальнеотехника</w:t>
      </w:r>
      <w:r>
        <w:t xml:space="preserve"> - </w:t>
      </w:r>
      <w:r>
        <w:rPr>
          <w:rFonts w:ascii="Times New Roman CYR" w:hAnsi="Times New Roman CYR" w:cs="Times New Roman CYR"/>
        </w:rPr>
        <w:t>отрасль техники и бальнеологии, обеспечивающая охрану природных бальнеологических ресурсов (минеральных вод и лечебных грязей) от истощения, загрязнения и порчи. К основным задачам бальнеотехники относятся: разработка рациональной технологической схемы эксплуатации месторождений минеральных вод и лечебных грязей; устройство каптажных сооружений и насосных станций по перекачке минеральных вод, системы наружных трубопроводов для их транспортировки к местам потребления и сброса отработанных минеральных вод; оборудование ванных зданий внутренними трубопроводами и бальнеотехническими устройствами для проведения лечебных процедур; устройство резервуаров для хранения минеральной воды; подготовка, нагрев, подача и удаление лечебных грязей в грязелечебницах; устройство регенерационных бассейнов и грязехранилищ.</w:t>
      </w:r>
    </w:p>
    <w:p w14:paraId="6F1E1BF5" w14:textId="77777777" w:rsidR="00381DDB" w:rsidRDefault="003712EA">
      <w:pPr>
        <w:widowControl w:val="0"/>
        <w:autoSpaceDE w:val="0"/>
        <w:autoSpaceDN w:val="0"/>
        <w:adjustRightInd w:val="0"/>
        <w:ind w:right="-6" w:firstLine="284"/>
        <w:jc w:val="center"/>
      </w:pPr>
      <w:r>
        <w:rPr>
          <w:b/>
          <w:bCs/>
          <w:u w:val="single"/>
        </w:rPr>
        <w:lastRenderedPageBreak/>
        <w:t>3.</w:t>
      </w:r>
      <w:r>
        <w:rPr>
          <w:rFonts w:ascii="Times New Roman CYR" w:hAnsi="Times New Roman CYR" w:cs="Times New Roman CYR"/>
          <w:b/>
          <w:bCs/>
          <w:u w:val="single"/>
        </w:rPr>
        <w:t>История развития бальнеологии.</w:t>
      </w:r>
    </w:p>
    <w:p w14:paraId="71237AD0"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Зачатки бальнеологии появились ещё в 5 в. до н. э., когда древнегреческий учёный Геродот предложил способ употребления и показания к назначению минеральных вод.</w:t>
      </w:r>
    </w:p>
    <w:p w14:paraId="792B84A8"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 xml:space="preserve">В сочинениях Гиппократа (5-4 вв. до н. э.) упоминается о лечебных свойствах речной, солёной и морской воды. Римскому врачу Архигену (1 в. н. э.) принадлежит первая классификация минеральных вод. В 15 в. итальянский монах Дж. </w:t>
      </w:r>
      <w:r>
        <w:rPr>
          <w:rFonts w:ascii="Times New Roman CYR" w:hAnsi="Times New Roman CYR" w:cs="Times New Roman CYR"/>
          <w:color w:val="000000"/>
        </w:rPr>
        <w:t xml:space="preserve">Савонарола </w:t>
      </w:r>
      <w:r>
        <w:rPr>
          <w:rFonts w:ascii="Times New Roman CYR" w:hAnsi="Times New Roman CYR" w:cs="Times New Roman CYR"/>
        </w:rPr>
        <w:t>выпустил "Трактат о итальянских минеральных водах", содержащий указания о пользовании минеральными ваннами. В 16 в. были опубликованы лекции итальянского врача Г. Фаллопия - "Семь книг о тёплых водах", в которых, между прочим, автор пытается выяснить химический состав минеральных вод. Начало научной бальнеологии в 17-18 вв. положил немецкий учёный Ф. Гофман, установивший впервые химический состав минеральных вод и присутствие в них солей угольной кислоты, поваренной соли, сернокислой магнезии и др. Шведский химик И. Я. Берцелиус в 1822 произвёл точные химические анализы минеральных источников в Карлови-Вари (Карлсбаде) и выработал научные приёмы определения состава минеральных вод. В последующее время в связи с развитием естественных наук и медицины бальнеология начала быстро развиваться и превратилась в обширную область теоретической и практической медицины.</w:t>
      </w:r>
    </w:p>
    <w:p w14:paraId="158D0E0E"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Первые сведения о развитии бальнеологии в России связаны с именами Г. Шобера, И. А. Гюльденштедта, П. С. Палласа и других. (18 в.). В 1825 была опубликована работа русского химика Г. И. Гесса, изучавшего химический состав и действие целебных вод в России. На развитие бальнеологии в России оказали влияние С. П. Боткин и особенно Г. А. Захарьин. Важную роль в изучении лечебных минеральных вод сыграло основание на Кавказе минеральных водах по инициативе доктора С. А. Смирнова в 1863 Русского бальнеологического общества. После Октябрьской революции в связи с размахом санаторного строительства и потребностями санаторно-курортного дела бальнеология получила значительное развитие. Были установлены единые принципы комплексной оценки минеральных вод по химическому составу и физическим свойствам. Применявшаяся за рубежом классификация лечебных минеральных вод, усовершенствованная В. А. Александровым (1932), в дальнейшем была переработана на основе достижений  бальнеологии и гидрогеологии В. В. Ивановым и Г. А. Невраевым. Все наиболее известные минеральные воды приведены к единым типам; выделено 7 основных бальнеологических групп минеральных вод, которые разделены на подгруппы по газовому составу, классы - по анионному и катионному составу и по общей минерализации. Эта классификация была принята 4-м Координационным совещанием институтов бальнеоклиматологии в Крынице в 1965. Развитие физики, химии, биологии, биофизики, биохимии позволило глубже проникнуть в сущность механизма воздействия бальнеологических процедур на процессы, протекающие в организме, и функции отдельных органов и систем. Советские учёные получили новые данные о составе минеральных вод, о наличии в них органических веществ, многочисленной и разнообразной микрофлоры, физиологического и бальнеологического действия этих элементов в питьевых минеральных водах подвергнуты детальному изучению. При наружном применении минеральная вода действует непосредственно на кожу, изменяя её проницаемость. Экспериментальными исследованиями доказана проницаемость кожи для углекислого и других газов. При внутреннем употреблении минеральная вода воздействует своей температурой, минеральным и газовым составом на слизистую оболочку различных отделов желудочно-кишечного тракта, чем объясняется различный эффект применения минеральной воды. Всасываясь, минеральная вода претерпевает изменения и вызывает сдвиги в кислотно-щелочном равновесии, в коллоидных системах организма.</w:t>
      </w:r>
    </w:p>
    <w:p w14:paraId="5F60EDA6"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Большое значение имеет сочетание безусловных рефлексов на воздействие минеральной воды с условными рефлексами на окружающую среду.</w:t>
      </w:r>
    </w:p>
    <w:p w14:paraId="2489ECD9"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lastRenderedPageBreak/>
        <w:t>Изучение вопросов бальнеологии  сосредоточено в основном в научно-исследовательских институтах курортологии и физиотерапии: Азербайджанском (Баку), Армянском (Ереван), Грузинском (Тбилиси с филиалами в Цхалтубо и Сухуми), Киргизском (Фрунзе), Одесском, Пятигорском, Сочинском, Томском и Узбекском (Ташкент). Общее научное руководство разработкой проблем бальнеологии осуществляет Центральный институт курортологии и физиотерапии Министерства здравоохранения РФ. Вопросами бальнеологии занимаются также некоторые кафедры медицинских институтов (Воронежского, Карагандинского и др.), институтов усовершенствования врачей (Киев, Харьков и др.), курортные секторы институтов экспериментальной и клинической медицины в Эстонии и Литве.</w:t>
      </w:r>
    </w:p>
    <w:p w14:paraId="5A4FF7C1"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Научные исследования в области бальнеологии значительно расширились и в других странах: работают Институт бальнеологии и курортологии на курорте Бад-Эльстер (Германия), Институт курортологии и физиотерапии в Софии (Болгария), Институт ревматизма и бальнеологии в Будапеште (Венгрия), Бальнео-климатологический институт в Познани (Польша), Физиотерапевтический институт в составе Центрального научно-исследовательского института экспериментальной терапии в Праге, Бальнеологический институт в Марианске-Лазне и Институт гуманной биоклиматологии в Братиславе (Чехословакия). В Германии при Мюнхенском университете работает Бальнеологический институт.</w:t>
      </w:r>
    </w:p>
    <w:p w14:paraId="48E0866C"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В СССР в 1965 (Баку) состоялся Всесоюзный съезд курортологов и физиотерапевтов, на котором обсуждались актуальные теоретические и организационные вопросы бальнеологии, курортологии и физиотерапии в СССР, применения естественных и преформированных физических факторов для профилактики и лечения атеросклероза, ревматизма, болезней сосудов и заболеваний периферической нервной системы и других заболеваний.</w:t>
      </w:r>
    </w:p>
    <w:p w14:paraId="6891B8DF"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Для координации научных исследований бальнеологии, курортологии и физиотерапии в социалистических странах регулярно созываются совещания и симпозиумы. Такие координационные совещания проведены в Москве, Марианске-Лазне, Познани, Будапеште, Бад-Эльстере. Созываются также совещания по отдельным проблемам бальнеологии и климатологии с участием представителей институтов социалистических стран. В 1960 на Международном конгрессе в Франтишкови-Лазне (Чехословакия) были рассмотрены актуальные проблемы изучения торфов и других типов лечебной грязи, их микробиология, химия, физикохимия и рациональное использование при лечении различных заболеваний. В 1962 в Баден-Бадене (ФРГ) на Международном конгрессе по Б. и медицинской климатологии обсуждались вопросы механизма действия бальнеофакторов, показаний для курортного лечения, специализации и профилизации курортов. В 1963 на Международном конгрессе по талассотерапии в Венеции (Италия) обсуждались проблемы использования морских купаний при различных заболеваниях (сердечно-сосудистых, суставов) и в геронтологии (наука о старении организма). В 1966 на Международном симпозиуме по бальнеотерапии в Болгарии рассматривались вопросы лечения минеральными водами заболеваний суставов, печени и жёлчных путей, заболеваний лёгких и костно-суставного туберкулёза. Актуальные вопросы Б. обсуждались также на Международных конгрессах по физической медицине (1960 - в Вашингтоне, 1964 - в Париже, 1966 - в Канне, 1968 - в Монреале), на Международном конгрессе по талассотерапии в Вестерланд-Киле (ФРГ, 1966).</w:t>
      </w:r>
    </w:p>
    <w:p w14:paraId="396E2279"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 xml:space="preserve">Большую роль в развитии бальнеологии играют российские, а также зарубежные научные общества курортологов, бальнеологов, физиотерапевтов: Всесоюзное общество физиотерапевтов и курортологов, Международная федерация по курортологии и климатологии (Швеция), Международное общество медицинской гидрологии и климатологии (Париж), Американское общество медицинской гидрологии (Вашингтон); Международная ассоциация по физической медицине (Лондон), Польское общество бальнео-климатологов (Познань), Болгарское общество физиотерапевтов (Пловдив), общество чехословацких врачей им. Яна </w:t>
      </w:r>
      <w:r>
        <w:rPr>
          <w:rFonts w:ascii="Times New Roman CYR" w:hAnsi="Times New Roman CYR" w:cs="Times New Roman CYR"/>
        </w:rPr>
        <w:lastRenderedPageBreak/>
        <w:t>Пуркине (Прага), секция физиотерапевтов.</w:t>
      </w:r>
    </w:p>
    <w:p w14:paraId="512D3F2B" w14:textId="77777777" w:rsidR="00381DDB" w:rsidRDefault="00381DDB">
      <w:pPr>
        <w:widowControl w:val="0"/>
        <w:autoSpaceDE w:val="0"/>
        <w:autoSpaceDN w:val="0"/>
        <w:adjustRightInd w:val="0"/>
        <w:ind w:right="-566" w:firstLine="284"/>
        <w:jc w:val="both"/>
        <w:rPr>
          <w:rFonts w:ascii="Times New Roman CYR" w:hAnsi="Times New Roman CYR" w:cs="Times New Roman CYR"/>
        </w:rPr>
      </w:pPr>
    </w:p>
    <w:p w14:paraId="4FDD2BD6" w14:textId="77777777" w:rsidR="00381DDB" w:rsidRDefault="00381DDB">
      <w:pPr>
        <w:widowControl w:val="0"/>
        <w:autoSpaceDE w:val="0"/>
        <w:autoSpaceDN w:val="0"/>
        <w:adjustRightInd w:val="0"/>
        <w:ind w:right="-566" w:firstLine="284"/>
        <w:jc w:val="both"/>
        <w:rPr>
          <w:rFonts w:ascii="Times New Roman CYR" w:hAnsi="Times New Roman CYR" w:cs="Times New Roman CYR"/>
        </w:rPr>
      </w:pPr>
    </w:p>
    <w:p w14:paraId="72E79B10" w14:textId="77777777" w:rsidR="00381DDB" w:rsidRDefault="00381DDB">
      <w:pPr>
        <w:widowControl w:val="0"/>
        <w:autoSpaceDE w:val="0"/>
        <w:autoSpaceDN w:val="0"/>
        <w:adjustRightInd w:val="0"/>
        <w:ind w:right="-566" w:firstLine="284"/>
        <w:jc w:val="both"/>
        <w:rPr>
          <w:rFonts w:ascii="Times New Roman CYR" w:hAnsi="Times New Roman CYR" w:cs="Times New Roman CYR"/>
        </w:rPr>
      </w:pPr>
    </w:p>
    <w:p w14:paraId="3A34AB5A" w14:textId="77777777" w:rsidR="00381DDB" w:rsidRDefault="00381DDB">
      <w:pPr>
        <w:widowControl w:val="0"/>
        <w:autoSpaceDE w:val="0"/>
        <w:autoSpaceDN w:val="0"/>
        <w:adjustRightInd w:val="0"/>
        <w:ind w:right="-566" w:firstLine="284"/>
        <w:jc w:val="both"/>
        <w:rPr>
          <w:rFonts w:ascii="Times New Roman CYR" w:hAnsi="Times New Roman CYR" w:cs="Times New Roman CYR"/>
        </w:rPr>
      </w:pPr>
    </w:p>
    <w:p w14:paraId="119E5CF6" w14:textId="77777777" w:rsidR="00381DDB" w:rsidRDefault="00381DDB">
      <w:pPr>
        <w:widowControl w:val="0"/>
        <w:autoSpaceDE w:val="0"/>
        <w:autoSpaceDN w:val="0"/>
        <w:adjustRightInd w:val="0"/>
        <w:ind w:right="-566" w:firstLine="284"/>
        <w:jc w:val="both"/>
        <w:rPr>
          <w:rFonts w:ascii="Times New Roman CYR" w:hAnsi="Times New Roman CYR" w:cs="Times New Roman CYR"/>
        </w:rPr>
      </w:pPr>
    </w:p>
    <w:p w14:paraId="036104DD" w14:textId="77777777" w:rsidR="00381DDB" w:rsidRDefault="00381DDB">
      <w:pPr>
        <w:widowControl w:val="0"/>
        <w:autoSpaceDE w:val="0"/>
        <w:autoSpaceDN w:val="0"/>
        <w:adjustRightInd w:val="0"/>
        <w:ind w:right="-566" w:firstLine="284"/>
        <w:jc w:val="both"/>
        <w:rPr>
          <w:rFonts w:ascii="Times New Roman CYR" w:hAnsi="Times New Roman CYR" w:cs="Times New Roman CYR"/>
        </w:rPr>
      </w:pPr>
    </w:p>
    <w:p w14:paraId="3C044E4E" w14:textId="77777777" w:rsidR="00381DDB" w:rsidRDefault="00381DDB">
      <w:pPr>
        <w:widowControl w:val="0"/>
        <w:autoSpaceDE w:val="0"/>
        <w:autoSpaceDN w:val="0"/>
        <w:adjustRightInd w:val="0"/>
        <w:ind w:right="-566" w:firstLine="284"/>
        <w:jc w:val="both"/>
        <w:rPr>
          <w:b/>
          <w:bCs/>
          <w:u w:val="single"/>
        </w:rPr>
      </w:pPr>
    </w:p>
    <w:p w14:paraId="0C3CCCC6" w14:textId="77777777" w:rsidR="00381DDB" w:rsidRDefault="00381DDB">
      <w:pPr>
        <w:widowControl w:val="0"/>
        <w:autoSpaceDE w:val="0"/>
        <w:autoSpaceDN w:val="0"/>
        <w:adjustRightInd w:val="0"/>
        <w:ind w:right="-566" w:firstLine="284"/>
        <w:jc w:val="both"/>
        <w:rPr>
          <w:b/>
          <w:bCs/>
          <w:u w:val="single"/>
        </w:rPr>
      </w:pPr>
    </w:p>
    <w:p w14:paraId="13887185" w14:textId="77777777" w:rsidR="00381DDB" w:rsidRDefault="00381DDB">
      <w:pPr>
        <w:widowControl w:val="0"/>
        <w:autoSpaceDE w:val="0"/>
        <w:autoSpaceDN w:val="0"/>
        <w:adjustRightInd w:val="0"/>
        <w:ind w:right="-566" w:firstLine="284"/>
        <w:jc w:val="both"/>
        <w:rPr>
          <w:b/>
          <w:bCs/>
          <w:u w:val="single"/>
        </w:rPr>
      </w:pPr>
    </w:p>
    <w:p w14:paraId="7477A785" w14:textId="77777777" w:rsidR="00381DDB" w:rsidRDefault="00381DDB">
      <w:pPr>
        <w:widowControl w:val="0"/>
        <w:autoSpaceDE w:val="0"/>
        <w:autoSpaceDN w:val="0"/>
        <w:adjustRightInd w:val="0"/>
        <w:ind w:right="-566" w:firstLine="284"/>
        <w:jc w:val="both"/>
        <w:rPr>
          <w:b/>
          <w:bCs/>
          <w:u w:val="single"/>
        </w:rPr>
      </w:pPr>
    </w:p>
    <w:p w14:paraId="2D629FF7" w14:textId="77777777" w:rsidR="00381DDB" w:rsidRDefault="00381DDB">
      <w:pPr>
        <w:widowControl w:val="0"/>
        <w:autoSpaceDE w:val="0"/>
        <w:autoSpaceDN w:val="0"/>
        <w:adjustRightInd w:val="0"/>
        <w:ind w:right="-566" w:firstLine="284"/>
        <w:jc w:val="both"/>
        <w:rPr>
          <w:b/>
          <w:bCs/>
          <w:u w:val="single"/>
        </w:rPr>
      </w:pPr>
    </w:p>
    <w:p w14:paraId="3B9F89F1" w14:textId="77777777" w:rsidR="00381DDB" w:rsidRDefault="00381DDB">
      <w:pPr>
        <w:widowControl w:val="0"/>
        <w:autoSpaceDE w:val="0"/>
        <w:autoSpaceDN w:val="0"/>
        <w:adjustRightInd w:val="0"/>
        <w:ind w:right="-566" w:firstLine="284"/>
        <w:jc w:val="both"/>
        <w:rPr>
          <w:b/>
          <w:bCs/>
          <w:u w:val="single"/>
        </w:rPr>
      </w:pPr>
    </w:p>
    <w:p w14:paraId="727BB9C4" w14:textId="77777777" w:rsidR="00381DDB" w:rsidRDefault="00381DDB">
      <w:pPr>
        <w:widowControl w:val="0"/>
        <w:autoSpaceDE w:val="0"/>
        <w:autoSpaceDN w:val="0"/>
        <w:adjustRightInd w:val="0"/>
        <w:ind w:right="-566" w:firstLine="284"/>
        <w:jc w:val="both"/>
        <w:rPr>
          <w:b/>
          <w:bCs/>
          <w:u w:val="single"/>
        </w:rPr>
      </w:pPr>
    </w:p>
    <w:p w14:paraId="0F927E88" w14:textId="77777777" w:rsidR="00381DDB" w:rsidRDefault="00381DDB">
      <w:pPr>
        <w:widowControl w:val="0"/>
        <w:autoSpaceDE w:val="0"/>
        <w:autoSpaceDN w:val="0"/>
        <w:adjustRightInd w:val="0"/>
        <w:ind w:right="-566" w:firstLine="284"/>
        <w:jc w:val="both"/>
        <w:rPr>
          <w:b/>
          <w:bCs/>
          <w:u w:val="single"/>
        </w:rPr>
      </w:pPr>
    </w:p>
    <w:p w14:paraId="020CD14C" w14:textId="77777777" w:rsidR="00381DDB" w:rsidRDefault="00381DDB">
      <w:pPr>
        <w:widowControl w:val="0"/>
        <w:autoSpaceDE w:val="0"/>
        <w:autoSpaceDN w:val="0"/>
        <w:adjustRightInd w:val="0"/>
        <w:ind w:right="-566" w:firstLine="284"/>
        <w:jc w:val="both"/>
        <w:rPr>
          <w:b/>
          <w:bCs/>
          <w:u w:val="single"/>
        </w:rPr>
      </w:pPr>
    </w:p>
    <w:p w14:paraId="40C5F254" w14:textId="77777777" w:rsidR="00381DDB" w:rsidRDefault="00381DDB">
      <w:pPr>
        <w:widowControl w:val="0"/>
        <w:autoSpaceDE w:val="0"/>
        <w:autoSpaceDN w:val="0"/>
        <w:adjustRightInd w:val="0"/>
        <w:ind w:right="-566" w:firstLine="284"/>
        <w:jc w:val="both"/>
        <w:rPr>
          <w:b/>
          <w:bCs/>
          <w:u w:val="single"/>
        </w:rPr>
      </w:pPr>
    </w:p>
    <w:p w14:paraId="04EE5052" w14:textId="77777777" w:rsidR="00381DDB" w:rsidRDefault="00381DDB">
      <w:pPr>
        <w:widowControl w:val="0"/>
        <w:autoSpaceDE w:val="0"/>
        <w:autoSpaceDN w:val="0"/>
        <w:adjustRightInd w:val="0"/>
        <w:ind w:right="-566" w:firstLine="284"/>
        <w:jc w:val="both"/>
        <w:rPr>
          <w:b/>
          <w:bCs/>
          <w:u w:val="single"/>
        </w:rPr>
      </w:pPr>
    </w:p>
    <w:p w14:paraId="458C0F10" w14:textId="77777777" w:rsidR="00381DDB" w:rsidRDefault="00381DDB">
      <w:pPr>
        <w:widowControl w:val="0"/>
        <w:autoSpaceDE w:val="0"/>
        <w:autoSpaceDN w:val="0"/>
        <w:adjustRightInd w:val="0"/>
        <w:ind w:right="-566" w:firstLine="284"/>
        <w:jc w:val="both"/>
        <w:rPr>
          <w:b/>
          <w:bCs/>
          <w:u w:val="single"/>
        </w:rPr>
      </w:pPr>
    </w:p>
    <w:p w14:paraId="292AB846" w14:textId="77777777" w:rsidR="00381DDB" w:rsidRDefault="00381DDB">
      <w:pPr>
        <w:widowControl w:val="0"/>
        <w:autoSpaceDE w:val="0"/>
        <w:autoSpaceDN w:val="0"/>
        <w:adjustRightInd w:val="0"/>
        <w:ind w:right="-566" w:firstLine="284"/>
        <w:jc w:val="both"/>
        <w:rPr>
          <w:b/>
          <w:bCs/>
          <w:u w:val="single"/>
        </w:rPr>
      </w:pPr>
    </w:p>
    <w:p w14:paraId="66EC18A3" w14:textId="77777777" w:rsidR="00381DDB" w:rsidRDefault="00381DDB">
      <w:pPr>
        <w:widowControl w:val="0"/>
        <w:autoSpaceDE w:val="0"/>
        <w:autoSpaceDN w:val="0"/>
        <w:adjustRightInd w:val="0"/>
        <w:ind w:right="-566" w:firstLine="284"/>
        <w:jc w:val="both"/>
        <w:rPr>
          <w:b/>
          <w:bCs/>
          <w:u w:val="single"/>
        </w:rPr>
      </w:pPr>
    </w:p>
    <w:p w14:paraId="0A7A22CC" w14:textId="77777777" w:rsidR="00381DDB" w:rsidRDefault="00381DDB">
      <w:pPr>
        <w:widowControl w:val="0"/>
        <w:autoSpaceDE w:val="0"/>
        <w:autoSpaceDN w:val="0"/>
        <w:adjustRightInd w:val="0"/>
        <w:ind w:right="-566" w:firstLine="284"/>
        <w:jc w:val="both"/>
        <w:rPr>
          <w:b/>
          <w:bCs/>
          <w:u w:val="single"/>
        </w:rPr>
      </w:pPr>
    </w:p>
    <w:p w14:paraId="0A95B013" w14:textId="77777777" w:rsidR="00381DDB" w:rsidRDefault="00381DDB">
      <w:pPr>
        <w:widowControl w:val="0"/>
        <w:autoSpaceDE w:val="0"/>
        <w:autoSpaceDN w:val="0"/>
        <w:adjustRightInd w:val="0"/>
        <w:ind w:right="-566" w:firstLine="284"/>
        <w:jc w:val="both"/>
        <w:rPr>
          <w:b/>
          <w:bCs/>
          <w:u w:val="single"/>
        </w:rPr>
      </w:pPr>
    </w:p>
    <w:p w14:paraId="2B9072B7" w14:textId="77777777" w:rsidR="00381DDB" w:rsidRDefault="00381DDB">
      <w:pPr>
        <w:widowControl w:val="0"/>
        <w:autoSpaceDE w:val="0"/>
        <w:autoSpaceDN w:val="0"/>
        <w:adjustRightInd w:val="0"/>
        <w:ind w:right="-566" w:firstLine="284"/>
        <w:jc w:val="both"/>
        <w:rPr>
          <w:b/>
          <w:bCs/>
          <w:u w:val="single"/>
        </w:rPr>
      </w:pPr>
    </w:p>
    <w:p w14:paraId="5F8D9797" w14:textId="77777777" w:rsidR="00381DDB" w:rsidRDefault="00381DDB">
      <w:pPr>
        <w:widowControl w:val="0"/>
        <w:autoSpaceDE w:val="0"/>
        <w:autoSpaceDN w:val="0"/>
        <w:adjustRightInd w:val="0"/>
        <w:ind w:right="-566" w:firstLine="284"/>
        <w:jc w:val="both"/>
        <w:rPr>
          <w:b/>
          <w:bCs/>
          <w:u w:val="single"/>
        </w:rPr>
      </w:pPr>
    </w:p>
    <w:p w14:paraId="55FD7623" w14:textId="77777777" w:rsidR="00381DDB" w:rsidRDefault="00381DDB">
      <w:pPr>
        <w:widowControl w:val="0"/>
        <w:autoSpaceDE w:val="0"/>
        <w:autoSpaceDN w:val="0"/>
        <w:adjustRightInd w:val="0"/>
        <w:ind w:right="-566" w:firstLine="284"/>
        <w:jc w:val="both"/>
        <w:rPr>
          <w:b/>
          <w:bCs/>
          <w:u w:val="single"/>
        </w:rPr>
      </w:pPr>
    </w:p>
    <w:p w14:paraId="77AA0756" w14:textId="77777777" w:rsidR="00381DDB" w:rsidRDefault="00381DDB">
      <w:pPr>
        <w:widowControl w:val="0"/>
        <w:autoSpaceDE w:val="0"/>
        <w:autoSpaceDN w:val="0"/>
        <w:adjustRightInd w:val="0"/>
        <w:ind w:right="-566" w:firstLine="284"/>
        <w:jc w:val="both"/>
        <w:rPr>
          <w:b/>
          <w:bCs/>
          <w:u w:val="single"/>
        </w:rPr>
      </w:pPr>
    </w:p>
    <w:p w14:paraId="50E85A4A" w14:textId="77777777" w:rsidR="00381DDB" w:rsidRDefault="00381DDB">
      <w:pPr>
        <w:widowControl w:val="0"/>
        <w:autoSpaceDE w:val="0"/>
        <w:autoSpaceDN w:val="0"/>
        <w:adjustRightInd w:val="0"/>
        <w:ind w:right="-566" w:firstLine="284"/>
        <w:jc w:val="both"/>
        <w:rPr>
          <w:b/>
          <w:bCs/>
          <w:u w:val="single"/>
        </w:rPr>
      </w:pPr>
    </w:p>
    <w:p w14:paraId="7CDCA005" w14:textId="77777777" w:rsidR="00381DDB" w:rsidRDefault="00381DDB">
      <w:pPr>
        <w:widowControl w:val="0"/>
        <w:autoSpaceDE w:val="0"/>
        <w:autoSpaceDN w:val="0"/>
        <w:adjustRightInd w:val="0"/>
        <w:ind w:right="-566" w:firstLine="284"/>
        <w:jc w:val="both"/>
        <w:rPr>
          <w:b/>
          <w:bCs/>
          <w:u w:val="single"/>
        </w:rPr>
      </w:pPr>
    </w:p>
    <w:p w14:paraId="36F3E989" w14:textId="77777777" w:rsidR="00381DDB" w:rsidRDefault="00381DDB">
      <w:pPr>
        <w:widowControl w:val="0"/>
        <w:autoSpaceDE w:val="0"/>
        <w:autoSpaceDN w:val="0"/>
        <w:adjustRightInd w:val="0"/>
        <w:ind w:right="-566" w:firstLine="284"/>
        <w:jc w:val="both"/>
        <w:rPr>
          <w:b/>
          <w:bCs/>
          <w:u w:val="single"/>
        </w:rPr>
      </w:pPr>
    </w:p>
    <w:p w14:paraId="46530137" w14:textId="77777777" w:rsidR="00381DDB" w:rsidRDefault="00381DDB">
      <w:pPr>
        <w:widowControl w:val="0"/>
        <w:autoSpaceDE w:val="0"/>
        <w:autoSpaceDN w:val="0"/>
        <w:adjustRightInd w:val="0"/>
        <w:ind w:right="-566" w:firstLine="284"/>
        <w:jc w:val="both"/>
        <w:rPr>
          <w:b/>
          <w:bCs/>
          <w:u w:val="single"/>
        </w:rPr>
      </w:pPr>
    </w:p>
    <w:p w14:paraId="796269A7" w14:textId="77777777" w:rsidR="00381DDB" w:rsidRDefault="00381DDB">
      <w:pPr>
        <w:widowControl w:val="0"/>
        <w:autoSpaceDE w:val="0"/>
        <w:autoSpaceDN w:val="0"/>
        <w:adjustRightInd w:val="0"/>
        <w:ind w:right="-566" w:firstLine="284"/>
        <w:jc w:val="both"/>
        <w:rPr>
          <w:b/>
          <w:bCs/>
          <w:u w:val="single"/>
        </w:rPr>
      </w:pPr>
    </w:p>
    <w:p w14:paraId="4F7C213B" w14:textId="77777777" w:rsidR="00381DDB" w:rsidRDefault="00381DDB">
      <w:pPr>
        <w:widowControl w:val="0"/>
        <w:autoSpaceDE w:val="0"/>
        <w:autoSpaceDN w:val="0"/>
        <w:adjustRightInd w:val="0"/>
        <w:ind w:right="-566" w:firstLine="284"/>
        <w:jc w:val="both"/>
        <w:rPr>
          <w:b/>
          <w:bCs/>
          <w:u w:val="single"/>
        </w:rPr>
      </w:pPr>
    </w:p>
    <w:p w14:paraId="6813AE1F" w14:textId="77777777" w:rsidR="00381DDB" w:rsidRDefault="00381DDB">
      <w:pPr>
        <w:widowControl w:val="0"/>
        <w:autoSpaceDE w:val="0"/>
        <w:autoSpaceDN w:val="0"/>
        <w:adjustRightInd w:val="0"/>
        <w:ind w:right="-566" w:firstLine="284"/>
        <w:jc w:val="both"/>
        <w:rPr>
          <w:b/>
          <w:bCs/>
          <w:u w:val="single"/>
        </w:rPr>
      </w:pPr>
    </w:p>
    <w:p w14:paraId="560BC55C" w14:textId="77777777" w:rsidR="00381DDB" w:rsidRDefault="00381DDB">
      <w:pPr>
        <w:widowControl w:val="0"/>
        <w:autoSpaceDE w:val="0"/>
        <w:autoSpaceDN w:val="0"/>
        <w:adjustRightInd w:val="0"/>
        <w:ind w:right="-566" w:firstLine="284"/>
        <w:jc w:val="both"/>
        <w:rPr>
          <w:b/>
          <w:bCs/>
          <w:u w:val="single"/>
        </w:rPr>
      </w:pPr>
    </w:p>
    <w:p w14:paraId="1C9F3C0E" w14:textId="77777777" w:rsidR="00381DDB" w:rsidRDefault="003712EA">
      <w:pPr>
        <w:widowControl w:val="0"/>
        <w:autoSpaceDE w:val="0"/>
        <w:autoSpaceDN w:val="0"/>
        <w:adjustRightInd w:val="0"/>
        <w:ind w:right="-566" w:firstLine="284"/>
        <w:jc w:val="center"/>
        <w:rPr>
          <w:rFonts w:ascii="Times New Roman CYR" w:hAnsi="Times New Roman CYR" w:cs="Times New Roman CYR"/>
          <w:b/>
          <w:bCs/>
          <w:u w:val="single"/>
        </w:rPr>
      </w:pPr>
      <w:r>
        <w:rPr>
          <w:b/>
          <w:bCs/>
          <w:u w:val="single"/>
        </w:rPr>
        <w:br w:type="page"/>
      </w:r>
      <w:r>
        <w:rPr>
          <w:b/>
          <w:bCs/>
          <w:u w:val="single"/>
        </w:rPr>
        <w:lastRenderedPageBreak/>
        <w:t>4.</w:t>
      </w:r>
      <w:r>
        <w:rPr>
          <w:rFonts w:ascii="Times New Roman CYR" w:hAnsi="Times New Roman CYR" w:cs="Times New Roman CYR"/>
          <w:b/>
          <w:bCs/>
          <w:u w:val="single"/>
        </w:rPr>
        <w:t>Лечебные минеральные воды Российской Федерации.</w:t>
      </w:r>
    </w:p>
    <w:p w14:paraId="23CFB290" w14:textId="77777777" w:rsidR="00381DDB" w:rsidRDefault="003712EA">
      <w:pPr>
        <w:widowControl w:val="0"/>
        <w:autoSpaceDE w:val="0"/>
        <w:autoSpaceDN w:val="0"/>
        <w:adjustRightInd w:val="0"/>
        <w:ind w:right="-566" w:firstLine="284"/>
        <w:jc w:val="center"/>
        <w:rPr>
          <w:b/>
          <w:bCs/>
        </w:rPr>
      </w:pPr>
      <w:r>
        <w:rPr>
          <w:rFonts w:ascii="Times New Roman CYR" w:hAnsi="Times New Roman CYR" w:cs="Times New Roman CYR"/>
          <w:b/>
          <w:bCs/>
          <w:u w:val="single"/>
        </w:rPr>
        <w:t>Особенности состава, критерии оценки и принципы деления.</w:t>
      </w:r>
    </w:p>
    <w:p w14:paraId="7202111B"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В пределах обширной территории РФ, характеризующейся исключительно разнообразными физико-географическими и геологическими условиями, распространены различные по составу и свойствам лечебные минеральные воды.</w:t>
      </w:r>
    </w:p>
    <w:p w14:paraId="54572DFF"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Большие успехи в изучении геологического строения и гидрологических условий РФ позволили во многих областях страны выявить новые ценные гидроминеральные ресурсы, вследствие чего всё разнообразнее становится состав минеральных вод, использующихся в лечебных целях.</w:t>
      </w:r>
    </w:p>
    <w:p w14:paraId="2F8C6CC6"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По мере развития санаторно-курортного дела в России мощные природные лечебные средства находят всё более широкое применение как на многочисленных курортах и в санаториях, так и во внекурортных условиях - в местных бальнеолечебницах.</w:t>
      </w:r>
    </w:p>
    <w:p w14:paraId="3935B94D"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В настоящее время в России для бальнеологического лечения используются главным образом подземные минеральные воды, которые в последние годы выведены во многих новых районах буровыми скважинами, иногда с весьма больших глубин, в частности там, где какие-либо естественные выходы минеральных вод отсутствуют.</w:t>
      </w:r>
    </w:p>
    <w:p w14:paraId="5D12A2DA"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Поверхностные минеральные воды - воды различных солёных озёр - используются в лечебных целях в значительно меньших размерах, главным образом на грязевых курортах южных областей.</w:t>
      </w:r>
    </w:p>
    <w:p w14:paraId="2EFE63E8"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b/>
          <w:bCs/>
        </w:rPr>
        <w:t>Минеральные воды</w:t>
      </w:r>
      <w:r>
        <w:t xml:space="preserve"> - </w:t>
      </w:r>
      <w:r>
        <w:rPr>
          <w:rFonts w:ascii="Times New Roman CYR" w:hAnsi="Times New Roman CYR" w:cs="Times New Roman CYR"/>
        </w:rPr>
        <w:t>это сложные растворы, в которых компоненты находятся в виде ионов недиссоциированных молекул, коллоидных частиц и растворенных газов. Они содержат те же вещества, которые присутствуют в организме человека, и их целебное действие состоит в восполнении нарушенного равновесия. Химический состав минеральных вод точно известен, и его можно воспроизвести в лабораторных условиях, однако лечебное действие природных минеральных вод, сформированных за счет вымывания химических элементов из геологических пород в течение длительного периода, неадекватно искусственным водам.</w:t>
      </w:r>
    </w:p>
    <w:p w14:paraId="704B8588"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На территории России распространены различные типы минеральных вод: хлоридно-натриевые, сульфидные, йодо-бромные, углекислые, радоновые, железистые, а также целебные пресные (слабоминерализованные) воды, которые представлены термальными азотно-кремнистыми и холодными водами, содержащими органику, типа «нафтуся».</w:t>
      </w:r>
    </w:p>
    <w:p w14:paraId="1C4EB2D6"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В зависимости от геологических условий минеральные воды имеют или широкое площадное расположение в пределах платформ (Русской, Западно-Сибирской и др.), где они отличаются большими запасами, но сравнительно небольшим разнообразием, или трещинно-жильное распространение, характерное для горных систем, где встречается множество различных типов вод несколько меньших запасов.</w:t>
      </w:r>
    </w:p>
    <w:p w14:paraId="122F7C1C" w14:textId="77777777" w:rsidR="00381DDB" w:rsidRDefault="003712EA">
      <w:pPr>
        <w:widowControl w:val="0"/>
        <w:autoSpaceDE w:val="0"/>
        <w:autoSpaceDN w:val="0"/>
        <w:adjustRightInd w:val="0"/>
        <w:ind w:right="-566" w:firstLine="284"/>
        <w:jc w:val="both"/>
        <w:rPr>
          <w:rFonts w:ascii="Times New Roman CYR" w:hAnsi="Times New Roman CYR" w:cs="Times New Roman CYR"/>
        </w:rPr>
      </w:pPr>
      <w:r>
        <w:rPr>
          <w:rFonts w:ascii="Times New Roman CYR" w:hAnsi="Times New Roman CYR" w:cs="Times New Roman CYR"/>
        </w:rPr>
        <w:t>Особенно большим разнообразием вод отличаются Кавказ, Урал и Прибайкалье.</w:t>
      </w:r>
    </w:p>
    <w:p w14:paraId="42B8F2C6"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Минеральными лечебными водами называются воды, содержащие в повышенных концентрациях различные минеральные (реже органические) компоненты или обладающие какими-либо специфическими физическими свойствами (повышенная температура, радиоактивность и др.), вследствие чего эти воды могут оказывать на организм человека лечебное действие. В зависимости от химического состава и физических свойств минеральные воды используют в качестве наружного или внутреннего лечебного средства.</w:t>
      </w:r>
    </w:p>
    <w:p w14:paraId="4C465D09"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Это определение исходит из положения, развиваемого современной курортологией, о том, что минеральные воды оказывают лечебное действие не одним каким-либо ионным или газовым компонентом и не каким-либо одним своим физическим свойством, а всем комплексом веществ и физико-химических особенностей, сочетающихся в природных минеральных водах в различных комбинациях. Минводы определяют тип и медицинский профиль курортов. Естественно, что для правильной и всесторонней оценки минеральных вод должны учитываться все их основные физико-химические особенности.</w:t>
      </w:r>
    </w:p>
    <w:p w14:paraId="426C0A92"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b/>
          <w:bCs/>
        </w:rPr>
        <w:lastRenderedPageBreak/>
        <w:t>Закономерности образования и распространения.</w:t>
      </w:r>
      <w:r>
        <w:t xml:space="preserve"> </w:t>
      </w:r>
      <w:r>
        <w:rPr>
          <w:rFonts w:ascii="Times New Roman CYR" w:hAnsi="Times New Roman CYR" w:cs="Times New Roman CYR"/>
        </w:rPr>
        <w:t>Процесс образования минеральных вод весьма сложен и ещё недостаточно изучен. При характеристике генезиса минеральных вод различают происхождение самой подземной воды, присутствующих в ней газов и образование её ионно-солевого состава. В формировании минеральных вод участвуют процессы инфильтрации поверхностных вод, захоронения морских вод во время осадконакопления, высвобождение конституционной воды при региональном и контактовом метаморфизме горных пород и вулканические процессы. Состав минеральных вод обусловлен историей геологического  развития, характером тектонических структур, литологии, геотермических условий и другими особенностями территории. Наиболее мощные факторы, обусловливающие формирование газового состава минеральных вод, - метаморфические и вулканические процессы. Выделяющиеся во время этих процессов летучие продукты (CO</w:t>
      </w:r>
      <w:r>
        <w:rPr>
          <w:vertAlign w:val="subscript"/>
        </w:rPr>
        <w:t>2</w:t>
      </w:r>
      <w:r>
        <w:t xml:space="preserve">, HCl </w:t>
      </w:r>
      <w:r>
        <w:rPr>
          <w:rFonts w:ascii="Times New Roman CYR" w:hAnsi="Times New Roman CYR" w:cs="Times New Roman CYR"/>
        </w:rPr>
        <w:t>и др.) поступают в подземные воды и придают им высокую агрессивность, способствующую выщелачиванию вмещающих пород и формированию химического состава, минерализации и газонасыщенности воды. Ионно-солевой состав минеральных вод формируется при участии процессов растворения соленосных и карбонатных отложений, катионного обмена и др.</w:t>
      </w:r>
    </w:p>
    <w:p w14:paraId="45DE56E2"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Газы, растворённые в минеральных водах, служат показателями геохимических условий, в которых шло формирование данной минеральной воды. В верхней зоне земной коры, где преобладают окислительные процессы, минеральные воды содержат газы воздушного происхождения - азот, кислород, углекислоту (в незначительном объёме). Углеводородные газы и сероводород свидетельствуют о восстановительной химической обстановке, свойственной более глубоким недрам Земли; высокая концентрация углекислоты позволяет считать содержащую её воду сформировавшейся в условиях метаморфической обстановки.</w:t>
      </w:r>
    </w:p>
    <w:p w14:paraId="7DB7FFC1" w14:textId="77777777" w:rsidR="00381DDB" w:rsidRDefault="003712EA">
      <w:pPr>
        <w:widowControl w:val="0"/>
        <w:tabs>
          <w:tab w:val="left" w:pos="8640"/>
        </w:tabs>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На поверхности Земли минеральные воды проявляются в виде источников, а также выводятся из недр буровыми скважинами (глубины могут достигать нескольких километров)</w:t>
      </w:r>
      <w:r>
        <w:rPr>
          <w:i/>
          <w:iCs/>
        </w:rPr>
        <w:t xml:space="preserve">. </w:t>
      </w:r>
      <w:r>
        <w:rPr>
          <w:rFonts w:ascii="Times New Roman CYR" w:hAnsi="Times New Roman CYR" w:cs="Times New Roman CYR"/>
        </w:rPr>
        <w:t>Для практического освоения выявляются месторождения подземных минвод со строго определёнными эксплуатационными возможностями (эксплуатационными запасами). Общее число известных в настоящее время в РФ выходов минеральных лечебных вод составляет несколько тысяч. Все эти минводы представляют неисчерпаемые ресурсы для дальнейшего развития санаторно-курортного лечения.</w:t>
      </w:r>
    </w:p>
    <w:p w14:paraId="16DB7F49"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Минводы используют на курортах для питьевого лечения, ванн, купаний в лечебных бассейнах, всевозможных душей, а также для ингаляций и полосканий при заболеваниях горла и верхних дыхательных путей, для орошения при гинекологических заболеваниях и т. п. Минводы применяют внутрь и во внекурортной обстановке, когда пользуются привозными водами, разлитыми в бутылки. К 1974 в СССР было свыше 100 заводов и цехов по бутылочному разливу минводы с производительностью свыше 900 млн. бутылок в год. Налитая в бутылки вода насыщается двуокисью углерода для сохранения её химических свойств и вкусовых качеств; она должна быть бесцветной, абсолютно чистой; бутылки с минводой хранят в горизонтальном положении в прохладном месте. Лечение бутылочными минводыми должно сочетаться с соблюдением определенного режима, диеты и использованием дополнительных лечебных факторов (физиотерапии, медикаментозного лечения, гормональной терапии и т. п.). Применение минеральных вод противопоказано, например, при сужении пищевода и привратника желудка, резком опущении желудка, сердечно-сосудистых заболеваниях, сопровождающихся отёками, нарушениях выделительной способности почек и т. д. Лечение минеральной водой должно проводиться по назначению врача и под врачебным контролем.</w:t>
      </w:r>
    </w:p>
    <w:p w14:paraId="7DAEC3D8"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b/>
          <w:bCs/>
        </w:rPr>
        <w:t>Лечебное действие минеральных вод.</w:t>
      </w:r>
      <w:r>
        <w:t xml:space="preserve"> </w:t>
      </w:r>
      <w:r>
        <w:rPr>
          <w:rFonts w:ascii="Times New Roman CYR" w:hAnsi="Times New Roman CYR" w:cs="Times New Roman CYR"/>
        </w:rPr>
        <w:t>Минводы оказывают на организм человека лечебное действие всем комплексом растворённых в них веществ, а наличие специфических биологически активных компонентов (CO</w:t>
      </w:r>
      <w:r>
        <w:rPr>
          <w:vertAlign w:val="subscript"/>
        </w:rPr>
        <w:t>2</w:t>
      </w:r>
      <w:r>
        <w:t>, H</w:t>
      </w:r>
      <w:r>
        <w:rPr>
          <w:vertAlign w:val="subscript"/>
        </w:rPr>
        <w:t>2</w:t>
      </w:r>
      <w:r>
        <w:t xml:space="preserve">S, As </w:t>
      </w:r>
      <w:r>
        <w:rPr>
          <w:rFonts w:ascii="Times New Roman CYR" w:hAnsi="Times New Roman CYR" w:cs="Times New Roman CYR"/>
        </w:rPr>
        <w:t xml:space="preserve">и др.) и особых свойств определяет часто методы их лечебного использования. В качестве основных критериев оценки лечебности </w:t>
      </w:r>
      <w:r>
        <w:rPr>
          <w:rFonts w:ascii="Times New Roman CYR" w:hAnsi="Times New Roman CYR" w:cs="Times New Roman CYR"/>
        </w:rPr>
        <w:lastRenderedPageBreak/>
        <w:t>минвод в советской курортологии приняты особенности их химического состава и физических свойства, которые одновременно служат важнейшими показателями для их классификации. В настоящее время выделяются следующие главнейшие особенности состава минеральных лечебных вод, которые одновременно являются основой для их оценки, подразделения и обозначения: 1) газовый состав; 2) степень газонасыщенности; 3) ионный состав; 4) общая минерализация; 5) содержание биологически активных микрокомпонентов; 6) температура; 7) радиоактивность; 8) кислотность (щелочность) вод.</w:t>
      </w:r>
    </w:p>
    <w:p w14:paraId="349C3BBE" w14:textId="77777777" w:rsidR="00381DDB" w:rsidRDefault="003712EA">
      <w:pPr>
        <w:widowControl w:val="0"/>
        <w:autoSpaceDE w:val="0"/>
        <w:autoSpaceDN w:val="0"/>
        <w:adjustRightInd w:val="0"/>
        <w:ind w:right="-566" w:firstLine="284"/>
        <w:jc w:val="both"/>
        <w:rPr>
          <w:rFonts w:ascii="Times New Roman CYR" w:hAnsi="Times New Roman CYR" w:cs="Times New Roman CYR"/>
          <w:b/>
          <w:bCs/>
        </w:rPr>
      </w:pPr>
      <w:r>
        <w:rPr>
          <w:b/>
          <w:bCs/>
        </w:rPr>
        <w:t xml:space="preserve">4.1 </w:t>
      </w:r>
      <w:r>
        <w:rPr>
          <w:rFonts w:ascii="Times New Roman CYR" w:hAnsi="Times New Roman CYR" w:cs="Times New Roman CYR"/>
          <w:b/>
          <w:bCs/>
        </w:rPr>
        <w:t>Газовый состав.</w:t>
      </w:r>
    </w:p>
    <w:p w14:paraId="68ACAEAE"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Все подземные минеральные воды содержат в том или ином количестве природные газы, состав и количества которых в них зависит от геологических и геохимических условий формирования вод.</w:t>
      </w:r>
    </w:p>
    <w:p w14:paraId="43B62E11"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Основными компонентами газового состава вод обычно являются угольный ангидрид (</w:t>
      </w:r>
      <w:r>
        <w:rPr>
          <w:lang w:val="en-US"/>
        </w:rPr>
        <w:t>CO</w:t>
      </w:r>
      <w:r>
        <w:rPr>
          <w:vertAlign w:val="subscript"/>
        </w:rPr>
        <w:t>2</w:t>
      </w:r>
      <w:r>
        <w:t xml:space="preserve">), </w:t>
      </w:r>
      <w:r>
        <w:rPr>
          <w:rFonts w:ascii="Times New Roman CYR" w:hAnsi="Times New Roman CYR" w:cs="Times New Roman CYR"/>
        </w:rPr>
        <w:t>метан (</w:t>
      </w:r>
      <w:r>
        <w:rPr>
          <w:lang w:val="en-US"/>
        </w:rPr>
        <w:t>CH</w:t>
      </w:r>
      <w:r>
        <w:rPr>
          <w:vertAlign w:val="subscript"/>
        </w:rPr>
        <w:t>4</w:t>
      </w:r>
      <w:r>
        <w:t xml:space="preserve">), </w:t>
      </w:r>
      <w:r>
        <w:rPr>
          <w:rFonts w:ascii="Times New Roman CYR" w:hAnsi="Times New Roman CYR" w:cs="Times New Roman CYR"/>
        </w:rPr>
        <w:t>азот (</w:t>
      </w:r>
      <w:r>
        <w:rPr>
          <w:lang w:val="en-US"/>
        </w:rPr>
        <w:t>N</w:t>
      </w:r>
      <w:r>
        <w:rPr>
          <w:vertAlign w:val="subscript"/>
        </w:rPr>
        <w:t>2</w:t>
      </w:r>
      <w:r>
        <w:t xml:space="preserve">) </w:t>
      </w:r>
      <w:r>
        <w:rPr>
          <w:rFonts w:ascii="Times New Roman CYR" w:hAnsi="Times New Roman CYR" w:cs="Times New Roman CYR"/>
        </w:rPr>
        <w:t>и реже сероводород (</w:t>
      </w:r>
      <w:r>
        <w:rPr>
          <w:lang w:val="en-US"/>
        </w:rPr>
        <w:t>H</w:t>
      </w:r>
      <w:r>
        <w:rPr>
          <w:vertAlign w:val="subscript"/>
        </w:rPr>
        <w:t>2</w:t>
      </w:r>
      <w:r>
        <w:rPr>
          <w:lang w:val="en-US"/>
        </w:rPr>
        <w:t>S</w:t>
      </w:r>
      <w:r>
        <w:t>).</w:t>
      </w:r>
      <w:r>
        <w:rPr>
          <w:rFonts w:ascii="Times New Roman CYR" w:hAnsi="Times New Roman CYR" w:cs="Times New Roman CYR"/>
        </w:rPr>
        <w:t>Другие газы - кислород (</w:t>
      </w:r>
      <w:r>
        <w:rPr>
          <w:lang w:val="en-US"/>
        </w:rPr>
        <w:t>O</w:t>
      </w:r>
      <w:r>
        <w:rPr>
          <w:vertAlign w:val="subscript"/>
        </w:rPr>
        <w:t>2</w:t>
      </w:r>
      <w:r>
        <w:t xml:space="preserve">), </w:t>
      </w:r>
      <w:r>
        <w:rPr>
          <w:rFonts w:ascii="Times New Roman CYR" w:hAnsi="Times New Roman CYR" w:cs="Times New Roman CYR"/>
        </w:rPr>
        <w:t>гелий (</w:t>
      </w:r>
      <w:r>
        <w:rPr>
          <w:lang w:val="en-US"/>
        </w:rPr>
        <w:t>He</w:t>
      </w:r>
      <w:r>
        <w:t xml:space="preserve">), </w:t>
      </w:r>
      <w:r>
        <w:rPr>
          <w:rFonts w:ascii="Times New Roman CYR" w:hAnsi="Times New Roman CYR" w:cs="Times New Roman CYR"/>
        </w:rPr>
        <w:t>аргон (</w:t>
      </w:r>
      <w:r>
        <w:rPr>
          <w:lang w:val="en-US"/>
        </w:rPr>
        <w:t>Ar</w:t>
      </w:r>
      <w:r>
        <w:t xml:space="preserve">), </w:t>
      </w:r>
      <w:r>
        <w:rPr>
          <w:rFonts w:ascii="Times New Roman CYR" w:hAnsi="Times New Roman CYR" w:cs="Times New Roman CYR"/>
        </w:rPr>
        <w:t>радон (</w:t>
      </w:r>
      <w:r>
        <w:rPr>
          <w:lang w:val="en-US"/>
        </w:rPr>
        <w:t>Rn</w:t>
      </w:r>
      <w:r>
        <w:t xml:space="preserve">) </w:t>
      </w:r>
      <w:r>
        <w:rPr>
          <w:rFonts w:ascii="Times New Roman CYR" w:hAnsi="Times New Roman CYR" w:cs="Times New Roman CYR"/>
        </w:rPr>
        <w:t>и др. - содержатся в подземных водах обычно в ничтожных количествах и не определяют их основного газового состава.</w:t>
      </w:r>
    </w:p>
    <w:p w14:paraId="3F120862"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При отнесении минеральных вод по составу газов к тому или иному типу учитываются газы, содержащиеся в количестве более 10% общего объёма всех газов (спонтанных и растворённых), присутствующих в водах. По газовому составу обычно выделяют воды углекислые, метановые, азотные, а также воды более сложного газового состава - азотно-углекислые, углекисло-метановые и др. Сероводород в водах присутствует, как правило, только в сочетании с метаном или углекислотой, образуя сероводородно-метановые или сероводородно-углекислые воды.</w:t>
      </w:r>
    </w:p>
    <w:p w14:paraId="31D87902" w14:textId="77777777" w:rsidR="00381DDB" w:rsidRDefault="003712EA">
      <w:pPr>
        <w:widowControl w:val="0"/>
        <w:autoSpaceDE w:val="0"/>
        <w:autoSpaceDN w:val="0"/>
        <w:adjustRightInd w:val="0"/>
        <w:ind w:right="-566" w:firstLine="284"/>
        <w:jc w:val="both"/>
        <w:rPr>
          <w:rFonts w:ascii="Times New Roman CYR" w:hAnsi="Times New Roman CYR" w:cs="Times New Roman CYR"/>
        </w:rPr>
      </w:pPr>
      <w:r>
        <w:rPr>
          <w:rFonts w:ascii="Times New Roman CYR" w:hAnsi="Times New Roman CYR" w:cs="Times New Roman CYR"/>
        </w:rPr>
        <w:t>Выделяют следующие основные типы углекислых вод:</w:t>
      </w:r>
    </w:p>
    <w:p w14:paraId="58A720A9" w14:textId="77777777" w:rsidR="00381DDB" w:rsidRDefault="003712EA">
      <w:pPr>
        <w:widowControl w:val="0"/>
        <w:autoSpaceDE w:val="0"/>
        <w:autoSpaceDN w:val="0"/>
        <w:adjustRightInd w:val="0"/>
        <w:ind w:right="-6" w:firstLine="284"/>
        <w:jc w:val="both"/>
        <w:rPr>
          <w:u w:val="single"/>
        </w:rPr>
      </w:pPr>
      <w:r>
        <w:t>1)</w:t>
      </w:r>
      <w:r>
        <w:tab/>
      </w:r>
      <w:r>
        <w:rPr>
          <w:rFonts w:ascii="Times New Roman CYR" w:hAnsi="Times New Roman CYR" w:cs="Times New Roman CYR"/>
          <w:u w:val="single"/>
        </w:rPr>
        <w:t>Воды типа нарзанов</w:t>
      </w:r>
      <w:r>
        <w:t xml:space="preserve"> - </w:t>
      </w:r>
      <w:r>
        <w:rPr>
          <w:rFonts w:ascii="Times New Roman CYR" w:hAnsi="Times New Roman CYR" w:cs="Times New Roman CYR"/>
        </w:rPr>
        <w:t>гидрокарбонатные и сульфатно-гидрокарбонатные магниево-кальциевые, обычно холодные, с минерализацией до 3-4 г/л, которые служат базой для важнейших бальнеологических курортов РФ (например, курорт  Кисловодск).</w:t>
      </w:r>
    </w:p>
    <w:p w14:paraId="1E9CD28E" w14:textId="77777777" w:rsidR="00381DDB" w:rsidRDefault="003712EA">
      <w:pPr>
        <w:widowControl w:val="0"/>
        <w:autoSpaceDE w:val="0"/>
        <w:autoSpaceDN w:val="0"/>
        <w:adjustRightInd w:val="0"/>
        <w:ind w:right="-6" w:firstLine="284"/>
        <w:jc w:val="both"/>
        <w:rPr>
          <w:u w:val="single"/>
        </w:rPr>
      </w:pPr>
      <w:r>
        <w:t>2)</w:t>
      </w:r>
      <w:r>
        <w:tab/>
      </w:r>
      <w:r>
        <w:rPr>
          <w:rFonts w:ascii="Times New Roman CYR" w:hAnsi="Times New Roman CYR" w:cs="Times New Roman CYR"/>
          <w:u w:val="single"/>
        </w:rPr>
        <w:t xml:space="preserve">Воды типа Пятигорска </w:t>
      </w:r>
      <w:r>
        <w:t xml:space="preserve"> - </w:t>
      </w:r>
      <w:r>
        <w:rPr>
          <w:rFonts w:ascii="Times New Roman CYR" w:hAnsi="Times New Roman CYR" w:cs="Times New Roman CYR"/>
        </w:rPr>
        <w:t>термальные сложного анионного состава, обычно натриевые, с минерализацией до 5-6 г/л, которые составляют довольно редкую и весьма ценную группу питьевых и наружно применяемых углекислых вод (курорты Пятигорск, Железноводск).</w:t>
      </w:r>
    </w:p>
    <w:p w14:paraId="01465F4A" w14:textId="77777777" w:rsidR="00381DDB" w:rsidRDefault="003712EA">
      <w:pPr>
        <w:widowControl w:val="0"/>
        <w:autoSpaceDE w:val="0"/>
        <w:autoSpaceDN w:val="0"/>
        <w:adjustRightInd w:val="0"/>
        <w:ind w:right="-6" w:firstLine="284"/>
        <w:jc w:val="both"/>
        <w:rPr>
          <w:u w:val="single"/>
        </w:rPr>
      </w:pPr>
      <w:r>
        <w:t>3)</w:t>
      </w:r>
      <w:r>
        <w:tab/>
      </w:r>
      <w:r>
        <w:rPr>
          <w:rFonts w:ascii="Times New Roman CYR" w:hAnsi="Times New Roman CYR" w:cs="Times New Roman CYR"/>
          <w:u w:val="single"/>
        </w:rPr>
        <w:t>Воды типа Боржоми</w:t>
      </w:r>
      <w:r>
        <w:t xml:space="preserve"> - </w:t>
      </w:r>
      <w:r>
        <w:rPr>
          <w:rFonts w:ascii="Times New Roman CYR" w:hAnsi="Times New Roman CYR" w:cs="Times New Roman CYR"/>
        </w:rPr>
        <w:t>гидрокарбонатные натриевые, холодные и тёплые, с минерализацией до 10 г/л. Воды эти пользуются широкой известностью как ценнейшие питьевые минеральные воды и применяются на многих курортах страны.</w:t>
      </w:r>
    </w:p>
    <w:p w14:paraId="03C25B39" w14:textId="77777777" w:rsidR="00381DDB" w:rsidRDefault="003712EA">
      <w:pPr>
        <w:widowControl w:val="0"/>
        <w:autoSpaceDE w:val="0"/>
        <w:autoSpaceDN w:val="0"/>
        <w:adjustRightInd w:val="0"/>
        <w:ind w:right="-6" w:firstLine="284"/>
        <w:jc w:val="both"/>
        <w:rPr>
          <w:u w:val="single"/>
        </w:rPr>
      </w:pPr>
      <w:r>
        <w:t>4)</w:t>
      </w:r>
      <w:r>
        <w:tab/>
      </w:r>
      <w:r>
        <w:rPr>
          <w:rFonts w:ascii="Times New Roman CYR" w:hAnsi="Times New Roman CYR" w:cs="Times New Roman CYR"/>
          <w:u w:val="single"/>
        </w:rPr>
        <w:t>Воды типа Ессентуки</w:t>
      </w:r>
      <w:r>
        <w:t xml:space="preserve"> - </w:t>
      </w:r>
      <w:r>
        <w:rPr>
          <w:rFonts w:ascii="Times New Roman CYR" w:hAnsi="Times New Roman CYR" w:cs="Times New Roman CYR"/>
        </w:rPr>
        <w:t>хлоридно-гидрокарбонатные натриевые, с минерализацией до 10-12 г/л, а иногда и больше, нередко с повышенным содержанием брома и йода (курорт Ессентуки).</w:t>
      </w:r>
    </w:p>
    <w:p w14:paraId="52325C2B" w14:textId="77777777" w:rsidR="00381DDB" w:rsidRDefault="003712EA">
      <w:pPr>
        <w:widowControl w:val="0"/>
        <w:autoSpaceDE w:val="0"/>
        <w:autoSpaceDN w:val="0"/>
        <w:adjustRightInd w:val="0"/>
        <w:ind w:right="-566" w:firstLine="284"/>
        <w:jc w:val="both"/>
        <w:rPr>
          <w:rFonts w:ascii="Times New Roman CYR" w:hAnsi="Times New Roman CYR" w:cs="Times New Roman CYR"/>
          <w:b/>
          <w:bCs/>
        </w:rPr>
      </w:pPr>
      <w:r>
        <w:rPr>
          <w:b/>
          <w:bCs/>
        </w:rPr>
        <w:t xml:space="preserve">4.2 </w:t>
      </w:r>
      <w:r>
        <w:rPr>
          <w:rFonts w:ascii="Times New Roman CYR" w:hAnsi="Times New Roman CYR" w:cs="Times New Roman CYR"/>
          <w:b/>
          <w:bCs/>
        </w:rPr>
        <w:t>Степень газонасыщенности.</w:t>
      </w:r>
    </w:p>
    <w:p w14:paraId="7106C760"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Помимо состава газов, весьма важное значение для характеристики минеральных вод имеет степень их газонасыщенности, т.е. общее содержание газов в 1 литре воды. Газонасыщенность минеральных вод колеблется в широких пределах - от нескольких десятков миллилитров до нескольких литров и даже десятков литров газа на 1 литр воды.</w:t>
      </w:r>
    </w:p>
    <w:p w14:paraId="2C1BA217"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Наибольшей газонасыщенностью обладают обычно углекислые воды, наименьшей - азотные, что объясняется различной растворимостью в водах угольного ангидрида (</w:t>
      </w:r>
      <w:r>
        <w:rPr>
          <w:lang w:val="en-US"/>
        </w:rPr>
        <w:t>CO</w:t>
      </w:r>
      <w:r>
        <w:rPr>
          <w:vertAlign w:val="subscript"/>
        </w:rPr>
        <w:t>2</w:t>
      </w:r>
      <w:r>
        <w:t xml:space="preserve">) </w:t>
      </w:r>
      <w:r>
        <w:rPr>
          <w:rFonts w:ascii="Times New Roman CYR" w:hAnsi="Times New Roman CYR" w:cs="Times New Roman CYR"/>
        </w:rPr>
        <w:t>и азота (</w:t>
      </w:r>
      <w:r>
        <w:rPr>
          <w:lang w:val="en-US"/>
        </w:rPr>
        <w:t>N</w:t>
      </w:r>
      <w:r>
        <w:rPr>
          <w:vertAlign w:val="subscript"/>
        </w:rPr>
        <w:t>2</w:t>
      </w:r>
      <w:r>
        <w:t xml:space="preserve">). </w:t>
      </w:r>
      <w:r>
        <w:rPr>
          <w:rFonts w:ascii="Times New Roman CYR" w:hAnsi="Times New Roman CYR" w:cs="Times New Roman CYR"/>
        </w:rPr>
        <w:t>По степени газонасыщенности может быть выделено 3 группы вод (см. приложение).</w:t>
      </w:r>
    </w:p>
    <w:p w14:paraId="3B261BB5" w14:textId="77777777" w:rsidR="00381DDB" w:rsidRDefault="003712EA">
      <w:pPr>
        <w:widowControl w:val="0"/>
        <w:autoSpaceDE w:val="0"/>
        <w:autoSpaceDN w:val="0"/>
        <w:adjustRightInd w:val="0"/>
        <w:ind w:right="-566" w:firstLine="284"/>
        <w:jc w:val="both"/>
        <w:rPr>
          <w:rFonts w:ascii="Times New Roman CYR" w:hAnsi="Times New Roman CYR" w:cs="Times New Roman CYR"/>
          <w:b/>
          <w:bCs/>
        </w:rPr>
      </w:pPr>
      <w:r>
        <w:rPr>
          <w:b/>
          <w:bCs/>
        </w:rPr>
        <w:t xml:space="preserve">4.3 </w:t>
      </w:r>
      <w:r>
        <w:rPr>
          <w:rFonts w:ascii="Times New Roman CYR" w:hAnsi="Times New Roman CYR" w:cs="Times New Roman CYR"/>
          <w:b/>
          <w:bCs/>
        </w:rPr>
        <w:t>Ионный состав.</w:t>
      </w:r>
    </w:p>
    <w:p w14:paraId="4001AFF1"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Основными компонентами ионного состава большинства минеральных вод обычно являются анионы - хлор (</w:t>
      </w:r>
      <w:r>
        <w:rPr>
          <w:lang w:val="en-US"/>
        </w:rPr>
        <w:t>Cl</w:t>
      </w:r>
      <w:r>
        <w:t xml:space="preserve">), </w:t>
      </w:r>
      <w:r>
        <w:rPr>
          <w:rFonts w:ascii="Times New Roman CYR" w:hAnsi="Times New Roman CYR" w:cs="Times New Roman CYR"/>
        </w:rPr>
        <w:t>сульфаты (</w:t>
      </w:r>
      <w:r>
        <w:rPr>
          <w:lang w:val="en-US"/>
        </w:rPr>
        <w:t>SO</w:t>
      </w:r>
      <w:r>
        <w:rPr>
          <w:vertAlign w:val="subscript"/>
        </w:rPr>
        <w:t>4</w:t>
      </w:r>
      <w:r>
        <w:t xml:space="preserve">) </w:t>
      </w:r>
      <w:r>
        <w:rPr>
          <w:rFonts w:ascii="Times New Roman CYR" w:hAnsi="Times New Roman CYR" w:cs="Times New Roman CYR"/>
        </w:rPr>
        <w:t>и гидрокарбонаты (</w:t>
      </w:r>
      <w:r>
        <w:rPr>
          <w:lang w:val="en-US"/>
        </w:rPr>
        <w:t>HCO</w:t>
      </w:r>
      <w:r>
        <w:rPr>
          <w:vertAlign w:val="subscript"/>
        </w:rPr>
        <w:t>3</w:t>
      </w:r>
      <w:r>
        <w:t xml:space="preserve">), </w:t>
      </w:r>
      <w:r>
        <w:rPr>
          <w:rFonts w:ascii="Times New Roman CYR" w:hAnsi="Times New Roman CYR" w:cs="Times New Roman CYR"/>
        </w:rPr>
        <w:t>значительно реже карбонаты (</w:t>
      </w:r>
      <w:r>
        <w:rPr>
          <w:lang w:val="en-US"/>
        </w:rPr>
        <w:t>CO</w:t>
      </w:r>
      <w:r>
        <w:rPr>
          <w:vertAlign w:val="subscript"/>
        </w:rPr>
        <w:t>3</w:t>
      </w:r>
      <w:r>
        <w:t xml:space="preserve">) </w:t>
      </w:r>
      <w:r>
        <w:rPr>
          <w:rFonts w:ascii="Times New Roman CYR" w:hAnsi="Times New Roman CYR" w:cs="Times New Roman CYR"/>
        </w:rPr>
        <w:t>и катионы - натрий (</w:t>
      </w:r>
      <w:r>
        <w:rPr>
          <w:lang w:val="en-US"/>
        </w:rPr>
        <w:t>Na</w:t>
      </w:r>
      <w:r>
        <w:t xml:space="preserve">), </w:t>
      </w:r>
      <w:r>
        <w:rPr>
          <w:rFonts w:ascii="Times New Roman CYR" w:hAnsi="Times New Roman CYR" w:cs="Times New Roman CYR"/>
        </w:rPr>
        <w:t>кальций (</w:t>
      </w:r>
      <w:r>
        <w:rPr>
          <w:lang w:val="en-US"/>
        </w:rPr>
        <w:t>Ca</w:t>
      </w:r>
      <w:r>
        <w:t xml:space="preserve">) </w:t>
      </w:r>
      <w:r>
        <w:rPr>
          <w:rFonts w:ascii="Times New Roman CYR" w:hAnsi="Times New Roman CYR" w:cs="Times New Roman CYR"/>
        </w:rPr>
        <w:t>и магний (</w:t>
      </w:r>
      <w:r>
        <w:rPr>
          <w:lang w:val="en-US"/>
        </w:rPr>
        <w:t>Mg</w:t>
      </w:r>
      <w:r>
        <w:t xml:space="preserve">) </w:t>
      </w:r>
      <w:r>
        <w:rPr>
          <w:rFonts w:ascii="Times New Roman CYR" w:hAnsi="Times New Roman CYR" w:cs="Times New Roman CYR"/>
        </w:rPr>
        <w:t>и лишь в редких случаях железо (</w:t>
      </w:r>
      <w:r>
        <w:rPr>
          <w:lang w:val="en-US"/>
        </w:rPr>
        <w:t>Fe</w:t>
      </w:r>
      <w:r>
        <w:t xml:space="preserve">), </w:t>
      </w:r>
      <w:r>
        <w:rPr>
          <w:rFonts w:ascii="Times New Roman CYR" w:hAnsi="Times New Roman CYR" w:cs="Times New Roman CYR"/>
        </w:rPr>
        <w:t>алюминий (</w:t>
      </w:r>
      <w:r>
        <w:rPr>
          <w:lang w:val="en-US"/>
        </w:rPr>
        <w:t>Al</w:t>
      </w:r>
      <w:r>
        <w:t xml:space="preserve">) </w:t>
      </w:r>
      <w:r>
        <w:rPr>
          <w:rFonts w:ascii="Times New Roman CYR" w:hAnsi="Times New Roman CYR" w:cs="Times New Roman CYR"/>
        </w:rPr>
        <w:t xml:space="preserve">и некоторые другие. Ионный состав имеет особенно важное </w:t>
      </w:r>
      <w:r>
        <w:rPr>
          <w:rFonts w:ascii="Times New Roman CYR" w:hAnsi="Times New Roman CYR" w:cs="Times New Roman CYR"/>
        </w:rPr>
        <w:lastRenderedPageBreak/>
        <w:t>значение для оценки питьевых минеральных вод и относительно меньшее значение при использовании вод для наружного применения, так как принято считать, что ионы через кожу человека проникают в ограниченном количестве.</w:t>
      </w:r>
    </w:p>
    <w:p w14:paraId="1BC78B71"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В зависимости от процентного содержания отдельных ионов состав минеральных вод может быть либо простым, определяющим 2-3 ионами (воды хлоридные, натриевые, сульфатные, магниево-кальциевые и др.), либо более сложным, определяющимся 4-5, иногда 6 ионами (воды хлоридно-гидрокарбонатные, кальциево-натриевые и др.).</w:t>
      </w:r>
    </w:p>
    <w:p w14:paraId="513D2E30" w14:textId="77777777" w:rsidR="00381DDB" w:rsidRDefault="003712EA">
      <w:pPr>
        <w:widowControl w:val="0"/>
        <w:autoSpaceDE w:val="0"/>
        <w:autoSpaceDN w:val="0"/>
        <w:adjustRightInd w:val="0"/>
        <w:ind w:right="-566" w:firstLine="284"/>
        <w:jc w:val="both"/>
        <w:rPr>
          <w:rFonts w:ascii="Times New Roman CYR" w:hAnsi="Times New Roman CYR" w:cs="Times New Roman CYR"/>
          <w:b/>
          <w:bCs/>
        </w:rPr>
      </w:pPr>
      <w:r>
        <w:rPr>
          <w:b/>
          <w:bCs/>
        </w:rPr>
        <w:t xml:space="preserve">4.4 </w:t>
      </w:r>
      <w:r>
        <w:rPr>
          <w:rFonts w:ascii="Times New Roman CYR" w:hAnsi="Times New Roman CYR" w:cs="Times New Roman CYR"/>
          <w:b/>
          <w:bCs/>
        </w:rPr>
        <w:t>Общая минерализация.</w:t>
      </w:r>
    </w:p>
    <w:p w14:paraId="3321D3DC"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Общая минерализация вод (сумма анионов, катионов и недиссоциированных молекул без растворённых в воде газов в граммах на 1 литр) является весьма важным показателем оценки вод, так как во многих случаях ограничивает возможность их использования в натуральном виде для внутреннего применения, а в некоторых случаях и для ванн.</w:t>
      </w:r>
    </w:p>
    <w:p w14:paraId="33C97265"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При минерализации воды обычно разделяются на: 1) слабоминерализованные - до 1 г/л, 2) средней минерализации - от 1 до 10 г/л, 3) высокой минерализации - от 10 до 50 г/л, 4) рассольные - свыше 50 г/л, в том числе крепкие рассолы - более 150 г/л.</w:t>
      </w:r>
    </w:p>
    <w:p w14:paraId="52364D81"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В группу слабоминерализованных вод входят минеральные воды, ионный состав которых не имеет существенного значения для их бальнеологической оценки. Лечебное значение этих вод обусловливается другими свойствами: повышенной температурой, радиоактивностью, наличием каких-либо биологически активных микрокомпонентов или газов.</w:t>
      </w:r>
    </w:p>
    <w:p w14:paraId="08482C47"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Минеральные воды, преимущественно невысокой минерализации и содержащие ионы кальция, обладают выраженным диуретическим (мочегонным) действием и способствуют выведению из почек, почечных лоханок и мочевого пузыря бактерий, слизи, песка и даже мелких компонентов.</w:t>
      </w:r>
    </w:p>
    <w:p w14:paraId="53D74E2C"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К группе вод средней минерализации относится большинство наиболее ценных питьевых, в первую очередь углекислых минеральных вод.</w:t>
      </w:r>
    </w:p>
    <w:p w14:paraId="05DED889"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Воды высокой минерализации используются преимущественно для ванн. Рассолы применяются только для ванн, в натуральном виде (без разбавления пресной водой) обычно только при минерализации не более 120 - 150 г/л.</w:t>
      </w:r>
    </w:p>
    <w:p w14:paraId="5125BE7C" w14:textId="77777777" w:rsidR="00381DDB" w:rsidRDefault="003712EA">
      <w:pPr>
        <w:widowControl w:val="0"/>
        <w:autoSpaceDE w:val="0"/>
        <w:autoSpaceDN w:val="0"/>
        <w:adjustRightInd w:val="0"/>
        <w:ind w:right="-566" w:firstLine="284"/>
        <w:jc w:val="both"/>
        <w:rPr>
          <w:rFonts w:ascii="Times New Roman CYR" w:hAnsi="Times New Roman CYR" w:cs="Times New Roman CYR"/>
          <w:b/>
          <w:bCs/>
        </w:rPr>
      </w:pPr>
      <w:r>
        <w:rPr>
          <w:b/>
          <w:bCs/>
        </w:rPr>
        <w:t xml:space="preserve">4.5 </w:t>
      </w:r>
      <w:r>
        <w:rPr>
          <w:rFonts w:ascii="Times New Roman CYR" w:hAnsi="Times New Roman CYR" w:cs="Times New Roman CYR"/>
          <w:b/>
          <w:bCs/>
        </w:rPr>
        <w:t>Содержание биологически активных микрокомпонентов.</w:t>
      </w:r>
    </w:p>
    <w:p w14:paraId="30097629"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Кроме основных компонентов ионного и газового состава, определяющих химический тип вод. Во многих водах содержится в повышенных концентрациях те или иные биологически активные микрокомпоненты, обусловливающие иногда основные лечебные свойства вод (например, сероводород), в других случаях обусловливающие дополнительные важные особенности действия вод.</w:t>
      </w:r>
    </w:p>
    <w:p w14:paraId="7606D7EF"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По своему значению для оценки минеральных вод все микрокомпоненты могут быть разделены на две группы:</w:t>
      </w:r>
    </w:p>
    <w:p w14:paraId="7F96F23E"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t>a)</w:t>
      </w:r>
      <w:r>
        <w:tab/>
      </w:r>
      <w:r>
        <w:rPr>
          <w:rFonts w:ascii="Times New Roman CYR" w:hAnsi="Times New Roman CYR" w:cs="Times New Roman CYR"/>
        </w:rPr>
        <w:t>микрокомпоненты, имеющие преимущественное значение при внутреннем применении минеральных вод, - бром (</w:t>
      </w:r>
      <w:r>
        <w:rPr>
          <w:lang w:val="en-US"/>
        </w:rPr>
        <w:t>Br</w:t>
      </w:r>
      <w:r>
        <w:t xml:space="preserve">), </w:t>
      </w:r>
      <w:r>
        <w:rPr>
          <w:rFonts w:ascii="Times New Roman CYR" w:hAnsi="Times New Roman CYR" w:cs="Times New Roman CYR"/>
        </w:rPr>
        <w:t>йод (</w:t>
      </w:r>
      <w:r>
        <w:rPr>
          <w:lang w:val="en-US"/>
        </w:rPr>
        <w:t>J</w:t>
      </w:r>
      <w:r>
        <w:t xml:space="preserve">), </w:t>
      </w:r>
      <w:r>
        <w:rPr>
          <w:rFonts w:ascii="Times New Roman CYR" w:hAnsi="Times New Roman CYR" w:cs="Times New Roman CYR"/>
        </w:rPr>
        <w:t>мышьяк (</w:t>
      </w:r>
      <w:r>
        <w:rPr>
          <w:lang w:val="en-US"/>
        </w:rPr>
        <w:t>As</w:t>
      </w:r>
      <w:r>
        <w:t xml:space="preserve">), </w:t>
      </w:r>
      <w:r>
        <w:rPr>
          <w:rFonts w:ascii="Times New Roman CYR" w:hAnsi="Times New Roman CYR" w:cs="Times New Roman CYR"/>
        </w:rPr>
        <w:t>железо (</w:t>
      </w:r>
      <w:r>
        <w:rPr>
          <w:lang w:val="en-US"/>
        </w:rPr>
        <w:t>Fe</w:t>
      </w:r>
      <w:r>
        <w:t xml:space="preserve">), </w:t>
      </w:r>
      <w:r>
        <w:rPr>
          <w:rFonts w:ascii="Times New Roman CYR" w:hAnsi="Times New Roman CYR" w:cs="Times New Roman CYR"/>
        </w:rPr>
        <w:t>а также органические вещества;</w:t>
      </w:r>
    </w:p>
    <w:p w14:paraId="5CD82FA1" w14:textId="77777777" w:rsidR="00381DDB" w:rsidRDefault="003712EA">
      <w:pPr>
        <w:widowControl w:val="0"/>
        <w:autoSpaceDE w:val="0"/>
        <w:autoSpaceDN w:val="0"/>
        <w:adjustRightInd w:val="0"/>
        <w:ind w:right="-6" w:firstLine="284"/>
        <w:jc w:val="both"/>
      </w:pPr>
      <w:r>
        <w:t>b)</w:t>
      </w:r>
      <w:r>
        <w:tab/>
      </w:r>
      <w:r>
        <w:rPr>
          <w:rFonts w:ascii="Times New Roman CYR" w:hAnsi="Times New Roman CYR" w:cs="Times New Roman CYR"/>
        </w:rPr>
        <w:t>микрокомпоненты, которые могут иметь значение как при внутреннем, так и при наружном применении вод, - метаборная кислота (</w:t>
      </w:r>
      <w:r>
        <w:rPr>
          <w:lang w:val="en-US"/>
        </w:rPr>
        <w:t>HBO</w:t>
      </w:r>
      <w:r>
        <w:rPr>
          <w:vertAlign w:val="subscript"/>
        </w:rPr>
        <w:t>2</w:t>
      </w:r>
      <w:r>
        <w:t xml:space="preserve">) </w:t>
      </w:r>
      <w:r>
        <w:rPr>
          <w:rFonts w:ascii="Times New Roman CYR" w:hAnsi="Times New Roman CYR" w:cs="Times New Roman CYR"/>
        </w:rPr>
        <w:t>и кремневая кислота (</w:t>
      </w:r>
      <w:r>
        <w:rPr>
          <w:lang w:val="en-US"/>
        </w:rPr>
        <w:t>H</w:t>
      </w:r>
      <w:r>
        <w:rPr>
          <w:vertAlign w:val="subscript"/>
        </w:rPr>
        <w:t>2</w:t>
      </w:r>
      <w:r>
        <w:rPr>
          <w:lang w:val="en-US"/>
        </w:rPr>
        <w:t>SiO</w:t>
      </w:r>
      <w:r>
        <w:rPr>
          <w:vertAlign w:val="subscript"/>
        </w:rPr>
        <w:t>3</w:t>
      </w:r>
      <w:r>
        <w:t>);</w:t>
      </w:r>
    </w:p>
    <w:p w14:paraId="6CA81E1C" w14:textId="77777777" w:rsidR="00381DDB" w:rsidRDefault="003712EA">
      <w:pPr>
        <w:widowControl w:val="0"/>
        <w:autoSpaceDE w:val="0"/>
        <w:autoSpaceDN w:val="0"/>
        <w:adjustRightInd w:val="0"/>
        <w:ind w:right="-6" w:firstLine="284"/>
        <w:jc w:val="both"/>
      </w:pPr>
      <w:r>
        <w:t>c)</w:t>
      </w:r>
      <w:r>
        <w:tab/>
      </w:r>
      <w:r>
        <w:rPr>
          <w:rFonts w:ascii="Times New Roman CYR" w:hAnsi="Times New Roman CYR" w:cs="Times New Roman CYR"/>
        </w:rPr>
        <w:t>микрокомпоненты, имеющие значение только при наружном применении вод - сероводород (</w:t>
      </w:r>
      <w:r>
        <w:rPr>
          <w:lang w:val="en-US"/>
        </w:rPr>
        <w:t>H</w:t>
      </w:r>
      <w:r>
        <w:rPr>
          <w:vertAlign w:val="subscript"/>
        </w:rPr>
        <w:t>2</w:t>
      </w:r>
      <w:r>
        <w:rPr>
          <w:lang w:val="en-US"/>
        </w:rPr>
        <w:t>S</w:t>
      </w:r>
      <w:r>
        <w:t>).</w:t>
      </w:r>
    </w:p>
    <w:p w14:paraId="08980439"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Отнесение сероводорода к специфическим компонентам обусловливается тем, что в общем газовом составе вод он часто занимает незначительное место, но имеет тем не менее весьма важное терапевтическое значение.</w:t>
      </w:r>
    </w:p>
    <w:p w14:paraId="4AE6AF7C" w14:textId="77777777" w:rsidR="00381DDB" w:rsidRDefault="003712EA">
      <w:pPr>
        <w:widowControl w:val="0"/>
        <w:tabs>
          <w:tab w:val="left" w:pos="2520"/>
        </w:tabs>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t xml:space="preserve">Биологически активные вещества, содержащиеся в некоторых водах, всасываясь из желудочно-кишечного тракта, оказывают специфическое действие. Так, железо предупреждает развитие анемии, йод стимулирует окислительно-восстановительные процессы </w:t>
      </w:r>
      <w:r>
        <w:rPr>
          <w:rFonts w:ascii="Times New Roman CYR" w:hAnsi="Times New Roman CYR" w:cs="Times New Roman CYR"/>
        </w:rPr>
        <w:lastRenderedPageBreak/>
        <w:t>в организме, усиливает функцию щитовидной железы, бром способствует процессам торможения центральной нервной системы.</w:t>
      </w:r>
    </w:p>
    <w:p w14:paraId="0EE70B68" w14:textId="77777777" w:rsidR="00381DDB" w:rsidRDefault="003712EA">
      <w:pPr>
        <w:widowControl w:val="0"/>
        <w:autoSpaceDE w:val="0"/>
        <w:autoSpaceDN w:val="0"/>
        <w:adjustRightInd w:val="0"/>
        <w:ind w:firstLine="284"/>
        <w:jc w:val="both"/>
        <w:rPr>
          <w:rFonts w:ascii="Times New Roman CYR" w:hAnsi="Times New Roman CYR" w:cs="Times New Roman CYR"/>
          <w:b/>
          <w:bCs/>
        </w:rPr>
      </w:pPr>
      <w:r>
        <w:rPr>
          <w:b/>
          <w:bCs/>
        </w:rPr>
        <w:t xml:space="preserve">4.6 </w:t>
      </w:r>
      <w:r>
        <w:rPr>
          <w:rFonts w:ascii="Times New Roman CYR" w:hAnsi="Times New Roman CYR" w:cs="Times New Roman CYR"/>
          <w:b/>
          <w:bCs/>
        </w:rPr>
        <w:t xml:space="preserve">Температура. </w:t>
      </w:r>
    </w:p>
    <w:p w14:paraId="50AD42B6"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Температура минеральных вод - одно из важнейших свойств, определяющих ценность. Методы и технику практического применения вод в курортном деле.</w:t>
      </w:r>
    </w:p>
    <w:p w14:paraId="21E52738"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В настоящее время природные воды по температуре подразделяют на 7 групп, перечисленных в таблице (см. приложение). Практически в курортном деле к категории горячих (термальных) вод относят воды с температурой от 35 до 42</w:t>
      </w:r>
      <w:r>
        <w:rPr>
          <w:rFonts w:ascii="Symbol" w:hAnsi="Symbol" w:cs="Symbol"/>
        </w:rPr>
        <w:t>°</w:t>
      </w:r>
      <w:r>
        <w:t xml:space="preserve">, </w:t>
      </w:r>
      <w:r>
        <w:rPr>
          <w:rFonts w:ascii="Times New Roman CYR" w:hAnsi="Times New Roman CYR" w:cs="Times New Roman CYR"/>
        </w:rPr>
        <w:t xml:space="preserve">которые являются наиболее ценными и удобными для лечебного использования в виде ванн, так как не требуют ни подогрева, ни сложных устройств для охлаждения. </w:t>
      </w:r>
    </w:p>
    <w:p w14:paraId="6F1E66C8"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 xml:space="preserve">В последние годы термальные и особенно высокотермальные воды приобретают всё большее значение как ценные тепловые ресурсы, успешно использующиеся для теплофикации, а в некоторых случаях (при наличии перегретых вод) и для получения электроэнергии. </w:t>
      </w:r>
    </w:p>
    <w:p w14:paraId="7C5A05E2" w14:textId="77777777" w:rsidR="00381DDB" w:rsidRDefault="003712EA">
      <w:pPr>
        <w:widowControl w:val="0"/>
        <w:autoSpaceDE w:val="0"/>
        <w:autoSpaceDN w:val="0"/>
        <w:adjustRightInd w:val="0"/>
        <w:ind w:right="-566" w:firstLine="284"/>
        <w:jc w:val="both"/>
        <w:rPr>
          <w:rFonts w:ascii="Times New Roman CYR" w:hAnsi="Times New Roman CYR" w:cs="Times New Roman CYR"/>
          <w:b/>
          <w:bCs/>
        </w:rPr>
      </w:pPr>
      <w:r>
        <w:rPr>
          <w:b/>
          <w:bCs/>
        </w:rPr>
        <w:t xml:space="preserve">4.7 </w:t>
      </w:r>
      <w:r>
        <w:rPr>
          <w:rFonts w:ascii="Times New Roman CYR" w:hAnsi="Times New Roman CYR" w:cs="Times New Roman CYR"/>
          <w:b/>
          <w:bCs/>
        </w:rPr>
        <w:t>Радиоактивность.</w:t>
      </w:r>
    </w:p>
    <w:p w14:paraId="24A0996D"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В РФ к радиоактивным водам относятся воды, содержащие в повышенных концентрациях радон (</w:t>
      </w:r>
      <w:r>
        <w:rPr>
          <w:lang w:val="en-US"/>
        </w:rPr>
        <w:t>Rn</w:t>
      </w:r>
      <w:r>
        <w:t xml:space="preserve"> </w:t>
      </w:r>
      <w:r>
        <w:rPr>
          <w:rFonts w:ascii="Times New Roman CYR" w:hAnsi="Times New Roman CYR" w:cs="Times New Roman CYR"/>
        </w:rPr>
        <w:t>более 10 ед. Махе). При повышенном содержании в этих водах и радия (</w:t>
      </w:r>
      <w:r>
        <w:rPr>
          <w:lang w:val="en-US"/>
        </w:rPr>
        <w:t>Ra</w:t>
      </w:r>
      <w:r>
        <w:t xml:space="preserve"> </w:t>
      </w:r>
      <w:r>
        <w:rPr>
          <w:rFonts w:ascii="Times New Roman CYR" w:hAnsi="Times New Roman CYR" w:cs="Times New Roman CYR"/>
        </w:rPr>
        <w:t>более 1*10</w:t>
      </w:r>
      <w:r>
        <w:rPr>
          <w:vertAlign w:val="superscript"/>
        </w:rPr>
        <w:t>-11</w:t>
      </w:r>
      <w:r>
        <w:t xml:space="preserve"> </w:t>
      </w:r>
      <w:r>
        <w:rPr>
          <w:rFonts w:ascii="Times New Roman CYR" w:hAnsi="Times New Roman CYR" w:cs="Times New Roman CYR"/>
        </w:rPr>
        <w:t>г/л) воды обозначаются как радоно-радиевы. При повышенном содержании в водах только радия (при незначительном количестве радона) воды называются радиевыми. В практике российского курортного дела воды с высоким содержанием радия в качестве питьевых лечебных вод не используются. В питьевых минеральных водах желательно возможно меньшее содержание радия, а также урана.</w:t>
      </w:r>
    </w:p>
    <w:p w14:paraId="402ABAD9"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В прошлом радиоактивные (радоновые) воды неправильно относили к группе газовых вод на том основании, что радон является газом. Однако в настоящее время они выделяются в самостоятельную группу вод, так как их лечебное действие обусловливается не радоном, как газом, а выделяемыми им короткоживущими продуктами его распада (</w:t>
      </w:r>
      <w:r>
        <w:rPr>
          <w:lang w:val="en-US"/>
        </w:rPr>
        <w:t>RaA</w:t>
      </w:r>
      <w:r>
        <w:t xml:space="preserve">, RaB, RaC </w:t>
      </w:r>
      <w:r>
        <w:rPr>
          <w:rFonts w:ascii="Times New Roman CYR" w:hAnsi="Times New Roman CYR" w:cs="Times New Roman CYR"/>
        </w:rPr>
        <w:t xml:space="preserve">и др.) - радиоактивными излучениями, в основном </w:t>
      </w:r>
      <w:r>
        <w:rPr>
          <w:rFonts w:ascii="Symbol" w:hAnsi="Symbol" w:cs="Symbol"/>
        </w:rPr>
        <w:t>a</w:t>
      </w:r>
      <w:r>
        <w:t xml:space="preserve"> - </w:t>
      </w:r>
      <w:r>
        <w:rPr>
          <w:rFonts w:ascii="Times New Roman CYR" w:hAnsi="Times New Roman CYR" w:cs="Times New Roman CYR"/>
        </w:rPr>
        <w:t>лучами. Кроме того, следует иметь в виду, что абсолютные количества радона даже в наиболее сильно активных водах несоизмеримо малы по сравнению с количеством других газов и никогда не отражаются на общем газовом составе вод.</w:t>
      </w:r>
    </w:p>
    <w:p w14:paraId="424EDEEA"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Среди природных минеральных вод встречаются воды с различной радиоактивностью, определяющейся геологическими условиями их формирования и гидрогеологическими условиями поступления радона из пород в воды (от нескольких единиц  и десятков единиц Махе до тысяч единиц Махе).</w:t>
      </w:r>
    </w:p>
    <w:p w14:paraId="66CA86CE"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 xml:space="preserve">Твёрдо установленного подразделения минеральных вод по степени радиоактивности нет. Приводимое в таблице приложения деление вод по содержанию радона основывается не на медицинских, а на радио-гидрогеологических данных. </w:t>
      </w:r>
    </w:p>
    <w:p w14:paraId="02A277D6" w14:textId="77777777" w:rsidR="00381DDB" w:rsidRDefault="003712EA">
      <w:pPr>
        <w:widowControl w:val="0"/>
        <w:autoSpaceDE w:val="0"/>
        <w:autoSpaceDN w:val="0"/>
        <w:adjustRightInd w:val="0"/>
        <w:ind w:right="-566" w:firstLine="284"/>
        <w:jc w:val="both"/>
        <w:rPr>
          <w:rFonts w:ascii="Times New Roman CYR" w:hAnsi="Times New Roman CYR" w:cs="Times New Roman CYR"/>
          <w:b/>
          <w:bCs/>
        </w:rPr>
      </w:pPr>
      <w:r>
        <w:rPr>
          <w:b/>
          <w:bCs/>
        </w:rPr>
        <w:t xml:space="preserve">4.8 </w:t>
      </w:r>
      <w:r>
        <w:rPr>
          <w:rFonts w:ascii="Times New Roman CYR" w:hAnsi="Times New Roman CYR" w:cs="Times New Roman CYR"/>
          <w:b/>
          <w:bCs/>
        </w:rPr>
        <w:t>Кислотность-щелочность.</w:t>
      </w:r>
    </w:p>
    <w:p w14:paraId="2DDC0EE8"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 xml:space="preserve">Согласно современным представлениям о физико-химических свойствах природных вод кислотность-щелочность вод определяется концентрацией водородных ионов, выражаемой величиной </w:t>
      </w:r>
      <w:r>
        <w:rPr>
          <w:lang w:val="en-US"/>
        </w:rPr>
        <w:t>pH</w:t>
      </w:r>
      <w:r>
        <w:t xml:space="preserve">. </w:t>
      </w:r>
      <w:r>
        <w:rPr>
          <w:rFonts w:ascii="Times New Roman CYR" w:hAnsi="Times New Roman CYR" w:cs="Times New Roman CYR"/>
        </w:rPr>
        <w:t>Концентрация ионов водорода, обусловливающая возможность существования в водах различных форм слабых кислот (</w:t>
      </w:r>
      <w:r>
        <w:rPr>
          <w:lang w:val="en-US"/>
        </w:rPr>
        <w:t>H</w:t>
      </w:r>
      <w:r>
        <w:rPr>
          <w:vertAlign w:val="subscript"/>
        </w:rPr>
        <w:t>2</w:t>
      </w:r>
      <w:r>
        <w:rPr>
          <w:lang w:val="en-US"/>
        </w:rPr>
        <w:t>CO</w:t>
      </w:r>
      <w:r>
        <w:rPr>
          <w:vertAlign w:val="subscript"/>
        </w:rPr>
        <w:t>3</w:t>
      </w:r>
      <w:r>
        <w:t xml:space="preserve">, </w:t>
      </w:r>
      <w:r>
        <w:rPr>
          <w:lang w:val="en-US"/>
        </w:rPr>
        <w:t>H</w:t>
      </w:r>
      <w:r>
        <w:rPr>
          <w:vertAlign w:val="subscript"/>
        </w:rPr>
        <w:t>2</w:t>
      </w:r>
      <w:r>
        <w:rPr>
          <w:lang w:val="en-US"/>
        </w:rPr>
        <w:t>S</w:t>
      </w:r>
      <w:r>
        <w:t xml:space="preserve">, </w:t>
      </w:r>
      <w:r>
        <w:rPr>
          <w:lang w:val="en-US"/>
        </w:rPr>
        <w:t>H</w:t>
      </w:r>
      <w:r>
        <w:rPr>
          <w:vertAlign w:val="subscript"/>
        </w:rPr>
        <w:t>2</w:t>
      </w:r>
      <w:r>
        <w:rPr>
          <w:lang w:val="en-US"/>
        </w:rPr>
        <w:t>SiO</w:t>
      </w:r>
      <w:r>
        <w:rPr>
          <w:vertAlign w:val="subscript"/>
        </w:rPr>
        <w:t>3</w:t>
      </w:r>
      <w:r>
        <w:t xml:space="preserve">, </w:t>
      </w:r>
      <w:r>
        <w:rPr>
          <w:lang w:val="en-US"/>
        </w:rPr>
        <w:t>H</w:t>
      </w:r>
      <w:r>
        <w:rPr>
          <w:vertAlign w:val="subscript"/>
        </w:rPr>
        <w:t>3</w:t>
      </w:r>
      <w:r>
        <w:rPr>
          <w:lang w:val="en-US"/>
        </w:rPr>
        <w:t>PO</w:t>
      </w:r>
      <w:r>
        <w:rPr>
          <w:vertAlign w:val="subscript"/>
        </w:rPr>
        <w:t>4</w:t>
      </w:r>
      <w:r>
        <w:t xml:space="preserve">, </w:t>
      </w:r>
      <w:r>
        <w:rPr>
          <w:rFonts w:ascii="Times New Roman CYR" w:hAnsi="Times New Roman CYR" w:cs="Times New Roman CYR"/>
        </w:rPr>
        <w:t xml:space="preserve">органических кислот), является важным показателем оценки минеральных, в особенности питьевых, вод, который, однако, до настоящего времени почти не учитывается. В зависимости от условий формирования кислотность-щелочность природных минеральных вод колеблется в широких пределах от </w:t>
      </w:r>
      <w:r>
        <w:rPr>
          <w:lang w:val="en-US"/>
        </w:rPr>
        <w:t>pH</w:t>
      </w:r>
      <w:r>
        <w:t xml:space="preserve">=2,0 - 3,0 </w:t>
      </w:r>
      <w:r>
        <w:rPr>
          <w:rFonts w:ascii="Times New Roman CYR" w:hAnsi="Times New Roman CYR" w:cs="Times New Roman CYR"/>
        </w:rPr>
        <w:t xml:space="preserve">и ниже до </w:t>
      </w:r>
      <w:r>
        <w:rPr>
          <w:lang w:val="en-US"/>
        </w:rPr>
        <w:t>pH</w:t>
      </w:r>
      <w:r>
        <w:t xml:space="preserve">=8,5 - 9,5. </w:t>
      </w:r>
      <w:r>
        <w:rPr>
          <w:rFonts w:ascii="Times New Roman CYR" w:hAnsi="Times New Roman CYR" w:cs="Times New Roman CYR"/>
        </w:rPr>
        <w:t xml:space="preserve">По величине </w:t>
      </w:r>
      <w:r>
        <w:rPr>
          <w:lang w:val="en-US"/>
        </w:rPr>
        <w:t>pH</w:t>
      </w:r>
      <w:r>
        <w:t xml:space="preserve"> </w:t>
      </w:r>
      <w:r>
        <w:rPr>
          <w:rFonts w:ascii="Times New Roman CYR" w:hAnsi="Times New Roman CYR" w:cs="Times New Roman CYR"/>
        </w:rPr>
        <w:t>довольно чётко выделяется 5 групп вод (см. приложение).</w:t>
      </w:r>
    </w:p>
    <w:p w14:paraId="6E349CAB" w14:textId="77777777" w:rsidR="00381DDB" w:rsidRDefault="003712EA">
      <w:pPr>
        <w:widowControl w:val="0"/>
        <w:autoSpaceDE w:val="0"/>
        <w:autoSpaceDN w:val="0"/>
        <w:adjustRightInd w:val="0"/>
        <w:ind w:right="-567" w:firstLine="284"/>
        <w:jc w:val="center"/>
        <w:rPr>
          <w:rFonts w:ascii="Times New Roman CYR" w:hAnsi="Times New Roman CYR" w:cs="Times New Roman CYR"/>
          <w:b/>
          <w:bCs/>
          <w:u w:val="single"/>
        </w:rPr>
      </w:pPr>
      <w:r>
        <w:rPr>
          <w:b/>
          <w:bCs/>
        </w:rPr>
        <w:br w:type="page"/>
      </w:r>
      <w:r>
        <w:rPr>
          <w:b/>
          <w:bCs/>
          <w:u w:val="single"/>
        </w:rPr>
        <w:lastRenderedPageBreak/>
        <w:t>5.</w:t>
      </w:r>
      <w:r>
        <w:rPr>
          <w:rFonts w:ascii="Times New Roman CYR" w:hAnsi="Times New Roman CYR" w:cs="Times New Roman CYR"/>
          <w:b/>
          <w:bCs/>
          <w:u w:val="single"/>
        </w:rPr>
        <w:t>Основные методы бальнеологического лечения и их применение.</w:t>
      </w:r>
    </w:p>
    <w:p w14:paraId="736B3A6A"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К бальнеологическим методам лечения относится применение различных процедур из минеральных вод и лечебных грязей.</w:t>
      </w:r>
    </w:p>
    <w:p w14:paraId="73ACDCBB"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Минеральные воды используются в виде ванн, купаний в бассейнах, душей, различных орошений и промываний, ингаляции, а также питьевого лечения.</w:t>
      </w:r>
    </w:p>
    <w:p w14:paraId="499CE53F" w14:textId="77777777" w:rsidR="00381DDB" w:rsidRDefault="003712EA">
      <w:pPr>
        <w:widowControl w:val="0"/>
        <w:autoSpaceDE w:val="0"/>
        <w:autoSpaceDN w:val="0"/>
        <w:adjustRightInd w:val="0"/>
        <w:ind w:right="-566" w:firstLine="284"/>
        <w:jc w:val="both"/>
        <w:rPr>
          <w:rFonts w:ascii="Times New Roman CYR" w:hAnsi="Times New Roman CYR" w:cs="Times New Roman CYR"/>
          <w:b/>
          <w:bCs/>
        </w:rPr>
      </w:pPr>
      <w:r>
        <w:rPr>
          <w:b/>
          <w:bCs/>
        </w:rPr>
        <w:t xml:space="preserve">5.1 </w:t>
      </w:r>
      <w:r>
        <w:rPr>
          <w:rFonts w:ascii="Times New Roman CYR" w:hAnsi="Times New Roman CYR" w:cs="Times New Roman CYR"/>
          <w:b/>
          <w:bCs/>
        </w:rPr>
        <w:t>Ванны.</w:t>
      </w:r>
    </w:p>
    <w:p w14:paraId="231390B5"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Из бальнеологических процедур, воздействующих на кожу, наиболее широко используются различного рода ванны. В основе действия ванн лежит влияние воду разной температуры на многочисленные нервные окончания (рецепторы), заложенные в коже. В результате раздражения кожных терморецепторов происходят рефлекторные изменения в системе кровообращения, в интенсивности процессов обмена веществ в организме. При приёме горячих ванн усиливается кровоснабжение кожи и хронических воспалительных очагов. В результате усиления кровообращения в коже в организм поступают из ванны значительные количества тепла, что ведёт к повышению интенсивности окислительных процессов и, в частности, к окислению патологических продуктов, образующихся в воспалительных очагах, и их выведению из организма, а также к ускорению восстановительных процессов в патологических очагах. Улучшение кровоснабжения кожи способствует и улучшению её физиологических функций, в частности функции иммуногенеза.</w:t>
      </w:r>
    </w:p>
    <w:p w14:paraId="40A33C08"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При приёме холодных ванн сначала происходит быстрое сужение кожных сосудов, которое вскоре сменяется их расширением.</w:t>
      </w:r>
    </w:p>
    <w:p w14:paraId="5142D54C"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Под влиянием холодных процедур происходит повышение тонуса нервной системы и тонуса мышц. Эти процедуры оказывают тонизирующее действие, ведут к тренировке терморегуляционных механизмов организма.</w:t>
      </w:r>
    </w:p>
    <w:p w14:paraId="0BFDAF03"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Ванны так называемых индифферентных температур (температур, близких к температуре кожи) не оказывают раздражающее действие на терморецепторы кожи, не вызывают связанного с этим перераспределения крови в организме, а следовательно, не предъявляют повышенных требований к сердечно-сосудистой системе. Они снижают повышенную возбудимость нервной системы, вызывают развитие торможения в коре головного мозга. Поэтому такие ванны широко используются при лечении гипертонической болезни, при наклонности к сосудистым и мышечным спазмам, при дискинезиях (расстройствах двигательной функции) внутренних органов, при гиперстенических формах неврозов.</w:t>
      </w:r>
    </w:p>
    <w:p w14:paraId="1E2FB6DF"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При пользовании различными минеральными ваннами охарактеризованные выше закономерности влияния ванн, зависящие от их температуры, полностью сохраняются. Однако в их действии выделяется целый ряд особенностей, обусловленных их физико-химическим составом и свойствами. В некоторых минеральных ваннах (газовых, содержащих фармакологически активные вещества, например, сероводород) эти особенности весьма существенны, но они никогда не снимают основной реакции организма на температуру ванны.</w:t>
      </w:r>
    </w:p>
    <w:p w14:paraId="27874601"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В настоящее время нельзя считать окончательно разрешённым вопрос о том, проникают или нет через неподвижную кожу во внутреннюю среду организма различные вещества, содержащиеся в минеральных ваннах. Если можно считать точно доказанным, что растворённые в воде газы (углекислота, сероводород, радон и др.) проникают в организм при приёме соответствующих ванн и оказывают там присущее им действие, то в отношении минеральных веществ (различных солей), содержащихся в лечебных водах, до сих пор не получено убедительных доказательств их проникновения в организм через неповреждённую кожу. Большинство бальнеологов в настоящее время отрицает такую возможность. Есть основания предполагать, что через неповреждённую кожу могут проникать в организм некоторые органические вещества, содержащиеся в минеральных водах, правда, в минимальных количествах.</w:t>
      </w:r>
    </w:p>
    <w:p w14:paraId="0B9568A9"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 xml:space="preserve">По современным представлениям, соли, растворённые в минеральных водах, не проникают </w:t>
      </w:r>
      <w:r>
        <w:rPr>
          <w:rFonts w:ascii="Times New Roman CYR" w:hAnsi="Times New Roman CYR" w:cs="Times New Roman CYR"/>
        </w:rPr>
        <w:lastRenderedPageBreak/>
        <w:t>при приёме ванн внутрь организма. Этот факт не противоречит тому, что действие минеральных ванн отличается определёнными особенностями от действия ванн из пресной воды. Из этого факта не следует также делать вывода о том, что физико-химический состав и свойства минеральной воды не имеют значения при её наружном применении, и о том, что больному безразлично, какую минеральную ванну ему назначают.</w:t>
      </w:r>
    </w:p>
    <w:p w14:paraId="7DDCDC21"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Хотя во время приёма минеральных ванн растворённые в них соли и не проникают внутрь организма, они раздражают нервные окончания, заложенные в коже; кожа получает при этом не только температурные, но и химические раздражения. Поэтому минеральные ванны обычно действуют активнее, чем пресные ванны той же температуры, и притом тем активнее, чем выше минерализация воды. Кроме того, во время приёма минеральной ванны некоторая часть растворённых в ней солей адсорбируется кожей, образуя на ней так называемый «солевой плащ» (А. А. Лозинский), который продолжает оказывать раздражающее действие и после выхода больного из ванны. При очень высокой минерализации воды (так называемые рассолы) это раздражающее действие бывает так велико, что может вызвать патологические изменения кожи. При использовании таких вод их или разводят пресной водой, или назначают после ванны пресный душ.</w:t>
      </w:r>
    </w:p>
    <w:p w14:paraId="1CF5DBCC"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Некоторые минводы обладают резко выраженной щелочной реакцией. Особенностью действия ванн из такой воды является их смягчающее кожу действие, что особенно важно при некоторых кожных заболеваниях. Наоборот, минводы, обладающие кислой реакцией, действуют на кожу и слизистые оболочки «дубящим» образом, снижая интенсивность воспалительных процессов в них. Поэтому кислые воды с успехом используются для гинекологических орошений при воспалительных заболеваниях женских половых органов и для ванн при некоторых кожных заболеваниях.</w:t>
      </w:r>
    </w:p>
    <w:p w14:paraId="1EFDD3B0"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Наиболее выраженными особенностями отличается действие ванн из минвод, содержащих значительные количества растворённых газов (углекислота, азот, метан) или хотя бы сравнительно небольшие количества особо активных в биологическом отношении газов - сероводорода и радона. На теле принимающего ванну, содержащую большое количество газа, осаждаются многочисленные мелкие пузырьки этого газа, что создаёт своеобразные условия для кожи. Как известно, индифферентная температура у воды и газов различна - у воды она близка к температуре кожи (34-35</w:t>
      </w:r>
      <w:r>
        <w:rPr>
          <w:rFonts w:ascii="Symbol" w:hAnsi="Symbol" w:cs="Symbol"/>
        </w:rPr>
        <w:t>°</w:t>
      </w:r>
      <w:r>
        <w:t xml:space="preserve">), </w:t>
      </w:r>
      <w:r>
        <w:rPr>
          <w:rFonts w:ascii="Times New Roman CYR" w:hAnsi="Times New Roman CYR" w:cs="Times New Roman CYR"/>
        </w:rPr>
        <w:t>а у газов равняется примерно 20-23</w:t>
      </w:r>
      <w:r>
        <w:rPr>
          <w:rFonts w:ascii="Symbol" w:hAnsi="Symbol" w:cs="Symbol"/>
        </w:rPr>
        <w:t>°</w:t>
      </w:r>
      <w:r>
        <w:t xml:space="preserve">. </w:t>
      </w:r>
      <w:r>
        <w:rPr>
          <w:rFonts w:ascii="Times New Roman CYR" w:hAnsi="Times New Roman CYR" w:cs="Times New Roman CYR"/>
        </w:rPr>
        <w:t>При приёме такой газовой ванны рецепторы кожи испытывают резко различные раздражения в зависимости от того, прилегает ли к данному участку кожи вода или пузырёк газа. При приёме таких ванн постоянно происходит движение пузырьков газа - одни из них отрываются от кожи и к этому участку вновь прилегает вода, а на других участках пузырьки образуются вновь, то станет ясно, в каких своеобразных условиях находятся в таких ваннах терморецепторный аппарат кожи и тесно связанные с ним сосуды. При тепловом раздражении в газовых ваннах происходит своеобразная гимнастика сосудов кожи и как её следствие их тренировка. Поэтому газовые и в первую очередь углекислые ванны с успехом применяются в тех случаях, когда необходима тренировка нервно-сосудистого аппарата.</w:t>
      </w:r>
    </w:p>
    <w:p w14:paraId="0AAED1B8" w14:textId="77777777" w:rsidR="00381DDB" w:rsidRDefault="003712EA">
      <w:pPr>
        <w:keepNext/>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b/>
          <w:bCs/>
        </w:rPr>
        <w:t>Углекислота</w:t>
      </w:r>
      <w:r>
        <w:t xml:space="preserve">, </w:t>
      </w:r>
      <w:r>
        <w:rPr>
          <w:rFonts w:ascii="Times New Roman CYR" w:hAnsi="Times New Roman CYR" w:cs="Times New Roman CYR"/>
        </w:rPr>
        <w:t>проникая в кожу, вызывает общее расширение сосудов, так что происходящая в углекислой ванне гимнастика сосудов не влечёт за собой значительного повышения требования к работе сердца, чем и объясняется широкое их применение при многих заболеваниях сердечно-сосудистой системы. Кроме того, углекислота, поступающая в организм через кожу, вызывает повышение концентрации её в тканях; это вызывает рефлекторное повышение дыхательной функции, что также полезно при дыхательных заболеваниях.</w:t>
      </w:r>
    </w:p>
    <w:p w14:paraId="6FB03DF5"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b/>
          <w:bCs/>
        </w:rPr>
        <w:t>Сероводородные</w:t>
      </w:r>
      <w:r>
        <w:t xml:space="preserve"> </w:t>
      </w:r>
      <w:r>
        <w:rPr>
          <w:rFonts w:ascii="Times New Roman CYR" w:hAnsi="Times New Roman CYR" w:cs="Times New Roman CYR"/>
        </w:rPr>
        <w:t xml:space="preserve">ванны способствуют резкому расширению кожных сосудов (реакция покраснения), что значительно облегчает работу сердца. Действие сероводорода резко улучшает функции кожи и течение регенеративных процессов в ней, питает её. Эти ванны </w:t>
      </w:r>
      <w:r>
        <w:rPr>
          <w:rFonts w:ascii="Times New Roman CYR" w:hAnsi="Times New Roman CYR" w:cs="Times New Roman CYR"/>
        </w:rPr>
        <w:lastRenderedPageBreak/>
        <w:t>благоприятно влияют на процессы обмена веществ, усиливают выведение из организма продуктов распада белков и нормализуют жировой обмен, а также усиливают процессы иммуногенеза. В результате усиления обмена веществ усиливается выведение из организма различных токсических продуктов, как образующихся в организме, так и поступающих извне.</w:t>
      </w:r>
    </w:p>
    <w:p w14:paraId="5745D018"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 xml:space="preserve">Высокая активность сероводородных ванн делает их весьма ценными при лечении ряда заболеваний сердечно-сосудистой системы. Особенно связанных с нарушениями обмена веществ, при хронических воспалительных и обменных заболеваниях костей, суставов, мышц и периферических нервов, при хронических профессиональных отравлениях, при кожных, гинекологических и других заболеваниях. Содержащийся в некоторых минводах радиоактивный газ </w:t>
      </w:r>
      <w:r>
        <w:rPr>
          <w:rFonts w:ascii="Times New Roman CYR" w:hAnsi="Times New Roman CYR" w:cs="Times New Roman CYR"/>
          <w:b/>
          <w:bCs/>
        </w:rPr>
        <w:t>радон</w:t>
      </w:r>
      <w:r>
        <w:t xml:space="preserve"> </w:t>
      </w:r>
      <w:r>
        <w:rPr>
          <w:rFonts w:ascii="Times New Roman CYR" w:hAnsi="Times New Roman CYR" w:cs="Times New Roman CYR"/>
        </w:rPr>
        <w:t>действует своими излучениями как на поверхность кожи, так и на внутренние органы, проникая во внутреннюю среду организма при приме ванн через кожу и при дыхании. Из многочисленных клинических наблюдений известно, что радоновые ванны обладают обезболивающим действием, они благоприятно действуют на некоторые заболевания суставов, стимулируют обмен веществ. Радоновые ванны индифферентных температур благоприятно действуют при гипертонической болезни, неврозах с сердечно-сосудистыми проявлениями и т.п.</w:t>
      </w:r>
    </w:p>
    <w:p w14:paraId="2C4D1EBB" w14:textId="77777777" w:rsidR="00381DDB" w:rsidRDefault="003712EA">
      <w:pPr>
        <w:widowControl w:val="0"/>
        <w:autoSpaceDE w:val="0"/>
        <w:autoSpaceDN w:val="0"/>
        <w:adjustRightInd w:val="0"/>
        <w:ind w:right="-566" w:firstLine="284"/>
        <w:jc w:val="both"/>
        <w:rPr>
          <w:rFonts w:ascii="Times New Roman CYR" w:hAnsi="Times New Roman CYR" w:cs="Times New Roman CYR"/>
          <w:b/>
          <w:bCs/>
        </w:rPr>
      </w:pPr>
      <w:r>
        <w:rPr>
          <w:b/>
          <w:bCs/>
        </w:rPr>
        <w:t xml:space="preserve">5.2 </w:t>
      </w:r>
      <w:r>
        <w:rPr>
          <w:rFonts w:ascii="Times New Roman CYR" w:hAnsi="Times New Roman CYR" w:cs="Times New Roman CYR"/>
          <w:b/>
          <w:bCs/>
        </w:rPr>
        <w:t>Купания.</w:t>
      </w:r>
    </w:p>
    <w:p w14:paraId="25A0C8FF"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В бассейнах с минводой в основном купания аналогичны действию соответствующих ванн, но они имеют и ряд существенных особенностей. При купаниях в бассейнах больные обычно двигаются, причем движения  производить значительно легче, чем в воздухе, во-первых, потому, что тело человека в воде теряет примерно 9/10 своего веса. А во-вторых, потому, что в тёплой и горячей воде снимаются болевые ощущения, которые часто ограничивают движения на воздухе. Поэтому при ряде заболеваний, сопровождающихся ограничением подвижности в суставах, купания в бассейнах имеют преимущества перед приёмом ванн. При купаниях в бассейнах нижние конечности и тазовая область испытывают большее давление, чем грудная клетка, это способствует лучшему оттоку крови и лимфы из них, что имеет существенное значение при хронических воспалительных процессах с локализацией в этих областях. При купаниях на теле купающихся оседает значительно больше продуктов распада радона, чем при приёме ванн. Эти продукты распада радона также обладают радиоактивностью, и такой «активный налёт» имеет существенное значение в действии радиоактивных процедур.</w:t>
      </w:r>
    </w:p>
    <w:p w14:paraId="244BA90B" w14:textId="77777777" w:rsidR="00381DDB" w:rsidRDefault="003712EA">
      <w:pPr>
        <w:widowControl w:val="0"/>
        <w:autoSpaceDE w:val="0"/>
        <w:autoSpaceDN w:val="0"/>
        <w:adjustRightInd w:val="0"/>
        <w:ind w:right="-566" w:firstLine="284"/>
        <w:jc w:val="both"/>
        <w:rPr>
          <w:rFonts w:ascii="Times New Roman CYR" w:hAnsi="Times New Roman CYR" w:cs="Times New Roman CYR"/>
          <w:b/>
          <w:bCs/>
        </w:rPr>
      </w:pPr>
      <w:r>
        <w:rPr>
          <w:b/>
          <w:bCs/>
        </w:rPr>
        <w:t xml:space="preserve">5.3 </w:t>
      </w:r>
      <w:r>
        <w:rPr>
          <w:rFonts w:ascii="Times New Roman CYR" w:hAnsi="Times New Roman CYR" w:cs="Times New Roman CYR"/>
          <w:b/>
          <w:bCs/>
        </w:rPr>
        <w:t>Промывания и орошения.</w:t>
      </w:r>
    </w:p>
    <w:p w14:paraId="05A0CCA3"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 xml:space="preserve">Минводы применяются для различного рода промываний и орошений - гинекологических, кишечных и т.п., для полоскания полости рта и глотки и некоторых других процедур. При этих процедурах механическому и химическому действию минводы подвергаются непосредственно те или иные слизистые оболочки. Эти методы использования минвод весьма эффективны при ряде заболеваний желудочно-кишечного тракта и женских половых органов. </w:t>
      </w:r>
    </w:p>
    <w:p w14:paraId="04D74131" w14:textId="77777777" w:rsidR="00381DDB" w:rsidRDefault="003712EA">
      <w:pPr>
        <w:widowControl w:val="0"/>
        <w:autoSpaceDE w:val="0"/>
        <w:autoSpaceDN w:val="0"/>
        <w:adjustRightInd w:val="0"/>
        <w:ind w:right="-566" w:firstLine="284"/>
        <w:jc w:val="both"/>
        <w:rPr>
          <w:rFonts w:ascii="Times New Roman CYR" w:hAnsi="Times New Roman CYR" w:cs="Times New Roman CYR"/>
          <w:b/>
          <w:bCs/>
        </w:rPr>
      </w:pPr>
      <w:r>
        <w:rPr>
          <w:b/>
          <w:bCs/>
        </w:rPr>
        <w:t xml:space="preserve">5.4 </w:t>
      </w:r>
      <w:r>
        <w:rPr>
          <w:rFonts w:ascii="Times New Roman CYR" w:hAnsi="Times New Roman CYR" w:cs="Times New Roman CYR"/>
          <w:b/>
          <w:bCs/>
        </w:rPr>
        <w:t>Питьевое лечение.</w:t>
      </w:r>
    </w:p>
    <w:p w14:paraId="50EC9C36"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Из методов внутреннего применения минвод наиболее распространено питьевое лечение. При приёме минвод внутрь, они оказывают раздражающее действие на рецепторы слизистых оболочек верхних отделов желудочно-кишечного тракта (полости рта, желудка и отчасти двенадцатиперстной кишки).</w:t>
      </w:r>
    </w:p>
    <w:p w14:paraId="2031B24A"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Раздражение рецепторов желудочно-кишечного тракта минводой вызывает прежде всего рефлекторные изменения желудочной секреции. Многочисленными экспериментальными исследованиями на животных и клиническими наблюдениями на больных установлено, что раздражение минводой рецепторов, заложенных в слизистой оболочке желудка, стимулирует желудочную секрецию - при этом выделяется большое количество желудочного сока, обладающего большой переваривающей способностью. При раздражении же рецепторов, заложенных в слизистой оболочке двенадцатиперстной кишки, наблюдается обратный эффект - количество желудочного сока, его кислотность, переваривающая сила уменьшаются.</w:t>
      </w:r>
    </w:p>
    <w:p w14:paraId="2D917F39"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lastRenderedPageBreak/>
        <w:t>Установлено также, что минвода, принятая натощак, за 1-1.5 часа до приёма пищи, довольно быстро переходит, притом почти в неизменном виде, в двенадцатиперстную кишку и, раздражая рецепторы её слизистой оболочки, тормозит желудочную секрецию. Если же минводу выпить вместе с приёмом пищи или за 10-15 минут до него, то она не успевает перейти в неизменном виде в двенадцатиперстную кишку и надолго задерживается в желудке, раздражая рецепторы его слизистой оболочки, стимулируя тем самым желудочную секрецию.</w:t>
      </w:r>
    </w:p>
    <w:p w14:paraId="41CA8C57"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Этим свойством минвод пользуются при питьевом лечении заболеваний желудка, сопровождающихся тем или иным нарушением желудочной секреции, причем время применения минводы назначается в зависимости от того, какой эффект - стимулирующий или тормозящий - необходимо получить у данного больного. Следует отметить, что таким действием на желудочную секрецию обладают минводы различного химического состава. Гидрокарбонатно-натриевые воды (щелочные) хорошо растворяют слизь, которая в больших количествах покрывает слизистую оболочку желудка при некоторых его заболеваниях. Наоборот, воды, содержащие в большом количестве сульфатные ионы, свёртывают слизь, и она прочно фиксируется на слизистой оболочке.</w:t>
      </w:r>
    </w:p>
    <w:p w14:paraId="1276CF42"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Известно, что кальций обладает противовоспалительным действием, поэтому воды, содержащие значительные количества кальция, благоприятно действуют при воспалительных заболеваниях. Сернокислые соли, в первую очередь сернокислая магнезия, вызывают так называемый пузырный рефлекс - выделение в двенадцатиперстную кишку желчи, скопившейся в желчном пузыре. Поэтому при заболеваниях, сопровождающихся застоем желчи, предпочтительнее пользоваться минводами, содержащими в достаточных количествах ионы сульфата и магния.</w:t>
      </w:r>
    </w:p>
    <w:p w14:paraId="72F9CECC"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Отсюда следует, что химический состав минводы в значительной степени определяет её действие на организм при питьевом лечении и что его надо учитывать при выборе курорта.</w:t>
      </w:r>
    </w:p>
    <w:p w14:paraId="747F4E4F"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При питьевом лечении имеет значение и температура принимаемой воды. Питьё холодной минводы усиливает перистальтику желудочно-кишечного тракта, а при повышенной раздражительности мускулатуры желудка, кишечника и желчных путей может повести к их спазму. Поэтому обычно назначают подогретую воду; холодная вода назначается лишь при необходимости усилить перистальтику кишечника, например при некоторых формах запора.</w:t>
      </w:r>
    </w:p>
    <w:p w14:paraId="52EC239C"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Установлено, что некоторые минводы, преимущественно невысокой минерализации и содержащие ионы кальция, обладают выраженным диуретическим (мочегонным) действием. Большие количества мочи, протекающие при таком лечении по мочевым путям, способствуют вымыванию из них  болезнетворных бактерий, продуктов воспаления (слизи), мелких и более крупных кристаллов мочевых солей (мочевого песка), а иногда и мелких конкрементов. Ионы кальция, содержащиеся в таких водах, способствуют уменьшению воспалительных явлений, а наступающая при питьевом лечении нормализация минерального обмена уменьшает вероятность образования мочевых конкрементов в дальнейшем.</w:t>
      </w:r>
    </w:p>
    <w:p w14:paraId="481EFBB3" w14:textId="77777777" w:rsidR="00381DDB" w:rsidRDefault="003712EA">
      <w:pPr>
        <w:widowControl w:val="0"/>
        <w:autoSpaceDE w:val="0"/>
        <w:autoSpaceDN w:val="0"/>
        <w:adjustRightInd w:val="0"/>
        <w:ind w:right="-566" w:firstLine="284"/>
        <w:jc w:val="both"/>
        <w:rPr>
          <w:rFonts w:ascii="Times New Roman CYR" w:hAnsi="Times New Roman CYR" w:cs="Times New Roman CYR"/>
          <w:b/>
          <w:bCs/>
        </w:rPr>
      </w:pPr>
      <w:r>
        <w:rPr>
          <w:b/>
          <w:bCs/>
        </w:rPr>
        <w:t xml:space="preserve">5.5 </w:t>
      </w:r>
      <w:r>
        <w:rPr>
          <w:rFonts w:ascii="Times New Roman CYR" w:hAnsi="Times New Roman CYR" w:cs="Times New Roman CYR"/>
          <w:b/>
          <w:bCs/>
        </w:rPr>
        <w:t>Ингаляции.</w:t>
      </w:r>
    </w:p>
    <w:p w14:paraId="67AAEEAC"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Другим методом внутреннего использования минвод являются ингаляции. Этот лечебный метод заключается во вдыхании воздуха, насыщенного очень мелко распылённой минводой. При этом мельчайшие капельки минводы проникают довольно глубоко в дыхательные пути, а по сообщению некоторых авторов, достигают лёгочных альвеол.</w:t>
      </w:r>
    </w:p>
    <w:p w14:paraId="239324DD"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При разбрызгивании минводы в аппаратах для ингаляций происходит образование мельчайших заряженных электричеством частичек, так называемых аэроинов, правда, в количествах, значительно меньших, чем при распыливании пресной водой  в специальных аппаратах, называемых гидроаэроионизаторами. Поэтому при ингаляциях имеет место и действие на организм аэроионов.</w:t>
      </w:r>
    </w:p>
    <w:p w14:paraId="5EF9E6BC"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 xml:space="preserve">Осаждаясь на поверхности слизистых оболочек дыхательных путей, мельчайшие частицы минводы увлажняют их, способствуют разжижению покрывающей их слизи (особенно при </w:t>
      </w:r>
      <w:r>
        <w:rPr>
          <w:rFonts w:ascii="Times New Roman CYR" w:hAnsi="Times New Roman CYR" w:cs="Times New Roman CYR"/>
        </w:rPr>
        <w:lastRenderedPageBreak/>
        <w:t>ингаляциях щелочных и щелочно-соляных вод), а также раздражают многочисленные рецепторы, имеющиеся в этих оболочках. Ингаляции оказывают не только местное действие на слизистые оболочки верхних дыхательных путей, но и разностороннее общее действие. Однако механизм их действия до сих пор в полной мере не изучен.</w:t>
      </w:r>
    </w:p>
    <w:p w14:paraId="341599D5" w14:textId="77777777" w:rsidR="00381DDB" w:rsidRDefault="003712EA">
      <w:pPr>
        <w:widowControl w:val="0"/>
        <w:autoSpaceDE w:val="0"/>
        <w:autoSpaceDN w:val="0"/>
        <w:adjustRightInd w:val="0"/>
        <w:ind w:right="-6" w:firstLine="284"/>
        <w:jc w:val="both"/>
        <w:rPr>
          <w:rFonts w:ascii="Times New Roman CYR" w:hAnsi="Times New Roman CYR" w:cs="Times New Roman CYR"/>
        </w:rPr>
      </w:pPr>
      <w:r>
        <w:rPr>
          <w:rFonts w:ascii="Times New Roman CYR" w:hAnsi="Times New Roman CYR" w:cs="Times New Roman CYR"/>
        </w:rPr>
        <w:t>Ингаляции используются главным образом при заболеваниях верхних дыхательных путей, преимущественно при сухих катарах, оказывая разжижающее слизь  и отхаркивающее действие. В последние годы ингаляции минвод начали применять и для общего воздействия на организм, например при лечении больных гипертонической болезнью, бронхиальной астмой, силикозом и некоторыми другими заболеваниями.</w:t>
      </w:r>
    </w:p>
    <w:p w14:paraId="3BBB4A8F" w14:textId="77777777" w:rsidR="00381DDB" w:rsidRDefault="003712EA">
      <w:pPr>
        <w:widowControl w:val="0"/>
        <w:autoSpaceDE w:val="0"/>
        <w:autoSpaceDN w:val="0"/>
        <w:adjustRightInd w:val="0"/>
        <w:ind w:firstLine="284"/>
        <w:jc w:val="both"/>
      </w:pPr>
      <w:r>
        <w:t xml:space="preserve">Используются </w:t>
      </w:r>
      <w:r>
        <w:rPr>
          <w:rFonts w:ascii="Times New Roman CYR" w:hAnsi="Times New Roman CYR" w:cs="Times New Roman CYR"/>
        </w:rPr>
        <w:t xml:space="preserve">и  </w:t>
      </w:r>
      <w:r>
        <w:t>другие методы внутреннего применения минеральных вод - это промывание желудка при помощи толстого зонда, дуоденальный дренаж ("тюбаж"), орошение слизистой оболочки полости рта, ректальные процедуры (клизмы или специальные установки "кишечного душа").</w:t>
      </w:r>
    </w:p>
    <w:p w14:paraId="1B28230C"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t>В заключение следует сказать, что выбор нужных для данного больного процедур, построение плана лечения определяется в первую очередь особенностями заболевания и реактивности этого больного, а затем возможностями санатория и опытом лечащего врача. При этом в первую очередь необходимо, чтобы применяемые процедуры были должным образом обоснованы особенностями патогенеза заболевания у данного больного, соответствовали его реактивности, ни в коем случае не перегружали его, а постепенно тренировали его ослабленные физиологические механизмы.</w:t>
      </w:r>
    </w:p>
    <w:p w14:paraId="6DD547B1"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t>Правильно организованный режим больного и правильно проведённый курс климато-бальнеологического лечения на курорте и в санатории всегда ведут к более или менее значительному улучшению в состоянии больного и в течение патологического процесса и, что самое важное, укрепляют его организм, повышают сопротивляемость больного к неблагоприятным воздействиям, повышают его трудоспособность, т.е. имеют большое профилактическое значение.</w:t>
      </w:r>
    </w:p>
    <w:p w14:paraId="2A2C4451" w14:textId="77777777" w:rsidR="00381DDB" w:rsidRDefault="003712EA">
      <w:pPr>
        <w:widowControl w:val="0"/>
        <w:autoSpaceDE w:val="0"/>
        <w:autoSpaceDN w:val="0"/>
        <w:adjustRightInd w:val="0"/>
        <w:spacing w:before="100" w:after="100"/>
        <w:jc w:val="both"/>
      </w:pPr>
      <w:r>
        <w:t xml:space="preserve"> </w:t>
      </w:r>
    </w:p>
    <w:p w14:paraId="7F45AA5E" w14:textId="77777777" w:rsidR="00381DDB" w:rsidRDefault="00381DDB">
      <w:pPr>
        <w:widowControl w:val="0"/>
        <w:autoSpaceDE w:val="0"/>
        <w:autoSpaceDN w:val="0"/>
        <w:adjustRightInd w:val="0"/>
        <w:ind w:right="-566" w:firstLine="284"/>
        <w:jc w:val="both"/>
      </w:pPr>
    </w:p>
    <w:p w14:paraId="2EA5DB46" w14:textId="77777777" w:rsidR="00381DDB" w:rsidRDefault="00381DDB">
      <w:pPr>
        <w:widowControl w:val="0"/>
        <w:autoSpaceDE w:val="0"/>
        <w:autoSpaceDN w:val="0"/>
        <w:adjustRightInd w:val="0"/>
        <w:ind w:right="-566" w:firstLine="284"/>
        <w:jc w:val="both"/>
      </w:pPr>
    </w:p>
    <w:p w14:paraId="2BD9E17A" w14:textId="77777777" w:rsidR="00381DDB" w:rsidRDefault="00381DDB">
      <w:pPr>
        <w:widowControl w:val="0"/>
        <w:autoSpaceDE w:val="0"/>
        <w:autoSpaceDN w:val="0"/>
        <w:adjustRightInd w:val="0"/>
        <w:ind w:right="-566" w:firstLine="284"/>
        <w:jc w:val="both"/>
        <w:rPr>
          <w:b/>
          <w:bCs/>
        </w:rPr>
      </w:pPr>
    </w:p>
    <w:p w14:paraId="60ABBF03" w14:textId="77777777" w:rsidR="00381DDB" w:rsidRDefault="00381DDB">
      <w:pPr>
        <w:widowControl w:val="0"/>
        <w:autoSpaceDE w:val="0"/>
        <w:autoSpaceDN w:val="0"/>
        <w:adjustRightInd w:val="0"/>
        <w:ind w:right="-566" w:firstLine="284"/>
        <w:jc w:val="both"/>
      </w:pPr>
    </w:p>
    <w:p w14:paraId="37CBD10C" w14:textId="77777777" w:rsidR="00381DDB" w:rsidRDefault="00381DDB">
      <w:pPr>
        <w:widowControl w:val="0"/>
        <w:autoSpaceDE w:val="0"/>
        <w:autoSpaceDN w:val="0"/>
        <w:adjustRightInd w:val="0"/>
        <w:ind w:right="-566" w:firstLine="284"/>
        <w:jc w:val="both"/>
      </w:pPr>
    </w:p>
    <w:p w14:paraId="211F95F9" w14:textId="77777777" w:rsidR="00381DDB" w:rsidRDefault="003712EA">
      <w:pPr>
        <w:widowControl w:val="0"/>
        <w:autoSpaceDE w:val="0"/>
        <w:autoSpaceDN w:val="0"/>
        <w:adjustRightInd w:val="0"/>
        <w:ind w:firstLine="284"/>
        <w:jc w:val="center"/>
        <w:rPr>
          <w:rFonts w:ascii="Times New Roman CYR" w:hAnsi="Times New Roman CYR" w:cs="Times New Roman CYR"/>
          <w:b/>
          <w:bCs/>
          <w:u w:val="single"/>
        </w:rPr>
      </w:pPr>
      <w:r>
        <w:br w:type="page"/>
      </w:r>
      <w:r>
        <w:rPr>
          <w:b/>
          <w:bCs/>
          <w:u w:val="single"/>
        </w:rPr>
        <w:lastRenderedPageBreak/>
        <w:t>6.</w:t>
      </w:r>
      <w:r>
        <w:rPr>
          <w:rFonts w:ascii="Times New Roman CYR" w:hAnsi="Times New Roman CYR" w:cs="Times New Roman CYR"/>
          <w:b/>
          <w:bCs/>
          <w:u w:val="single"/>
        </w:rPr>
        <w:t>Бальнеологические курорты Российской  Федерации.</w:t>
      </w:r>
    </w:p>
    <w:p w14:paraId="53C9386A"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t xml:space="preserve">В район Кавказских Минеральных Вод, расположенных на юге Ставропольского края, в предгорьях Большого Кавказа, собраны бесценные сокровища - незабываемые горные ландшафты со сказочно красивыми скалами, ущельями, бурными речными потоками и главное - целебные источники, которые принесли этому небольшому по территории району большую славу. Методы лечения больных во всех санаториях Кавминвод - это внутреннее употребление минеральной воды, бальнеотерапия, грязелечение, диетотерапия, ЛФК, подводный душ-массаж и др. </w:t>
      </w:r>
    </w:p>
    <w:p w14:paraId="698614DE" w14:textId="77777777" w:rsidR="00381DDB" w:rsidRDefault="003712EA">
      <w:pPr>
        <w:widowControl w:val="0"/>
        <w:autoSpaceDE w:val="0"/>
        <w:autoSpaceDN w:val="0"/>
        <w:adjustRightInd w:val="0"/>
        <w:ind w:firstLine="284"/>
        <w:jc w:val="both"/>
        <w:rPr>
          <w:rFonts w:ascii="Times New Roman CYR" w:hAnsi="Times New Roman CYR" w:cs="Times New Roman CYR"/>
        </w:rPr>
      </w:pPr>
      <w:r>
        <w:t xml:space="preserve"> </w:t>
      </w:r>
      <w:r>
        <w:rPr>
          <w:rFonts w:ascii="Times New Roman CYR" w:hAnsi="Times New Roman CYR" w:cs="Times New Roman CYR"/>
        </w:rPr>
        <w:t xml:space="preserve">Кавминводы - это четыре города-курорта: Ессентуки, Кисловодск, Железноводск, Пятигорск. И у каждого из них свой профиль. </w:t>
      </w:r>
    </w:p>
    <w:p w14:paraId="57DB8B19"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b/>
          <w:bCs/>
        </w:rPr>
        <w:t xml:space="preserve">6.1 </w:t>
      </w:r>
      <w:r>
        <w:rPr>
          <w:rFonts w:ascii="Times New Roman CYR" w:hAnsi="Times New Roman CYR" w:cs="Times New Roman CYR"/>
          <w:b/>
          <w:bCs/>
        </w:rPr>
        <w:t>Ессентуки</w:t>
      </w:r>
      <w:r>
        <w:t xml:space="preserve"> - </w:t>
      </w:r>
      <w:r>
        <w:rPr>
          <w:rFonts w:ascii="Times New Roman CYR" w:hAnsi="Times New Roman CYR" w:cs="Times New Roman CYR"/>
        </w:rPr>
        <w:t>самый равнинный курорт Кавминвод Ессентуки, основанный в 1798 году, расположен на юге Ставропольского края, в 43 километрах от аэропорта Минеральные Воды, на высоте 600-625 метров над уровнем моря в живописных предгорьях Северного склона Главного Кавказского хребта. В Ессентуках нет ни причудливых скал, ни водопадов. Но примечательно, что местный ландшафт изменен трудом не одного поколения садоводов, которые одели в зеленый наряд некогда унылую, однообразную, слегка наклонную предгорную степь.</w:t>
      </w:r>
      <w:r>
        <w:t xml:space="preserve"> </w:t>
      </w:r>
      <w:r>
        <w:rPr>
          <w:rFonts w:ascii="Times New Roman CYR" w:hAnsi="Times New Roman CYR" w:cs="Times New Roman CYR"/>
          <w:color w:val="000000"/>
        </w:rPr>
        <w:t>Климат курорта Ессентуки</w:t>
      </w:r>
      <w:r>
        <w:t xml:space="preserve"> </w:t>
      </w:r>
      <w:r>
        <w:rPr>
          <w:rFonts w:ascii="Times New Roman CYR" w:hAnsi="Times New Roman CYR" w:cs="Times New Roman CYR"/>
        </w:rPr>
        <w:t xml:space="preserve">континентальный, вернее сказать, горно-степной. Теплое лето с большим количеством жарких сухих дней (средняя температура июля 20,4 С), нехолодная зима (средняя температура января - 4,6 С), продолжительная и теплая осень, короткая весна. Средняя относительная влажность воздуха - 78 %. Среднее количество солнечных дней - 112. С весны по осень город-курорт утопает в зелени. Основной достопримечательностью </w:t>
      </w:r>
      <w:r>
        <w:rPr>
          <w:rFonts w:ascii="Times New Roman CYR" w:hAnsi="Times New Roman CYR" w:cs="Times New Roman CYR"/>
          <w:color w:val="000000"/>
        </w:rPr>
        <w:t>курорта</w:t>
      </w:r>
      <w:r>
        <w:t xml:space="preserve"> </w:t>
      </w:r>
      <w:r>
        <w:rPr>
          <w:rFonts w:ascii="Times New Roman CYR" w:hAnsi="Times New Roman CYR" w:cs="Times New Roman CYR"/>
        </w:rPr>
        <w:t xml:space="preserve">является дача-музей известного хирурга Разумовского. Большой интерес вызывает и архитектура города. Среди самых красивых зданий - Верхние минеральные ванны, выполненные в классических формах русского ампира. Грязелечебница, построенная из местного камня и кисловодского доломита, соответствует высоким образцам римской классики. К слову сказать, эти "дрсвнерпмские термы" были построены специально для наследника русского престола в 1915 году. Существенно дополняет архитектурный облик и реабилитационные возможности курорта Цандеровский институт врачебной гимнастики для лечения больных с заболеваниями опорно-двигательного аппарата на специальных устройствах и тренажерах. </w:t>
      </w:r>
      <w:r>
        <w:rPr>
          <w:rFonts w:ascii="Times New Roman CYR" w:hAnsi="Times New Roman CYR" w:cs="Times New Roman CYR"/>
          <w:color w:val="000000"/>
        </w:rPr>
        <w:t>Места для досуга и отдыха</w:t>
      </w:r>
      <w:r>
        <w:rPr>
          <w:color w:val="000000"/>
        </w:rPr>
        <w:t>:</w:t>
      </w:r>
      <w:r>
        <w:t xml:space="preserve"> 2 </w:t>
      </w:r>
      <w:r>
        <w:rPr>
          <w:rFonts w:ascii="Times New Roman CYR" w:hAnsi="Times New Roman CYR" w:cs="Times New Roman CYR"/>
        </w:rPr>
        <w:t xml:space="preserve">парка, городское озеро, Драматический театр, кинотеатр. </w:t>
      </w:r>
      <w:r>
        <w:rPr>
          <w:rFonts w:ascii="Times New Roman CYR" w:hAnsi="Times New Roman CYR" w:cs="Times New Roman CYR"/>
        </w:rPr>
        <w:br/>
        <w:t>Ессентуки по праву считается крупнейшим и наиболее популярным питьевым бальнеологическим курортом нашей страны. Главные лечебные средства - более 20 минеральных источников. Славу ему принесли знаменитые источники N 17 и N 4. Основа лечения курорта - минеральная вода, лечебная грязь Тамбуканского озера и благоприятный микроклимат. Лечебные минеральные воды (Ессентуки-4, Ессентуки-17, Ессентуки Новая-2), которым нет аналогов в Европе, помогут вам избавиться от заболеваний печени, желчевыводящих путей, желудочно-кишечного тракта, заболеваний обмена веществ, центральной нервной системы. Курорт Ессентуки - единственный в России, имеющий специализированные санатории для лечения детей, подростков и взрослых, страдающих сахарным диабетом.</w:t>
      </w:r>
      <w:r>
        <w:rPr>
          <w:rFonts w:ascii="Times New Roman CYR" w:hAnsi="Times New Roman CYR" w:cs="Times New Roman CYR"/>
        </w:rPr>
        <w:br/>
        <w:t xml:space="preserve">Ессентуки стал известен всем благодаря источникам уникальной минеральной воды. Особую ценность представляют углекислые гидрокарбонатно-хлоридно-натриевые типа Ессентуки N17 и N4. Он занимает одно из ведущих мест, как курорт, специализированный на лечении заболеваний органов пищеварения и обмена веществ (заболевания желудка, печени, желчевыводящих путей, кишечника, поджелудочной железы, болезней обмена веществ, в частности, сахарного диабета). Курорт лечит и сопутствующие заболевания уха, горла, носа, гинекологические и урологические. Ежегодно на курорте укрепляют здоровье более 250 тысяч человек. </w:t>
      </w:r>
      <w:r>
        <w:rPr>
          <w:rFonts w:ascii="Times New Roman CYR" w:hAnsi="Times New Roman CYR" w:cs="Times New Roman CYR"/>
        </w:rPr>
        <w:tab/>
      </w:r>
    </w:p>
    <w:p w14:paraId="1C7420FD"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b/>
          <w:bCs/>
        </w:rPr>
        <w:lastRenderedPageBreak/>
        <w:t xml:space="preserve">6.2 </w:t>
      </w:r>
      <w:r>
        <w:rPr>
          <w:rFonts w:ascii="Times New Roman CYR" w:hAnsi="Times New Roman CYR" w:cs="Times New Roman CYR"/>
          <w:b/>
          <w:bCs/>
        </w:rPr>
        <w:t>Кисловодск</w:t>
      </w:r>
      <w:r>
        <w:t xml:space="preserve"> - </w:t>
      </w:r>
      <w:r>
        <w:rPr>
          <w:rFonts w:ascii="Times New Roman CYR" w:hAnsi="Times New Roman CYR" w:cs="Times New Roman CYR"/>
        </w:rPr>
        <w:t>уникальный бальнеологический и климатический курорт - самый южный из курортов Кавминвод.</w:t>
      </w:r>
      <w:r>
        <w:rPr>
          <w:rFonts w:ascii="Arial" w:hAnsi="Arial" w:cs="Arial"/>
        </w:rPr>
        <w:t xml:space="preserve"> </w:t>
      </w:r>
      <w:r>
        <w:rPr>
          <w:rFonts w:ascii="Times New Roman CYR" w:hAnsi="Times New Roman CYR" w:cs="Times New Roman CYR"/>
        </w:rPr>
        <w:t xml:space="preserve">Находится Кисловодск в живописной горной котловине, в долине двух рек,  на высоте от 830 до 1000 метров над уровнем моря. Окружающие его горы защищают курорт от северных (хр. Боргустан) и северо-восточных (хр. Джинал) ветров, а также препятствует проникновению туманов. Характерно большое число ясных солнечных дней, как правило, 300 в году. Живописный ландшафт способствует проведению климатотерапии. К основным природным лечебным факторам курорта относятся минеральные источники - Кисловодские нарзаны, которые создали Кисловодску славу старейшего в России бальнеологического курорта. Кисловодск - ведущий кардиологический курорт страны. Ныне наряду с ревматическими пороками сердца, начальными стадиями ишемической болезни сердца, атеросклерозом коронарных сосудов, неврозами, с нарушением функции сердечно-сосудистой системы Кисловодск лечит людей со стенокардией и перенесших операции на сердце, а также другие заболевания. Тот, кто хотя бы раз побывал в этих живописных местах, где среди обильной зелени разбросаны десятки санаториев и пансионатов, тот не забудет курорта Кисловодск. Здесь есть чудесный парк с подступающими к нему ущельями рек Ольховки и Березовки, густые сени липовых аллей, склоняющихся над потоком, который, с шумом и пеною падая с плиты на плиту, прорезывает себе путь между зеленеющими горами; и свежесть ароматического воздуха, отягощенного испарениями высоких южных трав и белой акации; и сладостный, усыпительный шум студеных ручьев, которые, встретясь в конце долины, бегут дружно взапуски и, наконец, кидаются в реку Подкумок. </w:t>
      </w:r>
    </w:p>
    <w:p w14:paraId="2E225AC2" w14:textId="77777777" w:rsidR="00381DDB" w:rsidRDefault="003712EA">
      <w:pPr>
        <w:widowControl w:val="0"/>
        <w:autoSpaceDE w:val="0"/>
        <w:autoSpaceDN w:val="0"/>
        <w:adjustRightInd w:val="0"/>
        <w:ind w:firstLine="284"/>
        <w:jc w:val="both"/>
        <w:rPr>
          <w:rFonts w:ascii="Times New Roman CYR" w:hAnsi="Times New Roman CYR" w:cs="Times New Roman CYR"/>
        </w:rPr>
      </w:pPr>
      <w:r>
        <w:t xml:space="preserve"> </w:t>
      </w:r>
      <w:r>
        <w:rPr>
          <w:rFonts w:ascii="Times New Roman CYR" w:hAnsi="Times New Roman CYR" w:cs="Times New Roman CYR"/>
        </w:rPr>
        <w:t>Современное название курорт получил благодаря наличию "кислых вод" (по-кабардински - "аче су"). Название источника Нарзан происходит от другого, также кабардинского слова "Нарт-санна", что означает "богатырь-вода". Датой основания курорта считается 1803 год, хотя первый официальный заезд больных состоялся в 1808 - 1809 г. г. Впервые описал Кисловодский нарзан в 1784 г. Я. Райнегс. Первые деревянные купальни построены в 1812 г., ванны в них принимали из не разведенного холодного нарзана. В 1822 г. на средства, ассигнованные правительством, по проекту архитекторов братьев Бернордацци была построена роскошная по тем временам ресторация с колоннадой и широкой лестницей, спускавшейся в парк. В 1823 г. вблизи источника началось строительство казенной гостиницы и заложен курортный парк. В 1848-58 г. была построена Нарзанная галерея, существующая поныне, в 1895 г. - курзал (ныне театр</w:t>
      </w:r>
      <w:r>
        <w:rPr>
          <w:rFonts w:ascii="Arial" w:hAnsi="Arial" w:cs="Arial"/>
        </w:rPr>
        <w:t xml:space="preserve">). </w:t>
      </w:r>
      <w:r>
        <w:rPr>
          <w:rFonts w:ascii="Times New Roman CYR" w:hAnsi="Times New Roman CYR" w:cs="Times New Roman CYR"/>
        </w:rPr>
        <w:t>Оживление курортного строительства и увеличение притока больных в Кисловодск в конце 19 века были обусловлены окончанием строительства шоссе Минеральные Воды - Кисловодск, а особенно подведением к Кисловодску ветки железной дороги (1893). В 1880 г. увеличено число ванн в Нарзанной галерее; в 1896г. открыт небольшой завод по розливу минеральной воды. Управление Владикавказской железной дороги в 1895 г. построило одну из первых в России гидроэлектростанцию "Белый уголь", давшую Кисловодску электрическое освещение.</w:t>
      </w:r>
    </w:p>
    <w:p w14:paraId="77009DF0"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t xml:space="preserve">В начале 20 века в Кисловодске велось интенсивное частное строительство (дачи, пансионы, гостиницы). Кисловодск становится известным курортом, который, однако, посещали только представители привилегированных сословий. Уже в 1904 году в Кисловодске лечилось свыше 25 тыс. человек. Во время 1-ой мировой войны приезд на воды полностью прекратился, а курорт был превращен в огромный госпиталь для раненых и инвалидов войны. </w:t>
      </w:r>
    </w:p>
    <w:p w14:paraId="6DB7FBBE"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t xml:space="preserve">Планомерное развитие курорта началось после Октябрьской революции 1917 года. Уже в 1921 году в Кисловодске было создано клиническое отделение Пятигорского бальнеологического института, в настоящее время Кардиологическая клиника, ставшая научно-методическим центром курорта. Строились новые санаторные здания, курортные поликлиники, Грязелечебница. Кроме единственного (до 1928 г.) источника Нарзан были выведены воды еще 6 источников, в том числе Доломитный нарзан (скважина №7, 1928 г.). Сульфатный нарзан (скважина №8, 1934 г.). </w:t>
      </w:r>
    </w:p>
    <w:p w14:paraId="46419618"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lastRenderedPageBreak/>
        <w:t xml:space="preserve">Воды 7 действующих в Кисловодске источников углекислые сульфатно-гидрокарбонатные кальциево-магниевые. Вода знаменитого источника Нарзан, положившего начало курорту, имеет минерализацию до 1,8 г/л, содержит свыше 1 г/л углекислоты, температура воды около 12°С. Вода источника Доломитный нарзан выведена с глубины около 65 м, отличается большой минерализацией (3,4 г/л) и более высоким содержанием углекислого газа (до 2 г/л). Сульфатный нарзан получен путем бурения с глубины около 170 м; минерализация его свыше 5 г/л, содержание углекислоты около 2 г/л. Доломитный и сульфатный нарзаны подведены к бюветам, их используют для питьевого лечения. В Кисловодск поступают углекислые воды (нарзаны) Кумского месторождения в Карачаево-Черкесской Республике (43 км от Кисловодска). Общий дебит источников Кисловодска и воды, поступающей из Кумского месторождения, составляет свыше 3200 м3/сутки. </w:t>
      </w:r>
    </w:p>
    <w:p w14:paraId="5D27EA1D"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t xml:space="preserve">Наряду с ваннами и питьевым лечением Кисловодские нарзаны используют для ингаляций, орошений, промываний, а также для промышленного розлива в качестве лечебно-столовой минеральной воды под названием "Нарзан". На Кисловодском курорте широко используют сульфидную иловую грязь Тамбуканского озера. Применяют также терренкур, 6 маршрутов которого протяженностью от 1700 до 6000 м. </w:t>
      </w:r>
    </w:p>
    <w:p w14:paraId="5F4D3ABE"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t>Кисловодск  - самый крупный из курортов Кавминвод.</w:t>
      </w:r>
    </w:p>
    <w:p w14:paraId="30D36D8E"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t xml:space="preserve">Основной профиль лечения - кардиологический, определился еще в начале XX века. Уникальные природные факторы курорта в сочетании с новейшей лечебно-диагностической базой обеспечивают эффективное лечение заболеваний: </w:t>
      </w:r>
    </w:p>
    <w:p w14:paraId="3A1EB4F5" w14:textId="77777777" w:rsidR="00381DDB" w:rsidRDefault="003712EA">
      <w:pPr>
        <w:widowControl w:val="0"/>
        <w:tabs>
          <w:tab w:val="left" w:pos="720"/>
        </w:tabs>
        <w:autoSpaceDE w:val="0"/>
        <w:autoSpaceDN w:val="0"/>
        <w:adjustRightInd w:val="0"/>
        <w:ind w:left="720" w:firstLine="284"/>
        <w:jc w:val="both"/>
        <w:rPr>
          <w:rFonts w:ascii="Times New Roman CYR" w:hAnsi="Times New Roman CYR" w:cs="Times New Roman CYR"/>
        </w:rPr>
      </w:pPr>
      <w:r>
        <w:rPr>
          <w:rFonts w:ascii="Symbol" w:hAnsi="Symbol" w:cs="Symbol"/>
          <w:sz w:val="20"/>
          <w:szCs w:val="20"/>
        </w:rPr>
        <w:t>·</w:t>
      </w:r>
      <w:r>
        <w:rPr>
          <w:rFonts w:ascii="Symbol" w:hAnsi="Symbol" w:cs="Symbol"/>
          <w:sz w:val="20"/>
          <w:szCs w:val="20"/>
        </w:rPr>
        <w:tab/>
      </w:r>
      <w:r>
        <w:rPr>
          <w:rFonts w:ascii="Times New Roman CYR" w:hAnsi="Times New Roman CYR" w:cs="Times New Roman CYR"/>
        </w:rPr>
        <w:t xml:space="preserve">системы кровообращения (ишемическая болезнь сердца, гипертоническая болезнь, ревматизм и др.); </w:t>
      </w:r>
    </w:p>
    <w:p w14:paraId="4710E2B6" w14:textId="77777777" w:rsidR="00381DDB" w:rsidRDefault="003712EA">
      <w:pPr>
        <w:widowControl w:val="0"/>
        <w:tabs>
          <w:tab w:val="left" w:pos="720"/>
        </w:tabs>
        <w:autoSpaceDE w:val="0"/>
        <w:autoSpaceDN w:val="0"/>
        <w:adjustRightInd w:val="0"/>
        <w:ind w:left="720" w:firstLine="284"/>
        <w:jc w:val="both"/>
        <w:rPr>
          <w:rFonts w:ascii="Times New Roman CYR" w:hAnsi="Times New Roman CYR" w:cs="Times New Roman CYR"/>
        </w:rPr>
      </w:pPr>
      <w:r>
        <w:rPr>
          <w:rFonts w:ascii="Symbol" w:hAnsi="Symbol" w:cs="Symbol"/>
          <w:sz w:val="20"/>
          <w:szCs w:val="20"/>
        </w:rPr>
        <w:t>·</w:t>
      </w:r>
      <w:r>
        <w:rPr>
          <w:rFonts w:ascii="Symbol" w:hAnsi="Symbol" w:cs="Symbol"/>
          <w:sz w:val="20"/>
          <w:szCs w:val="20"/>
        </w:rPr>
        <w:tab/>
      </w:r>
      <w:r>
        <w:rPr>
          <w:rFonts w:ascii="Times New Roman CYR" w:hAnsi="Times New Roman CYR" w:cs="Times New Roman CYR"/>
        </w:rPr>
        <w:t xml:space="preserve">органов дыхания (хронический бронхит, бронхиальная астма); </w:t>
      </w:r>
    </w:p>
    <w:p w14:paraId="6DD6336F" w14:textId="77777777" w:rsidR="00381DDB" w:rsidRDefault="003712EA">
      <w:pPr>
        <w:widowControl w:val="0"/>
        <w:tabs>
          <w:tab w:val="left" w:pos="720"/>
        </w:tabs>
        <w:autoSpaceDE w:val="0"/>
        <w:autoSpaceDN w:val="0"/>
        <w:adjustRightInd w:val="0"/>
        <w:ind w:left="720" w:firstLine="284"/>
        <w:jc w:val="both"/>
        <w:rPr>
          <w:rFonts w:ascii="Times New Roman CYR" w:hAnsi="Times New Roman CYR" w:cs="Times New Roman CYR"/>
        </w:rPr>
      </w:pPr>
      <w:r>
        <w:rPr>
          <w:rFonts w:ascii="Symbol" w:hAnsi="Symbol" w:cs="Symbol"/>
          <w:sz w:val="20"/>
          <w:szCs w:val="20"/>
        </w:rPr>
        <w:t>·</w:t>
      </w:r>
      <w:r>
        <w:rPr>
          <w:rFonts w:ascii="Symbol" w:hAnsi="Symbol" w:cs="Symbol"/>
          <w:sz w:val="20"/>
          <w:szCs w:val="20"/>
        </w:rPr>
        <w:tab/>
      </w:r>
      <w:r>
        <w:rPr>
          <w:rFonts w:ascii="Times New Roman CYR" w:hAnsi="Times New Roman CYR" w:cs="Times New Roman CYR"/>
        </w:rPr>
        <w:t xml:space="preserve">нервной системы; </w:t>
      </w:r>
    </w:p>
    <w:p w14:paraId="4D8028ED" w14:textId="77777777" w:rsidR="00381DDB" w:rsidRDefault="003712EA">
      <w:pPr>
        <w:widowControl w:val="0"/>
        <w:tabs>
          <w:tab w:val="left" w:pos="720"/>
        </w:tabs>
        <w:autoSpaceDE w:val="0"/>
        <w:autoSpaceDN w:val="0"/>
        <w:adjustRightInd w:val="0"/>
        <w:ind w:left="720" w:firstLine="284"/>
        <w:jc w:val="both"/>
        <w:rPr>
          <w:rFonts w:ascii="Times New Roman CYR" w:hAnsi="Times New Roman CYR" w:cs="Times New Roman CYR"/>
        </w:rPr>
      </w:pPr>
      <w:r>
        <w:rPr>
          <w:rFonts w:ascii="Symbol" w:hAnsi="Symbol" w:cs="Symbol"/>
          <w:sz w:val="20"/>
          <w:szCs w:val="20"/>
        </w:rPr>
        <w:t>·</w:t>
      </w:r>
      <w:r>
        <w:rPr>
          <w:rFonts w:ascii="Symbol" w:hAnsi="Symbol" w:cs="Symbol"/>
          <w:sz w:val="20"/>
          <w:szCs w:val="20"/>
        </w:rPr>
        <w:tab/>
      </w:r>
      <w:r>
        <w:rPr>
          <w:rFonts w:ascii="Times New Roman CYR" w:hAnsi="Times New Roman CYR" w:cs="Times New Roman CYR"/>
        </w:rPr>
        <w:t xml:space="preserve">костно-мышечной системы; </w:t>
      </w:r>
    </w:p>
    <w:p w14:paraId="48AEF2D3" w14:textId="77777777" w:rsidR="00381DDB" w:rsidRDefault="003712EA">
      <w:pPr>
        <w:widowControl w:val="0"/>
        <w:tabs>
          <w:tab w:val="left" w:pos="720"/>
        </w:tabs>
        <w:autoSpaceDE w:val="0"/>
        <w:autoSpaceDN w:val="0"/>
        <w:adjustRightInd w:val="0"/>
        <w:ind w:left="720" w:firstLine="284"/>
        <w:jc w:val="both"/>
        <w:rPr>
          <w:rFonts w:ascii="Times New Roman CYR" w:hAnsi="Times New Roman CYR" w:cs="Times New Roman CYR"/>
        </w:rPr>
      </w:pPr>
      <w:r>
        <w:rPr>
          <w:rFonts w:ascii="Symbol" w:hAnsi="Symbol" w:cs="Symbol"/>
          <w:sz w:val="20"/>
          <w:szCs w:val="20"/>
        </w:rPr>
        <w:t>·</w:t>
      </w:r>
      <w:r>
        <w:rPr>
          <w:rFonts w:ascii="Symbol" w:hAnsi="Symbol" w:cs="Symbol"/>
          <w:sz w:val="20"/>
          <w:szCs w:val="20"/>
        </w:rPr>
        <w:tab/>
      </w:r>
      <w:r>
        <w:rPr>
          <w:rFonts w:ascii="Times New Roman CYR" w:hAnsi="Times New Roman CYR" w:cs="Times New Roman CYR"/>
        </w:rPr>
        <w:t xml:space="preserve">гинекологических и др. </w:t>
      </w:r>
    </w:p>
    <w:p w14:paraId="7AA6639D"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b/>
          <w:bCs/>
        </w:rPr>
        <w:t xml:space="preserve">6.3 </w:t>
      </w:r>
      <w:r>
        <w:rPr>
          <w:rFonts w:ascii="Times New Roman CYR" w:hAnsi="Times New Roman CYR" w:cs="Times New Roman CYR"/>
          <w:b/>
          <w:bCs/>
        </w:rPr>
        <w:t>Железноводск</w:t>
      </w:r>
      <w:r>
        <w:t xml:space="preserve"> - </w:t>
      </w:r>
      <w:r>
        <w:rPr>
          <w:rFonts w:ascii="Times New Roman CYR" w:hAnsi="Times New Roman CYR" w:cs="Times New Roman CYR"/>
        </w:rPr>
        <w:t>один из самых живописнейших городов-курортов расположен у подножия горы Железной, на высоте 630 м над уровнем океана. Прекрасная природа, отсутствие крупных промышленных предприятий, отдаленность от экологически неблагополучных территорий позволяют, по мнению многих отечественных и зарубежных специалистов, отнести этот город к "маленькой Швейцарии". Территория курорта и окружающие его склоны гор Бештау и Железной одеты густыми дубово-грабовыми и буковыми лесами. Железноводский - единственный на Кавказских Минеральных водах парк естественного происхождения.</w:t>
      </w:r>
      <w:r>
        <w:rPr>
          <w:rFonts w:ascii="Times New Roman CYR" w:hAnsi="Times New Roman CYR" w:cs="Times New Roman CYR"/>
        </w:rPr>
        <w:br/>
        <w:t>Главное богатство курорта - его всемирно известные уникальные по лечебному воздействию минеральные воды, позволяющие проводить высокоэффективное лечение заболеваний органов пищеварения, почек и мочевыводящих путей; заболеваний, связанных с нарушениями обмена веществ, в том числе вследствие нарушений эндокринных желез. Последнее особенно важно при сложившейся в настоящее время экологической ситуации. Наряду с питьевым лечением на курорте используются для отпуска лечебных процедур одни из крупнейших в Европе бальнеолечебница и грязелечебница. Ландшафт курорта позволяет использовать с лечебной целью ходьбу по благоустроенным терренкурам.</w:t>
      </w:r>
      <w:r>
        <w:rPr>
          <w:rFonts w:ascii="Times New Roman CYR" w:hAnsi="Times New Roman CYR" w:cs="Times New Roman CYR"/>
        </w:rPr>
        <w:br/>
        <w:t xml:space="preserve">Прекрасный климат Железноводска сходен с климатом средних Альп, воздух насыщен кислородом и фитонцидами леса. Все это вызывает у отдыхающих положительные эмоции и повышает устойчивость людей к стрессам. </w:t>
      </w:r>
    </w:p>
    <w:p w14:paraId="5C486B81"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t xml:space="preserve">Маленький, чистый, зеленый Железноводск с его уникальными минеральными водами - самый тихий город из курортов Кавминвод. </w:t>
      </w:r>
    </w:p>
    <w:p w14:paraId="61511C3D"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t xml:space="preserve">Основной профиль санаториев Железноводска - лечение урологических заболеваний - хронических пиелонефритов, простатитов, мочекаменной болезни, хронических </w:t>
      </w:r>
      <w:r>
        <w:rPr>
          <w:rFonts w:ascii="Times New Roman CYR" w:hAnsi="Times New Roman CYR" w:cs="Times New Roman CYR"/>
        </w:rPr>
        <w:lastRenderedPageBreak/>
        <w:t xml:space="preserve">воспалительных заболеваний мужской и женской половой сферы и др. Кроме того, с учетом лечебных факторов курорта проводится активное оздоровление больных с сопутствующими заболеваниями желудочно-кишечного тракта, печени, обмена веществ, опорно-двигательного аппарата и др. </w:t>
      </w:r>
    </w:p>
    <w:p w14:paraId="7FB52AF8"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b/>
          <w:bCs/>
        </w:rPr>
        <w:t xml:space="preserve">6.4 </w:t>
      </w:r>
      <w:r>
        <w:rPr>
          <w:rFonts w:ascii="Times New Roman CYR" w:hAnsi="Times New Roman CYR" w:cs="Times New Roman CYR"/>
          <w:b/>
          <w:bCs/>
        </w:rPr>
        <w:t xml:space="preserve">Пятигорск </w:t>
      </w:r>
      <w:r>
        <w:t xml:space="preserve">- </w:t>
      </w:r>
      <w:r>
        <w:rPr>
          <w:rFonts w:ascii="Times New Roman CYR" w:hAnsi="Times New Roman CYR" w:cs="Times New Roman CYR"/>
        </w:rPr>
        <w:t>бальнеологический и грязевой курорт расположен в центре Кавминвод. Город здоровья, город-музей - жемчужина Кавказа - это один из самых старейших курортов страны. Город находится у подножия горы Машук на высоте 550 метров над уровнем моря и связан железнодорожными и автомобильными путями со всеми курортами Кавминвод и многими крупными городами России. Расстояние до Минераловодского аэропорта - 24 километров.</w:t>
      </w:r>
      <w:r>
        <w:rPr>
          <w:rFonts w:ascii="Times New Roman CYR" w:hAnsi="Times New Roman CYR" w:cs="Times New Roman CYR"/>
        </w:rPr>
        <w:br/>
        <w:t>Пятигорск - известнейший курорт в стране и за рубежом - располагает уникальными ресурсами. Природа щедро наделила его неповторимой красотой гор, солнечным светом и, главное, целебными минеральными источниками, дарящими людям радость исцеления. Умеренно-континентальный, без резких колебаний температур, климат, великолепные природные факторы благотворно влияют на здоровье людей. В ясную погоду видны снеговые цепи Центрального Кавказа с легендарным двуглавым Эльбрусом.</w:t>
      </w:r>
    </w:p>
    <w:p w14:paraId="643E71FD"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t xml:space="preserve">Пятигорск - крупнейший курорт России, не имеющий себе равных по разнообразию минеральных вод. Сочетание их с лечебными грязями Тамбуканского озера и ландшафтно-климатическими особенностями региона, а также более чем вековой опыт курортного дела превратили “край синих гор” в уникального целителя, вернувшего здоровье миллионам людей. </w:t>
      </w:r>
    </w:p>
    <w:p w14:paraId="4AA7E787"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t xml:space="preserve">Пятигорск - бальнеологический и грязевой курорт федерального значения. </w:t>
      </w:r>
    </w:p>
    <w:p w14:paraId="266A001C" w14:textId="77777777" w:rsidR="00381DDB" w:rsidRDefault="003712EA">
      <w:pPr>
        <w:widowControl w:val="0"/>
        <w:autoSpaceDE w:val="0"/>
        <w:autoSpaceDN w:val="0"/>
        <w:adjustRightInd w:val="0"/>
        <w:ind w:firstLine="284"/>
        <w:jc w:val="both"/>
        <w:rPr>
          <w:rFonts w:ascii="Times New Roman CYR" w:hAnsi="Times New Roman CYR" w:cs="Times New Roman CYR"/>
        </w:rPr>
      </w:pPr>
      <w:r>
        <w:t xml:space="preserve"> </w:t>
      </w:r>
      <w:r>
        <w:rPr>
          <w:rFonts w:ascii="Times New Roman CYR" w:hAnsi="Times New Roman CYR" w:cs="Times New Roman CYR"/>
        </w:rPr>
        <w:t xml:space="preserve">Здесь более 50 различных минеральных источников. Земля Пятигорья славится целительными радоновыми, углекисло-сероводородными и углекислыми водами. Для оздоровления больных используется и знаменитая лечебная грязь Тамбуканского озера. Пройти курс комплексного лечения на прославленном курорте, улучшить здоровье медики рекомендуют тем, кто хочет избавиться от заболеваний дыхательной, нервной, костно-мышечной, иммунной, эндокринной, мочеполовой систем, органов пищеварения, кровообращения, желудочно-кишечного тракта, кто страдает нарушениями обмена веществ. </w:t>
      </w:r>
      <w:r>
        <w:rPr>
          <w:rFonts w:ascii="Times New Roman CYR" w:hAnsi="Times New Roman CYR" w:cs="Times New Roman CYR"/>
        </w:rPr>
        <w:br/>
        <w:t xml:space="preserve">Пятигорск - город исторический. Большинство памятных мест связано с именами выдающихся людей России, таких как А.С.Пушкин, Лев Толстой, П.И.Чайковский, М.Ю.Лермонтов. </w:t>
      </w:r>
    </w:p>
    <w:p w14:paraId="4B92F263"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t>Правильно организованный режим лечения в санаториях Пятигорска, первоклассная современная медицинская база, профессионально и грамотно организованное диетпитание, применение всего комплекса бальнеофизиотерапевтических процедур помогает избавиться от недугов тем, кто страдает заболеваниями нервной системы, желудочно-кишечного тракта, органов дыхания и опорно-двигательного аппарата, болезни уха, горла и носа, гинекологическими и кожными заболеваниями, нарушением обмена веществ.</w:t>
      </w:r>
    </w:p>
    <w:p w14:paraId="5F698CFD"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b/>
          <w:bCs/>
        </w:rPr>
        <w:t xml:space="preserve">6.5 </w:t>
      </w:r>
      <w:r>
        <w:rPr>
          <w:rFonts w:ascii="Times New Roman CYR" w:hAnsi="Times New Roman CYR" w:cs="Times New Roman CYR"/>
          <w:b/>
          <w:bCs/>
        </w:rPr>
        <w:t>Горячий ключ</w:t>
      </w:r>
      <w:r>
        <w:t xml:space="preserve"> - </w:t>
      </w:r>
      <w:r>
        <w:rPr>
          <w:rFonts w:ascii="Times New Roman CYR" w:hAnsi="Times New Roman CYR" w:cs="Times New Roman CYR"/>
        </w:rPr>
        <w:t xml:space="preserve">расположен в предгорьях Большого Кавказа, на правом берегу р. Псекупс (приток Кубани), при её выходе из гор на равнину, в 5 км от железнодорожной станции Горячий Ключ, на автомобильной дороге Краснодар - Джугба, в 65 км к югу от Краснодара. </w:t>
      </w:r>
    </w:p>
    <w:p w14:paraId="6F52BB9F"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t xml:space="preserve">Климат на курорте умеренно континентальный. Средняя температура января -1°С, июля +22°С. Осадков около 900 мм в год. </w:t>
      </w:r>
    </w:p>
    <w:p w14:paraId="53F4AA50"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t xml:space="preserve">Горячий ключ - бальнеологический курорт РФ, на котором используются воды нескольких видов: термальные (до +60С) сульфидные хлоридно-гидрокарбонатные натриевые - для ванн при заболеваниях органов движения и опоры, периферической нервной системы, гинекологических болезнях. Сульфидные гидрокарбонатные натриевые и хлоридные натриевые с более низкой температурой воды и меньшим содержанием сероводорода используются для питьевого лечения и бальнеотерапевтических процедур, главным образом при заболеваниях органов пищеварения. </w:t>
      </w:r>
    </w:p>
    <w:p w14:paraId="6C369A19"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lastRenderedPageBreak/>
        <w:t xml:space="preserve">Основан Горячий Ключ как курорт в 1864. Первым делом были построены военный госпиталь, купальня, разбит парк, в 1890 - достроены 2 ванных здания. </w:t>
      </w:r>
    </w:p>
    <w:p w14:paraId="05C2A586"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t xml:space="preserve">С 1930 курортный посёлок, с 1965 город. Название город получил по термальным источникам минеральных вод. Здесь есть лесокомбинат, мебельная фабрика, завод по розливу минеральных вод. </w:t>
      </w:r>
    </w:p>
    <w:p w14:paraId="1754C3A6"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b/>
          <w:bCs/>
        </w:rPr>
        <w:t xml:space="preserve">6.6 </w:t>
      </w:r>
      <w:r>
        <w:rPr>
          <w:rFonts w:ascii="Times New Roman CYR" w:hAnsi="Times New Roman CYR" w:cs="Times New Roman CYR"/>
        </w:rPr>
        <w:t xml:space="preserve">Курорт </w:t>
      </w:r>
      <w:r>
        <w:rPr>
          <w:b/>
          <w:bCs/>
        </w:rPr>
        <w:t>"</w:t>
      </w:r>
      <w:r>
        <w:rPr>
          <w:rFonts w:ascii="Times New Roman CYR" w:hAnsi="Times New Roman CYR" w:cs="Times New Roman CYR"/>
          <w:b/>
          <w:bCs/>
        </w:rPr>
        <w:t>Краинка"</w:t>
      </w:r>
      <w:r>
        <w:t xml:space="preserve"> </w:t>
      </w:r>
      <w:r>
        <w:rPr>
          <w:rFonts w:ascii="Times New Roman CYR" w:hAnsi="Times New Roman CYR" w:cs="Times New Roman CYR"/>
        </w:rPr>
        <w:t xml:space="preserve">является одним из старейших курортов России. В мае 1999 г. курорту исполнилось 155 лет. Расположен курорт в Суворовском районе Тульской области, в тенистом лесопарке, на берегу реки Черепеть по соседству с сосновым бором. Целебную воду источника с незапамятных времен использовали для лечения собственных недугов крестьяне села Краинского, которые, по существу, и были первооткрывателями Краинской минеральной воды. Среди питьевых бальнеологических и грязевых курортов центральной части России курорт "Краинка" является наиболее крупным и многопрофильным. Он обладает большим выбором естественных лечебных факторов и пользуется заслуженной популярностью среди больных и врачей. На курорте ежегодно лечатся около двадцати тысяч больных, преимущественно с заболеванием пищеварительного тракта, мочевыводящих путей, органов движения и периферической нервной системы. Между тем не только больные, но нередко и врачи очень мало знают о курорте "Краинка" и его лечебных факторах. За последние 10 лет о курорте не были изданы ни популярные брошюры, ни монографические работы для врачей. Изданные в прошлом брошюры с описанием курорта давно стали библиографической редкостью. </w:t>
      </w:r>
    </w:p>
    <w:p w14:paraId="29E27319"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t xml:space="preserve">Состояние здоровья населения во многом обуславливает счастье и долголетие как отдельного человека, так и нации. Из-за нерационального питания, ограниченной двигательной активности, нарушения экологической ситуация возникли причины, которые привели к серьезным нарушениям желудочно-кишечного тракта подавляющего большинства населения нашей страны. Необходим постоянный прием продуктов, богатых витаминами и микроэлементами. Экспериментально установлено, что недостаток в рационе только одного витамина или микроэлемента резко увеличивает риск возникновения того или иного заболевания. Так, нервозность и многие заболевания, связанные с нервной системой, могут возникнуть от недостатка кальция. По данным специалистов, 90% всех смертей вызывают болезни, которые возникли в результате дефицита кальция в организме. Одной из причин дефицита кальция в организме является низкое содержание его в природной воде. Идеальным для долголетия содержанием Са в природной воде является 8-20 мг/л. Именно такое его содержание в природной воде характерно для регионов с наибольшим количеством долгожителей - Якутии, Абхазии, Дагестана и др. Жители средней полосы живут на 10-15 лет меньше, чем могли бы. Но природа преподносит нам иногда такие подарки, как вода из целебного источника "Краинский", имеющая высокоминерализованный состав. Уникальные свойства этой воды были открыты земским врачом и известны сегодня многим. Эта вода настолько хороша, что в 1998 г. на международном конкурсе в Париже была отмечена Золотой медалью и в этом же году ей присваивается медаль на международной выставке и Каире. Но не все и не всегда имеют возможность посещать курорт. Сегодня появилась реальная возможность пить эту целебную воду, не выходя из собственной квартиры. Это должно стать повседневным мероприятием в домашних условиях. </w:t>
      </w:r>
    </w:p>
    <w:p w14:paraId="6F665DF8"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t xml:space="preserve">Эта вода применяется при дисбактериозах, хронических гастритах с нормальной и повышенной секреторной функцией желудка, язвенной болезни желудка и двенадцатиперстной кишки, болезнях оперированного желудка по поводу язвы желудка и двенадцатиперстной кишки, хронических колитах и энтероколитах, хронических заболеваниях печени, желчевыводящих и мочевыводящих путей, постхолецистэктомических синдромах, хронических панкреатитах, болезнях обмена веществ и как отличное профилактическое средство при заболеваниях центральной нервной системы. </w:t>
      </w:r>
    </w:p>
    <w:p w14:paraId="452FF5C5"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b/>
          <w:bCs/>
        </w:rPr>
        <w:lastRenderedPageBreak/>
        <w:t xml:space="preserve">6.7 </w:t>
      </w:r>
      <w:r>
        <w:rPr>
          <w:rFonts w:ascii="Times New Roman CYR" w:hAnsi="Times New Roman CYR" w:cs="Times New Roman CYR"/>
          <w:b/>
          <w:bCs/>
        </w:rPr>
        <w:t>Анапа</w:t>
      </w:r>
      <w:r>
        <w:t xml:space="preserve"> </w:t>
      </w:r>
      <w:r>
        <w:rPr>
          <w:rFonts w:ascii="Times New Roman CYR" w:hAnsi="Times New Roman CYR" w:cs="Times New Roman CYR"/>
        </w:rPr>
        <w:t>расположена в юго-западной части Краснодарского края, на стыке Большого Кавказа и Таманского полуострова. Этим объясняется удивительное разнообразие ландшафта на территории курорта: от Кавказских предгорий, покрытых смешанным лесом, до равнинного плато, на котором расположена древняя Анапа, и низменных равнин Тамани, перемежающихся с морскими лиманами. Все это природное разнообразие объединяет Черное море, вдоль берега которого курорт протягивается более чем на 80 километров. Море у Анапы самое экологически чистое в Черноморском бассейне. Анапа это: 40 километров песчаных пляжей и 10 километров галечных пляжей; целебный климат одновременно предгорно-степной и мягкий средиземноморский; ценнейшие лечебные сероводородные грязи, сопочные грязи "вулканов", четыре типа целебных подземных минеральных вод для лечебного и столового питья, сероводородные, йодные, бромные высокоминерализованные воды и рассолы для ванн, тысячи гектаров виноградников.</w:t>
      </w:r>
    </w:p>
    <w:p w14:paraId="5BF45803"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t xml:space="preserve">Анапа - бальнеологический курорт РФ. Здесь используются минеральные воды для столового и лечебного питья древнейших Семигорских источников с высоким газосодержанием, азотно-углекисло-метановая, с минерализацией от 4-5 г/л (источник N6) до 10-1 1 г/л (источник N6), хлоридно-гидрокарбонатная натриевая йодная борная, слабо щелочная. Эта минвода используется для бальнеопроцедур во всех здравницах, разливается в бутылки. Минеральная вода Анапского месторождения (выведена скважинами в центре города) с незначительным содержанием газа-азота, с минерализацией до 3 г/л, гидрокарбонатно-хлоридно-сульфатная, нейтральная или слабощелочная. Она используется для бальнеопроцедур во всех здравницах, разливается в бутылки. Минеральная вода Бимлюкского месторождения азотная, средней минерализации, бромная, хлоридная магниево-кальциево-натриевая, слабокислая, близкая к нейтральной. Используется для лечебного питья и для ванн. Минеральная вода Пионерского месторождения маломинерализованная, сульфатно-натриевая. </w:t>
      </w:r>
      <w:r>
        <w:rPr>
          <w:rFonts w:ascii="Times New Roman CYR" w:hAnsi="Times New Roman CYR" w:cs="Times New Roman CYR"/>
          <w:u w:val="single"/>
        </w:rPr>
        <w:t>Минеральные воды для наружного применения</w:t>
      </w:r>
      <w:r>
        <w:t xml:space="preserve">. </w:t>
      </w:r>
      <w:r>
        <w:rPr>
          <w:rFonts w:ascii="Times New Roman CYR" w:hAnsi="Times New Roman CYR" w:cs="Times New Roman CYR"/>
        </w:rPr>
        <w:t>Помимо минеральной воды Бимлюкского месторождения имеются: анапская "Мацеста" азотно-метановые, сероводородные (слабосульфидные, средне сульфидные), средней и высокой минерализации от 5,5 г/л, гидрокарбонатно-хлоридные, кальциево-магниево-натриевые воды; минеральные воды Пионерского и Цибанобалкинского месторождений метановые или азотно-метановые, очень высокой минерализации, и рассольные хлоридно-натриевые бромные йодные воды с нейтральной реакцией. Иодобромные рассолы содержат солей от 35 до 85 г/л, йода от 30 до 70 мг/л, брома от 150 до 190 мг/л, бора 50 мг/л. Для бальнеотерапевтических процедур рассолы разводят до лечебной концентрации примерно вдвое. Рассолы используются в санатории "Россиянка", пансионатах "Урал" и "Пламя", в ЛОР-центре санаторного комплекса "ДиЛУЧ". Морская минеральная вода с минерализацией 17,6 г/л используется в виде морских купаний, морских ванн, в бассейнах и для других бальнеопроцедур.</w:t>
      </w:r>
    </w:p>
    <w:p w14:paraId="47E155F0" w14:textId="77777777" w:rsidR="00381DDB" w:rsidRDefault="003712EA">
      <w:pPr>
        <w:widowControl w:val="0"/>
        <w:autoSpaceDE w:val="0"/>
        <w:autoSpaceDN w:val="0"/>
        <w:adjustRightInd w:val="0"/>
        <w:ind w:firstLine="284"/>
        <w:jc w:val="both"/>
        <w:rPr>
          <w:b/>
          <w:bCs/>
        </w:rPr>
      </w:pPr>
      <w:r>
        <w:t xml:space="preserve"> </w:t>
      </w:r>
      <w:r>
        <w:tab/>
      </w:r>
      <w:r>
        <w:rPr>
          <w:rFonts w:ascii="Times New Roman CYR" w:hAnsi="Times New Roman CYR" w:cs="Times New Roman CYR"/>
        </w:rPr>
        <w:t xml:space="preserve">Курорт находится на расстоянии 1500 км от Москвы, 170 км от Краснодара, 400 км от Ростова-на-Дону, 50 км от Новороссийска, 90 км от Геленджика, 360 км от Сочи, 900 км от Грозного и 100 км от Крыма. В Анапе крупный международный аэропорт, железнодорожная станция, международный пассажирский порт (для малотоннажных судов), автовокзал, развитая сеть шоссейных дорог. </w:t>
      </w:r>
    </w:p>
    <w:p w14:paraId="2AAAB2C7"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b/>
          <w:bCs/>
        </w:rPr>
        <w:t xml:space="preserve">6.8 </w:t>
      </w:r>
      <w:r>
        <w:rPr>
          <w:rFonts w:ascii="Times New Roman CYR" w:hAnsi="Times New Roman CYR" w:cs="Times New Roman CYR"/>
        </w:rPr>
        <w:t>Курорт</w:t>
      </w:r>
      <w:r>
        <w:rPr>
          <w:b/>
          <w:bCs/>
        </w:rPr>
        <w:t xml:space="preserve"> </w:t>
      </w:r>
      <w:r>
        <w:rPr>
          <w:rFonts w:ascii="Times New Roman CYR" w:hAnsi="Times New Roman CYR" w:cs="Times New Roman CYR"/>
          <w:b/>
          <w:bCs/>
        </w:rPr>
        <w:t>Минеральные Воды</w:t>
      </w:r>
      <w:r>
        <w:t xml:space="preserve"> </w:t>
      </w:r>
      <w:r>
        <w:rPr>
          <w:rFonts w:ascii="Times New Roman CYR" w:hAnsi="Times New Roman CYR" w:cs="Times New Roman CYR"/>
        </w:rPr>
        <w:t>расположен в юго-восточной части Ставропольского края, в долине реки Кумы, у подножия горы Змейки, на высоте 320 метров над уровнем моря. Его называют воротами на Кавказские Минеральные Воды, через него проходит Северо-Кавказская железная дорога (Ростов-Баку), автомагистраль (Ростов-Баку). В Минеральных Водах находится один из самых крупных аэропортов страны.</w:t>
      </w:r>
    </w:p>
    <w:p w14:paraId="719946EB" w14:textId="77777777" w:rsidR="00381DDB" w:rsidRDefault="003712EA">
      <w:pPr>
        <w:widowControl w:val="0"/>
        <w:tabs>
          <w:tab w:val="left" w:pos="3420"/>
        </w:tabs>
        <w:autoSpaceDE w:val="0"/>
        <w:autoSpaceDN w:val="0"/>
        <w:adjustRightInd w:val="0"/>
        <w:ind w:right="-566" w:firstLine="284"/>
        <w:jc w:val="center"/>
        <w:rPr>
          <w:rFonts w:ascii="Times New Roman CYR" w:hAnsi="Times New Roman CYR" w:cs="Times New Roman CYR"/>
          <w:b/>
          <w:bCs/>
          <w:u w:val="single"/>
        </w:rPr>
      </w:pPr>
      <w:r>
        <w:rPr>
          <w:b/>
          <w:bCs/>
          <w:u w:val="single"/>
        </w:rPr>
        <w:br w:type="page"/>
      </w:r>
      <w:r>
        <w:rPr>
          <w:b/>
          <w:bCs/>
          <w:u w:val="single"/>
        </w:rPr>
        <w:lastRenderedPageBreak/>
        <w:t>7.</w:t>
      </w:r>
      <w:r>
        <w:rPr>
          <w:rFonts w:ascii="Times New Roman CYR" w:hAnsi="Times New Roman CYR" w:cs="Times New Roman CYR"/>
          <w:b/>
          <w:bCs/>
          <w:u w:val="single"/>
        </w:rPr>
        <w:t>Заключение.</w:t>
      </w:r>
    </w:p>
    <w:p w14:paraId="2042A247"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t>Приоритетными направлениями деятельности Министерства здравоохранения России признаны профилактика и медицинская реабилитация. Одним из основных этапов медицинской реабилитации является санаторно-курортное лечение, которое полностью отвечает профилактическому принципу отечественного здравоохранения.</w:t>
      </w:r>
    </w:p>
    <w:p w14:paraId="37584FD7" w14:textId="77777777" w:rsidR="00381DDB" w:rsidRDefault="003712EA">
      <w:pPr>
        <w:widowControl w:val="0"/>
        <w:autoSpaceDE w:val="0"/>
        <w:autoSpaceDN w:val="0"/>
        <w:adjustRightInd w:val="0"/>
        <w:ind w:firstLine="284"/>
        <w:jc w:val="both"/>
        <w:rPr>
          <w:b/>
          <w:bCs/>
        </w:rPr>
      </w:pPr>
      <w:r>
        <w:rPr>
          <w:rFonts w:ascii="Times New Roman CYR" w:hAnsi="Times New Roman CYR" w:cs="Times New Roman CYR"/>
        </w:rPr>
        <w:t xml:space="preserve">Санаторно-курортный комплекс России - огромная индустрия здоровья, которая в материальном отношении представлена мощной сетью учреждений. Ведущую роль в ней занимают, безусловно, санатории, санатории-профилактории, бальнеогрязелечебницы, санаторно-оздоровительные лагеря. И все это - лечебно-профилактические учреждения, основным видом деятельности которых является, прежде всего, медицина, направленная на профилактику, а значит, и снижение заболеваемости и инвалидности. </w:t>
      </w:r>
    </w:p>
    <w:p w14:paraId="51FBC0F9"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t xml:space="preserve">Исторически с момента открытия первого курорта курортное дело в России являлось объектом, прежде всего, социальной политики и всецело было направлено на восстановительное лечение граждан с применением целебных природных факторов. А вот после Октябрьской революции была провозглашена национализация курортов и предопределены основные принципы их развития. Первый принцип: курорты - на службу народу. Второй заключался в том, что лечебные местности и курорты страны должны находиться в ведении, прежде всего, органов здравоохранения. </w:t>
      </w:r>
    </w:p>
    <w:p w14:paraId="4226F071" w14:textId="77777777" w:rsidR="00381DDB" w:rsidRDefault="003712EA">
      <w:pPr>
        <w:widowControl w:val="0"/>
        <w:autoSpaceDE w:val="0"/>
        <w:autoSpaceDN w:val="0"/>
        <w:adjustRightInd w:val="0"/>
        <w:ind w:firstLine="284"/>
        <w:jc w:val="both"/>
        <w:rPr>
          <w:b/>
          <w:bCs/>
        </w:rPr>
      </w:pPr>
      <w:r>
        <w:rPr>
          <w:rFonts w:ascii="Times New Roman CYR" w:hAnsi="Times New Roman CYR" w:cs="Times New Roman CYR"/>
        </w:rPr>
        <w:t xml:space="preserve">Итак, до 1960 года вся санаторно-курортная сеть страны находилась в ведении Минздрава Союза. Постановлением Совета Министров Союза от 10 марта 1960 г. санатории и дома отдыха, кроме детских и противотуберкулезных санаториев, из системы здравоохранения были переданы профсоюзам. Управление ими осуществлялось центральным комитетом по управлению курортами ВЦСПС и его структурами на административных территориях. Организация санаторно-курортного дела, изучение курортных ресурсов, разработка методов лечебно-профилактического использования курортных факторов, а также отбор лиц для направления на санаторно-курортное лечение были возложены на Минздрав Союза и Минздравы союзных республик. </w:t>
      </w:r>
    </w:p>
    <w:p w14:paraId="6AE2ECAD"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t xml:space="preserve">С 1994 года реализация государственной политики в области сохранения и развития курортного комплекса была возложена на Государственный комитет Российской Федерации по физической культуре, спорту и туризму. Как показала семилетняя практика, комитет, не располагавший ни одним санаторно-курортным учреждением, необходимой научно-образовательной базой, кадровым потенциалом, вынужден был привлекать постоянно учреждения, специалистов здравоохранения в области курортного дела при подготовке законодательных и иных нормативно-правовых документов и осуществлении мероприятий, направленных на развитие курортного комплекса России. </w:t>
      </w:r>
    </w:p>
    <w:p w14:paraId="1E9E8995" w14:textId="77777777" w:rsidR="00381DDB" w:rsidRDefault="003712EA">
      <w:pPr>
        <w:widowControl w:val="0"/>
        <w:autoSpaceDE w:val="0"/>
        <w:autoSpaceDN w:val="0"/>
        <w:adjustRightInd w:val="0"/>
        <w:ind w:firstLine="284"/>
        <w:jc w:val="both"/>
        <w:rPr>
          <w:b/>
          <w:bCs/>
        </w:rPr>
      </w:pPr>
      <w:r>
        <w:rPr>
          <w:rFonts w:ascii="Times New Roman CYR" w:hAnsi="Times New Roman CYR" w:cs="Times New Roman CYR"/>
        </w:rPr>
        <w:t xml:space="preserve">По данным Госкомстата, на 1 января 2001 года сеть санаторно-курортных учреждений страны составила 2 тысячи 470 учреждений на 383 тысячи коек, из них только сеть санаторно-курортных учреждений системы здравоохранения составляют 607 санаториев на 77 тысяч коек, из которых 103 санатория для взрослых и 504 санатория для детей. 85 процентов санаториев сегодня находятся в ведении органов управления здравоохранением субъектов России. В 2000 году в них получили санаторно-курортное лечение 506 тысяч человек, в том числе 367 тысяч детей. В подчинении Министерства здравоохранения России находятся 39 санаториев для детей и детей с родителями на 9 тысяч коек и 13 санаториев для взрослых, больных туберкулезом, на 3,5 тысячи коек. В 2000 году в них получили лечение 117 тысяч больных. </w:t>
      </w:r>
    </w:p>
    <w:p w14:paraId="4310DFC9"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t xml:space="preserve">К сожалению, на сегодняшний день система санаторно-курортной помощи в стране не имеет единой структуры и рассредоточена между министерствами, ведомствами, общественными организациями, акционерными обществами, что определяет развитие санаторных учреждений с учетом интересов и возможностей, прежде всего, собственника. Независимо от форм </w:t>
      </w:r>
      <w:r>
        <w:rPr>
          <w:rFonts w:ascii="Times New Roman CYR" w:hAnsi="Times New Roman CYR" w:cs="Times New Roman CYR"/>
        </w:rPr>
        <w:lastRenderedPageBreak/>
        <w:t>собственности и ведомственной подчиненности санатории России составляют единый комплекс в решении общей задачи, требующий, прежде всего, организационно-методического обеспечения.</w:t>
      </w:r>
    </w:p>
    <w:p w14:paraId="796606DF"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t>Правовое обеспечение современной государственной политики в сфере санаторно-курортного лечения и отдыха нашло отражение в ряде федеральных законов, которые были приняты в 1995-1996 годах. Один из основных законов - закон «О природных лечебных ресурсах, лечебно-оздоровительных местностях и курортах». Там в терминологии обозначено, что курортное дело - это, прежде всего, «совокупность всех видов научно-практической деятельности по организации и осуществлению лечения и профилактике заболеваний на основе использования природных лечебных ресурсов». Россия сегодня обладает уникальными лечебными источниками, такими как Марциальные воды Карелии, радоновые воды Пятигорска и Белокурихи, нарзаны Кисловодска, лечебные грязи озера Карачи, сероводород Мацесты. Такого разнообразия не найти ни в одной другой стране мира. Это жемчужины России, которые находятся на службе человека более 250 лет. В настоящее время на курортах РФ выявлено и используется в виде бальнеопроцедур 42 типа природных минвод и 410 месторождений с эксплуатационными запасами в 280 тысяч м</w:t>
      </w:r>
      <w:r>
        <w:rPr>
          <w:vertAlign w:val="superscript"/>
        </w:rPr>
        <w:t xml:space="preserve">3 </w:t>
      </w:r>
      <w:r>
        <w:rPr>
          <w:rFonts w:ascii="Times New Roman CYR" w:hAnsi="Times New Roman CYR" w:cs="Times New Roman CYR"/>
        </w:rPr>
        <w:t>в сутки. Минводы разведаны в 73 субъектах из 89 субъектов РФ.</w:t>
      </w:r>
    </w:p>
    <w:p w14:paraId="5A228595"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t xml:space="preserve">Вместе с тем, необходимо отметить, что имеющийся санаторно-курортный комплекс страны в ряде случаев используется недостаточно эффективно. Отсутствие единой структуры санаторной помощи, а также особенности налоговой политики не могли не отразиться на сегодняшнем состоянии курортов страны. </w:t>
      </w:r>
    </w:p>
    <w:p w14:paraId="796B869C"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t>В настоящее время в связи с передачей большинства месторождений в пользование и разработку различным акционерным обществам необоснованно резко возросла стоимость природных лечебных факторов: минеральных вод, лечебных грязей, отпускаемых для нужд санаторно-курортных учреждений. Так, мацестинская ванна сегодня в наших санаториях, которые входят в систему Министерства здравоохранения России, стоит для одного ребенка 98 рублей, а для взрослого больного, остро нуждающегося в этой ванне, - 198 рублей. Один стакан минеральной воды «Ессентуки» для ребенка стоит сегодня 3,5 рубля, а для лечения необходимо каждый день по несколько стаканов потреблять как детям, так и взрослым. Стоимость одного койко-дня в санаториях различных ведомств сегодня составляет от 330 до 800 рублей, средняя стоимость путевки - 575 рублей за один койко-день. Путевки сегодня оплачиваются из федерального бюджета для социально незащищенных категорий населения и выделяются лицам, нуждающимся в санаторно-курортном лечении. Это - дети, инвалиды. Бесплатно для жителей РФ путевки выдают Минздрав России, Минтруд России, на льготных условиях - за 10-15 процентов себестоимости - Минобороны, МВД, ФСБ, Спецстрой России. Все остальные - на платной основе.</w:t>
      </w:r>
    </w:p>
    <w:p w14:paraId="2D17F493" w14:textId="77777777" w:rsidR="00381DDB" w:rsidRDefault="003712EA">
      <w:pPr>
        <w:widowControl w:val="0"/>
        <w:autoSpaceDE w:val="0"/>
        <w:autoSpaceDN w:val="0"/>
        <w:adjustRightInd w:val="0"/>
        <w:ind w:firstLine="284"/>
        <w:jc w:val="both"/>
        <w:rPr>
          <w:rFonts w:ascii="Times New Roman CYR" w:hAnsi="Times New Roman CYR" w:cs="Times New Roman CYR"/>
        </w:rPr>
      </w:pPr>
      <w:r>
        <w:rPr>
          <w:rFonts w:ascii="Times New Roman CYR" w:hAnsi="Times New Roman CYR" w:cs="Times New Roman CYR"/>
        </w:rPr>
        <w:t>Сегодня назрела необходимость обоснования концепции развития курортного дела в России, в которой должны быть продуманы все звенья санаторно-курортной системы от центрального ведомства до муниципального санатория. Постановлением Правительства России в 1996 году была принята четырехлетняя федеральная целевая программа «Развитие курортов федерального значения». За период реализации программы предусмотренное финансирование практически не осуществлялось. Как соисполнитель программы Минздрав России не получил какого-либо финансирования на реализацию ее мероприятий. При этом задачи, которые были поставлены программой, не только не потеряли своей актуальности, но приобрели еще большее значение в связи с необходимостью усиления мер  по сохранению и укреплению здоровья населения. Учитывая изложенное, в настоящее время Минздрав России разрабатывает единую федеральную целевую программу, одной из подпрограмм которой является развитие курортов федерального значения.</w:t>
      </w:r>
    </w:p>
    <w:p w14:paraId="0B0E8672" w14:textId="77777777" w:rsidR="00381DDB" w:rsidRDefault="00381DDB">
      <w:pPr>
        <w:widowControl w:val="0"/>
        <w:autoSpaceDE w:val="0"/>
        <w:autoSpaceDN w:val="0"/>
        <w:adjustRightInd w:val="0"/>
        <w:ind w:firstLine="284"/>
        <w:rPr>
          <w:rFonts w:ascii="Times New Roman CYR" w:hAnsi="Times New Roman CYR" w:cs="Times New Roman CYR"/>
        </w:rPr>
      </w:pPr>
    </w:p>
    <w:p w14:paraId="47486B20" w14:textId="77777777" w:rsidR="00381DDB" w:rsidRDefault="003712EA">
      <w:pPr>
        <w:widowControl w:val="0"/>
        <w:autoSpaceDE w:val="0"/>
        <w:autoSpaceDN w:val="0"/>
        <w:adjustRightInd w:val="0"/>
        <w:ind w:firstLine="284"/>
        <w:jc w:val="center"/>
        <w:rPr>
          <w:rFonts w:ascii="Times New Roman CYR" w:hAnsi="Times New Roman CYR" w:cs="Times New Roman CYR"/>
          <w:b/>
          <w:bCs/>
          <w:sz w:val="28"/>
          <w:szCs w:val="28"/>
          <w:u w:val="single"/>
        </w:rPr>
      </w:pPr>
      <w:r>
        <w:rPr>
          <w:sz w:val="28"/>
          <w:szCs w:val="28"/>
        </w:rPr>
        <w:br w:type="page"/>
      </w:r>
      <w:r>
        <w:rPr>
          <w:rFonts w:ascii="Times New Roman CYR" w:hAnsi="Times New Roman CYR" w:cs="Times New Roman CYR"/>
          <w:b/>
          <w:bCs/>
          <w:sz w:val="28"/>
          <w:szCs w:val="28"/>
          <w:u w:val="single"/>
        </w:rPr>
        <w:lastRenderedPageBreak/>
        <w:t>Литература.</w:t>
      </w:r>
    </w:p>
    <w:p w14:paraId="40428ECE" w14:textId="77777777" w:rsidR="00381DDB" w:rsidRDefault="00381DDB">
      <w:pPr>
        <w:widowControl w:val="0"/>
        <w:autoSpaceDE w:val="0"/>
        <w:autoSpaceDN w:val="0"/>
        <w:adjustRightInd w:val="0"/>
        <w:ind w:firstLine="284"/>
        <w:rPr>
          <w:rFonts w:ascii="Times New Roman CYR" w:hAnsi="Times New Roman CYR" w:cs="Times New Roman CYR"/>
          <w:b/>
          <w:bCs/>
          <w:sz w:val="28"/>
          <w:szCs w:val="28"/>
          <w:u w:val="single"/>
        </w:rPr>
      </w:pPr>
    </w:p>
    <w:p w14:paraId="546D490E" w14:textId="77777777" w:rsidR="00381DDB" w:rsidRDefault="003712EA">
      <w:pPr>
        <w:widowControl w:val="0"/>
        <w:tabs>
          <w:tab w:val="left" w:pos="1364"/>
        </w:tabs>
        <w:autoSpaceDE w:val="0"/>
        <w:autoSpaceDN w:val="0"/>
        <w:adjustRightInd w:val="0"/>
        <w:spacing w:before="120" w:after="240"/>
        <w:ind w:left="1361" w:hanging="357"/>
        <w:rPr>
          <w:rFonts w:ascii="Times New Roman CYR" w:hAnsi="Times New Roman CYR" w:cs="Times New Roman CYR"/>
          <w:sz w:val="28"/>
          <w:szCs w:val="28"/>
        </w:rPr>
      </w:pPr>
      <w:r>
        <w:rPr>
          <w:sz w:val="28"/>
          <w:szCs w:val="28"/>
        </w:rPr>
        <w:t>1.</w:t>
      </w:r>
      <w:r>
        <w:rPr>
          <w:sz w:val="28"/>
          <w:szCs w:val="28"/>
        </w:rPr>
        <w:tab/>
      </w:r>
      <w:r>
        <w:rPr>
          <w:rFonts w:ascii="Times New Roman CYR" w:hAnsi="Times New Roman CYR" w:cs="Times New Roman CYR"/>
          <w:sz w:val="28"/>
          <w:szCs w:val="28"/>
        </w:rPr>
        <w:t>Волошин Н.И. Правовое регулирование туристской деятельности. - М.: «Финансы и статистика»,1998.</w:t>
      </w:r>
    </w:p>
    <w:p w14:paraId="7F987E37" w14:textId="77777777" w:rsidR="00381DDB" w:rsidRDefault="003712EA">
      <w:pPr>
        <w:widowControl w:val="0"/>
        <w:tabs>
          <w:tab w:val="left" w:pos="1364"/>
        </w:tabs>
        <w:autoSpaceDE w:val="0"/>
        <w:autoSpaceDN w:val="0"/>
        <w:adjustRightInd w:val="0"/>
        <w:spacing w:before="120" w:after="240"/>
        <w:ind w:left="1361" w:hanging="357"/>
        <w:rPr>
          <w:rFonts w:ascii="Times New Roman CYR" w:hAnsi="Times New Roman CYR" w:cs="Times New Roman CYR"/>
          <w:sz w:val="28"/>
          <w:szCs w:val="28"/>
        </w:rPr>
      </w:pPr>
      <w:r>
        <w:rPr>
          <w:sz w:val="28"/>
          <w:szCs w:val="28"/>
        </w:rPr>
        <w:t>2.</w:t>
      </w:r>
      <w:r>
        <w:rPr>
          <w:sz w:val="28"/>
          <w:szCs w:val="28"/>
        </w:rPr>
        <w:tab/>
      </w:r>
      <w:r>
        <w:rPr>
          <w:rFonts w:ascii="Times New Roman CYR" w:hAnsi="Times New Roman CYR" w:cs="Times New Roman CYR"/>
          <w:sz w:val="28"/>
          <w:szCs w:val="28"/>
        </w:rPr>
        <w:t>Курорты: Энциклопедический словарь. - М.: «Советская энциклопедия»,1983.</w:t>
      </w:r>
    </w:p>
    <w:p w14:paraId="182F05E9" w14:textId="77777777" w:rsidR="00381DDB" w:rsidRDefault="003712EA">
      <w:pPr>
        <w:widowControl w:val="0"/>
        <w:tabs>
          <w:tab w:val="left" w:pos="1364"/>
        </w:tabs>
        <w:autoSpaceDE w:val="0"/>
        <w:autoSpaceDN w:val="0"/>
        <w:adjustRightInd w:val="0"/>
        <w:spacing w:before="120" w:after="240"/>
        <w:ind w:left="1361" w:hanging="357"/>
        <w:rPr>
          <w:rFonts w:ascii="Times New Roman CYR" w:hAnsi="Times New Roman CYR" w:cs="Times New Roman CYR"/>
          <w:sz w:val="28"/>
          <w:szCs w:val="28"/>
        </w:rPr>
      </w:pPr>
      <w:r>
        <w:rPr>
          <w:sz w:val="28"/>
          <w:szCs w:val="28"/>
        </w:rPr>
        <w:t>3.</w:t>
      </w:r>
      <w:r>
        <w:rPr>
          <w:sz w:val="28"/>
          <w:szCs w:val="28"/>
        </w:rPr>
        <w:tab/>
      </w:r>
      <w:r>
        <w:rPr>
          <w:rFonts w:ascii="Times New Roman CYR" w:hAnsi="Times New Roman CYR" w:cs="Times New Roman CYR"/>
          <w:sz w:val="28"/>
          <w:szCs w:val="28"/>
        </w:rPr>
        <w:t>Курорты СССР / Под ред. С.В. Курашова, Л.Г. Гольдфайля, Г.Н. Поспеловой. - М.: «Государственное издательство медицинской литературы»,1962.</w:t>
      </w:r>
    </w:p>
    <w:p w14:paraId="5F026DEB" w14:textId="77777777" w:rsidR="00381DDB" w:rsidRDefault="003712EA">
      <w:pPr>
        <w:widowControl w:val="0"/>
        <w:tabs>
          <w:tab w:val="left" w:pos="1364"/>
        </w:tabs>
        <w:autoSpaceDE w:val="0"/>
        <w:autoSpaceDN w:val="0"/>
        <w:adjustRightInd w:val="0"/>
        <w:spacing w:before="120" w:after="240"/>
        <w:ind w:left="1361" w:hanging="357"/>
        <w:rPr>
          <w:rFonts w:ascii="Times New Roman CYR" w:hAnsi="Times New Roman CYR" w:cs="Times New Roman CYR"/>
          <w:sz w:val="28"/>
          <w:szCs w:val="28"/>
        </w:rPr>
      </w:pPr>
      <w:r>
        <w:rPr>
          <w:sz w:val="28"/>
          <w:szCs w:val="28"/>
        </w:rPr>
        <w:t>4.</w:t>
      </w:r>
      <w:r>
        <w:rPr>
          <w:sz w:val="28"/>
          <w:szCs w:val="28"/>
        </w:rPr>
        <w:tab/>
      </w:r>
      <w:r>
        <w:rPr>
          <w:rFonts w:ascii="Times New Roman CYR" w:hAnsi="Times New Roman CYR" w:cs="Times New Roman CYR"/>
          <w:sz w:val="28"/>
          <w:szCs w:val="28"/>
        </w:rPr>
        <w:t>Постановление правительства РФ от 20 октября 1994г. №1180 «вопросы Государственного комитета РФ по физической культуре и туризму».</w:t>
      </w:r>
    </w:p>
    <w:p w14:paraId="7B3FCC00" w14:textId="77777777" w:rsidR="00381DDB" w:rsidRDefault="003712EA">
      <w:pPr>
        <w:widowControl w:val="0"/>
        <w:tabs>
          <w:tab w:val="left" w:pos="1364"/>
        </w:tabs>
        <w:autoSpaceDE w:val="0"/>
        <w:autoSpaceDN w:val="0"/>
        <w:adjustRightInd w:val="0"/>
        <w:spacing w:before="120" w:after="240"/>
        <w:ind w:left="1361" w:hanging="357"/>
        <w:rPr>
          <w:rFonts w:ascii="Times New Roman CYR" w:hAnsi="Times New Roman CYR" w:cs="Times New Roman CYR"/>
          <w:sz w:val="28"/>
          <w:szCs w:val="28"/>
        </w:rPr>
      </w:pPr>
      <w:r>
        <w:rPr>
          <w:sz w:val="28"/>
          <w:szCs w:val="28"/>
        </w:rPr>
        <w:t>5.</w:t>
      </w:r>
      <w:r>
        <w:rPr>
          <w:sz w:val="28"/>
          <w:szCs w:val="28"/>
        </w:rPr>
        <w:tab/>
      </w:r>
      <w:r>
        <w:rPr>
          <w:rFonts w:ascii="Times New Roman CYR" w:hAnsi="Times New Roman CYR" w:cs="Times New Roman CYR"/>
          <w:sz w:val="28"/>
          <w:szCs w:val="28"/>
        </w:rPr>
        <w:t>Федеральный закон от 23 февраля 1995г. №26-ФЗ «О природных и лечебных ресурсах, лечебно-оздоровительных местностях и курортах».</w:t>
      </w:r>
    </w:p>
    <w:p w14:paraId="598210F6" w14:textId="77777777" w:rsidR="00381DDB" w:rsidRDefault="003712EA">
      <w:pPr>
        <w:widowControl w:val="0"/>
        <w:tabs>
          <w:tab w:val="left" w:pos="1364"/>
        </w:tabs>
        <w:autoSpaceDE w:val="0"/>
        <w:autoSpaceDN w:val="0"/>
        <w:adjustRightInd w:val="0"/>
        <w:spacing w:before="120" w:after="240"/>
        <w:ind w:left="1361" w:hanging="357"/>
        <w:rPr>
          <w:rFonts w:ascii="Times New Roman CYR" w:hAnsi="Times New Roman CYR" w:cs="Times New Roman CYR"/>
          <w:sz w:val="28"/>
          <w:szCs w:val="28"/>
        </w:rPr>
      </w:pPr>
      <w:r>
        <w:rPr>
          <w:sz w:val="28"/>
          <w:szCs w:val="28"/>
        </w:rPr>
        <w:t>6.</w:t>
      </w:r>
      <w:r>
        <w:rPr>
          <w:sz w:val="28"/>
          <w:szCs w:val="28"/>
        </w:rPr>
        <w:tab/>
      </w:r>
      <w:r>
        <w:rPr>
          <w:rFonts w:ascii="Times New Roman CYR" w:hAnsi="Times New Roman CYR" w:cs="Times New Roman CYR"/>
          <w:sz w:val="28"/>
          <w:szCs w:val="28"/>
        </w:rPr>
        <w:t>Постановление правительства РФ от 2 февраля 1996г. №101 «О федеральной целевой программе «Развитие курортов федерального значения»».</w:t>
      </w:r>
    </w:p>
    <w:p w14:paraId="6DD19C09" w14:textId="77777777" w:rsidR="00381DDB" w:rsidRDefault="00381DDB">
      <w:pPr>
        <w:widowControl w:val="0"/>
        <w:autoSpaceDE w:val="0"/>
        <w:autoSpaceDN w:val="0"/>
        <w:adjustRightInd w:val="0"/>
      </w:pPr>
    </w:p>
    <w:p w14:paraId="1D5BE9FA" w14:textId="77777777" w:rsidR="00381DDB" w:rsidRDefault="00381DDB">
      <w:pPr>
        <w:widowControl w:val="0"/>
        <w:autoSpaceDE w:val="0"/>
        <w:autoSpaceDN w:val="0"/>
        <w:adjustRightInd w:val="0"/>
      </w:pPr>
    </w:p>
    <w:p w14:paraId="6A2BD417" w14:textId="77777777" w:rsidR="00381DDB" w:rsidRDefault="00381DDB">
      <w:pPr>
        <w:widowControl w:val="0"/>
        <w:autoSpaceDE w:val="0"/>
        <w:autoSpaceDN w:val="0"/>
        <w:adjustRightInd w:val="0"/>
      </w:pPr>
    </w:p>
    <w:p w14:paraId="2E746001" w14:textId="77777777" w:rsidR="00381DDB" w:rsidRDefault="00381DDB">
      <w:pPr>
        <w:widowControl w:val="0"/>
        <w:autoSpaceDE w:val="0"/>
        <w:autoSpaceDN w:val="0"/>
        <w:adjustRightInd w:val="0"/>
      </w:pPr>
    </w:p>
    <w:p w14:paraId="4193E48C" w14:textId="77777777" w:rsidR="00381DDB" w:rsidRDefault="00381DDB">
      <w:pPr>
        <w:widowControl w:val="0"/>
        <w:autoSpaceDE w:val="0"/>
        <w:autoSpaceDN w:val="0"/>
        <w:adjustRightInd w:val="0"/>
      </w:pPr>
    </w:p>
    <w:p w14:paraId="61B3B50F" w14:textId="77777777" w:rsidR="00381DDB" w:rsidRDefault="00381DDB">
      <w:pPr>
        <w:widowControl w:val="0"/>
        <w:autoSpaceDE w:val="0"/>
        <w:autoSpaceDN w:val="0"/>
        <w:adjustRightInd w:val="0"/>
      </w:pPr>
    </w:p>
    <w:p w14:paraId="4635F75C" w14:textId="77777777" w:rsidR="00381DDB" w:rsidRDefault="00381DDB">
      <w:pPr>
        <w:widowControl w:val="0"/>
        <w:autoSpaceDE w:val="0"/>
        <w:autoSpaceDN w:val="0"/>
        <w:adjustRightInd w:val="0"/>
      </w:pPr>
    </w:p>
    <w:p w14:paraId="1F5F6861" w14:textId="77777777" w:rsidR="00381DDB" w:rsidRDefault="00381DDB">
      <w:pPr>
        <w:widowControl w:val="0"/>
        <w:autoSpaceDE w:val="0"/>
        <w:autoSpaceDN w:val="0"/>
        <w:adjustRightInd w:val="0"/>
      </w:pPr>
    </w:p>
    <w:p w14:paraId="2A34108E" w14:textId="77777777" w:rsidR="00381DDB" w:rsidRDefault="00381DDB">
      <w:pPr>
        <w:widowControl w:val="0"/>
        <w:autoSpaceDE w:val="0"/>
        <w:autoSpaceDN w:val="0"/>
        <w:adjustRightInd w:val="0"/>
      </w:pPr>
    </w:p>
    <w:p w14:paraId="2A6BDDB8" w14:textId="77777777" w:rsidR="00381DDB" w:rsidRDefault="00381DDB">
      <w:pPr>
        <w:widowControl w:val="0"/>
        <w:autoSpaceDE w:val="0"/>
        <w:autoSpaceDN w:val="0"/>
        <w:adjustRightInd w:val="0"/>
      </w:pPr>
    </w:p>
    <w:p w14:paraId="0725B649" w14:textId="77777777" w:rsidR="00381DDB" w:rsidRDefault="00381DDB">
      <w:pPr>
        <w:widowControl w:val="0"/>
        <w:autoSpaceDE w:val="0"/>
        <w:autoSpaceDN w:val="0"/>
        <w:adjustRightInd w:val="0"/>
      </w:pPr>
    </w:p>
    <w:p w14:paraId="4CCECB36" w14:textId="77777777" w:rsidR="00381DDB" w:rsidRDefault="00381DDB">
      <w:pPr>
        <w:widowControl w:val="0"/>
        <w:autoSpaceDE w:val="0"/>
        <w:autoSpaceDN w:val="0"/>
        <w:adjustRightInd w:val="0"/>
      </w:pPr>
    </w:p>
    <w:p w14:paraId="3456B567" w14:textId="77777777" w:rsidR="00381DDB" w:rsidRDefault="00381DDB">
      <w:pPr>
        <w:widowControl w:val="0"/>
        <w:autoSpaceDE w:val="0"/>
        <w:autoSpaceDN w:val="0"/>
        <w:adjustRightInd w:val="0"/>
      </w:pPr>
    </w:p>
    <w:p w14:paraId="7D7A01A3" w14:textId="77777777" w:rsidR="00381DDB" w:rsidRDefault="00381DDB">
      <w:pPr>
        <w:widowControl w:val="0"/>
        <w:autoSpaceDE w:val="0"/>
        <w:autoSpaceDN w:val="0"/>
        <w:adjustRightInd w:val="0"/>
      </w:pPr>
    </w:p>
    <w:p w14:paraId="4C9DC685" w14:textId="77777777" w:rsidR="00381DDB" w:rsidRDefault="00381DDB">
      <w:pPr>
        <w:widowControl w:val="0"/>
        <w:autoSpaceDE w:val="0"/>
        <w:autoSpaceDN w:val="0"/>
        <w:adjustRightInd w:val="0"/>
      </w:pPr>
    </w:p>
    <w:p w14:paraId="5BD5C357" w14:textId="77777777" w:rsidR="00381DDB" w:rsidRDefault="00381DDB">
      <w:pPr>
        <w:widowControl w:val="0"/>
        <w:autoSpaceDE w:val="0"/>
        <w:autoSpaceDN w:val="0"/>
        <w:adjustRightInd w:val="0"/>
      </w:pPr>
    </w:p>
    <w:p w14:paraId="32B3D771" w14:textId="77777777" w:rsidR="00381DDB" w:rsidRDefault="00381DDB">
      <w:pPr>
        <w:widowControl w:val="0"/>
        <w:autoSpaceDE w:val="0"/>
        <w:autoSpaceDN w:val="0"/>
        <w:adjustRightInd w:val="0"/>
      </w:pPr>
    </w:p>
    <w:p w14:paraId="385CE70A" w14:textId="77777777" w:rsidR="00381DDB" w:rsidRDefault="00381DDB">
      <w:pPr>
        <w:widowControl w:val="0"/>
        <w:autoSpaceDE w:val="0"/>
        <w:autoSpaceDN w:val="0"/>
        <w:adjustRightInd w:val="0"/>
      </w:pPr>
    </w:p>
    <w:p w14:paraId="5F182E11" w14:textId="77777777" w:rsidR="00381DDB" w:rsidRDefault="00381DDB">
      <w:pPr>
        <w:widowControl w:val="0"/>
        <w:autoSpaceDE w:val="0"/>
        <w:autoSpaceDN w:val="0"/>
        <w:adjustRightInd w:val="0"/>
      </w:pPr>
    </w:p>
    <w:p w14:paraId="3DAC2E4C" w14:textId="77777777" w:rsidR="00381DDB" w:rsidRDefault="00381DDB">
      <w:pPr>
        <w:widowControl w:val="0"/>
        <w:autoSpaceDE w:val="0"/>
        <w:autoSpaceDN w:val="0"/>
        <w:adjustRightInd w:val="0"/>
      </w:pPr>
    </w:p>
    <w:p w14:paraId="1178F793" w14:textId="77777777" w:rsidR="00381DDB" w:rsidRDefault="003712EA">
      <w:pPr>
        <w:widowControl w:val="0"/>
        <w:tabs>
          <w:tab w:val="left" w:pos="1306"/>
        </w:tabs>
        <w:autoSpaceDE w:val="0"/>
        <w:autoSpaceDN w:val="0"/>
        <w:adjustRightInd w:val="0"/>
        <w:jc w:val="both"/>
        <w:rPr>
          <w:rFonts w:ascii="Times New Roman CYR" w:hAnsi="Times New Roman CYR" w:cs="Times New Roman CYR"/>
          <w:b/>
          <w:bCs/>
          <w:sz w:val="30"/>
          <w:szCs w:val="30"/>
        </w:rPr>
      </w:pPr>
      <w:r>
        <w:rPr>
          <w:rFonts w:ascii="Times New Roman CYR" w:hAnsi="Times New Roman CYR" w:cs="Times New Roman CYR"/>
          <w:b/>
          <w:bCs/>
          <w:sz w:val="30"/>
          <w:szCs w:val="30"/>
        </w:rPr>
        <w:lastRenderedPageBreak/>
        <w:t>Приложение.</w:t>
      </w:r>
    </w:p>
    <w:tbl>
      <w:tblPr>
        <w:tblW w:w="0" w:type="auto"/>
        <w:tblInd w:w="-38" w:type="dxa"/>
        <w:tblLayout w:type="fixed"/>
        <w:tblCellMar>
          <w:left w:w="0" w:type="dxa"/>
          <w:right w:w="0" w:type="dxa"/>
        </w:tblCellMar>
        <w:tblLook w:val="0000" w:firstRow="0" w:lastRow="0" w:firstColumn="0" w:lastColumn="0" w:noHBand="0" w:noVBand="0"/>
      </w:tblPr>
      <w:tblGrid>
        <w:gridCol w:w="1283"/>
        <w:gridCol w:w="1980"/>
        <w:gridCol w:w="1620"/>
        <w:gridCol w:w="1440"/>
        <w:gridCol w:w="1768"/>
        <w:gridCol w:w="1652"/>
        <w:gridCol w:w="1823"/>
        <w:gridCol w:w="2160"/>
        <w:gridCol w:w="1501"/>
      </w:tblGrid>
      <w:tr w:rsidR="00381DDB" w14:paraId="312A8441" w14:textId="77777777">
        <w:tc>
          <w:tcPr>
            <w:tcW w:w="1283" w:type="dxa"/>
            <w:tcBorders>
              <w:top w:val="single" w:sz="12" w:space="0" w:color="auto"/>
              <w:left w:val="single" w:sz="12" w:space="0" w:color="auto"/>
              <w:bottom w:val="single" w:sz="12" w:space="0" w:color="auto"/>
              <w:right w:val="single" w:sz="12" w:space="0" w:color="auto"/>
            </w:tcBorders>
          </w:tcPr>
          <w:p w14:paraId="68BE6D56" w14:textId="77777777" w:rsidR="00381DDB" w:rsidRDefault="003712EA">
            <w:pPr>
              <w:widowControl w:val="0"/>
              <w:autoSpaceDE w:val="0"/>
              <w:autoSpaceDN w:val="0"/>
              <w:adjustRightInd w:val="0"/>
              <w:rPr>
                <w:rFonts w:ascii="Arial" w:hAnsi="Arial" w:cs="Arial"/>
                <w:b/>
                <w:bCs/>
                <w:sz w:val="22"/>
                <w:szCs w:val="22"/>
              </w:rPr>
            </w:pPr>
            <w:r>
              <w:rPr>
                <w:rFonts w:ascii="Arial CYR" w:hAnsi="Arial CYR" w:cs="Arial CYR"/>
                <w:b/>
                <w:bCs/>
                <w:sz w:val="22"/>
                <w:szCs w:val="22"/>
              </w:rPr>
              <w:t xml:space="preserve">По общему газовому составу </w:t>
            </w:r>
          </w:p>
        </w:tc>
        <w:tc>
          <w:tcPr>
            <w:tcW w:w="1980" w:type="dxa"/>
            <w:tcBorders>
              <w:top w:val="single" w:sz="12" w:space="0" w:color="auto"/>
              <w:left w:val="single" w:sz="12" w:space="0" w:color="auto"/>
              <w:bottom w:val="single" w:sz="12" w:space="0" w:color="auto"/>
              <w:right w:val="single" w:sz="12" w:space="0" w:color="auto"/>
            </w:tcBorders>
          </w:tcPr>
          <w:p w14:paraId="6C755927" w14:textId="77777777" w:rsidR="00381DDB" w:rsidRDefault="003712EA">
            <w:pPr>
              <w:widowControl w:val="0"/>
              <w:autoSpaceDE w:val="0"/>
              <w:autoSpaceDN w:val="0"/>
              <w:adjustRightInd w:val="0"/>
              <w:rPr>
                <w:rFonts w:ascii="Arial" w:hAnsi="Arial" w:cs="Arial"/>
                <w:b/>
                <w:bCs/>
                <w:sz w:val="22"/>
                <w:szCs w:val="22"/>
              </w:rPr>
            </w:pPr>
            <w:r>
              <w:rPr>
                <w:rFonts w:ascii="Arial CYR" w:hAnsi="Arial CYR" w:cs="Arial CYR"/>
                <w:b/>
                <w:bCs/>
                <w:sz w:val="22"/>
                <w:szCs w:val="22"/>
              </w:rPr>
              <w:t xml:space="preserve">По степени газонасыщен-ности </w:t>
            </w:r>
          </w:p>
        </w:tc>
        <w:tc>
          <w:tcPr>
            <w:tcW w:w="3060" w:type="dxa"/>
            <w:gridSpan w:val="2"/>
            <w:tcBorders>
              <w:top w:val="single" w:sz="12" w:space="0" w:color="auto"/>
              <w:left w:val="single" w:sz="12" w:space="0" w:color="auto"/>
              <w:bottom w:val="single" w:sz="12" w:space="0" w:color="auto"/>
              <w:right w:val="single" w:sz="12" w:space="0" w:color="auto"/>
            </w:tcBorders>
          </w:tcPr>
          <w:p w14:paraId="6CEA0FFF" w14:textId="77777777" w:rsidR="00381DDB" w:rsidRDefault="003712EA">
            <w:pPr>
              <w:widowControl w:val="0"/>
              <w:autoSpaceDE w:val="0"/>
              <w:autoSpaceDN w:val="0"/>
              <w:adjustRightInd w:val="0"/>
              <w:rPr>
                <w:rFonts w:ascii="Arial" w:hAnsi="Arial" w:cs="Arial"/>
                <w:b/>
                <w:bCs/>
                <w:sz w:val="22"/>
                <w:szCs w:val="22"/>
              </w:rPr>
            </w:pPr>
            <w:r>
              <w:rPr>
                <w:rFonts w:ascii="Arial CYR" w:hAnsi="Arial CYR" w:cs="Arial CYR"/>
                <w:b/>
                <w:bCs/>
                <w:sz w:val="22"/>
                <w:szCs w:val="22"/>
              </w:rPr>
              <w:t xml:space="preserve">По ионному составу </w:t>
            </w:r>
          </w:p>
        </w:tc>
        <w:tc>
          <w:tcPr>
            <w:tcW w:w="1768" w:type="dxa"/>
            <w:tcBorders>
              <w:top w:val="single" w:sz="12" w:space="0" w:color="auto"/>
              <w:left w:val="single" w:sz="12" w:space="0" w:color="auto"/>
              <w:bottom w:val="single" w:sz="12" w:space="0" w:color="auto"/>
              <w:right w:val="single" w:sz="12" w:space="0" w:color="auto"/>
            </w:tcBorders>
          </w:tcPr>
          <w:p w14:paraId="6A7499F4" w14:textId="77777777" w:rsidR="00381DDB" w:rsidRDefault="003712EA">
            <w:pPr>
              <w:widowControl w:val="0"/>
              <w:autoSpaceDE w:val="0"/>
              <w:autoSpaceDN w:val="0"/>
              <w:adjustRightInd w:val="0"/>
              <w:rPr>
                <w:rFonts w:ascii="Arial" w:hAnsi="Arial" w:cs="Arial"/>
                <w:b/>
                <w:bCs/>
                <w:sz w:val="22"/>
                <w:szCs w:val="22"/>
              </w:rPr>
            </w:pPr>
            <w:r>
              <w:rPr>
                <w:rFonts w:ascii="Arial CYR" w:hAnsi="Arial CYR" w:cs="Arial CYR"/>
                <w:b/>
                <w:bCs/>
                <w:sz w:val="22"/>
                <w:szCs w:val="22"/>
              </w:rPr>
              <w:t xml:space="preserve">По общей минерализации </w:t>
            </w:r>
          </w:p>
        </w:tc>
        <w:tc>
          <w:tcPr>
            <w:tcW w:w="1652" w:type="dxa"/>
            <w:tcBorders>
              <w:top w:val="single" w:sz="12" w:space="0" w:color="auto"/>
              <w:left w:val="single" w:sz="12" w:space="0" w:color="auto"/>
              <w:bottom w:val="single" w:sz="12" w:space="0" w:color="auto"/>
              <w:right w:val="single" w:sz="12" w:space="0" w:color="auto"/>
            </w:tcBorders>
          </w:tcPr>
          <w:p w14:paraId="16430A46" w14:textId="77777777" w:rsidR="00381DDB" w:rsidRDefault="003712EA">
            <w:pPr>
              <w:widowControl w:val="0"/>
              <w:autoSpaceDE w:val="0"/>
              <w:autoSpaceDN w:val="0"/>
              <w:adjustRightInd w:val="0"/>
              <w:rPr>
                <w:rFonts w:ascii="Arial" w:hAnsi="Arial" w:cs="Arial"/>
                <w:b/>
                <w:bCs/>
                <w:sz w:val="22"/>
                <w:szCs w:val="22"/>
              </w:rPr>
            </w:pPr>
            <w:r>
              <w:rPr>
                <w:rFonts w:ascii="Arial CYR" w:hAnsi="Arial CYR" w:cs="Arial CYR"/>
                <w:b/>
                <w:bCs/>
                <w:sz w:val="22"/>
                <w:szCs w:val="22"/>
              </w:rPr>
              <w:t xml:space="preserve">По содержанию биологически активных компонентов </w:t>
            </w:r>
          </w:p>
        </w:tc>
        <w:tc>
          <w:tcPr>
            <w:tcW w:w="1823" w:type="dxa"/>
            <w:tcBorders>
              <w:top w:val="single" w:sz="12" w:space="0" w:color="auto"/>
              <w:left w:val="single" w:sz="12" w:space="0" w:color="auto"/>
              <w:bottom w:val="single" w:sz="12" w:space="0" w:color="auto"/>
              <w:right w:val="single" w:sz="12" w:space="0" w:color="auto"/>
            </w:tcBorders>
          </w:tcPr>
          <w:p w14:paraId="24EDD0BC" w14:textId="77777777" w:rsidR="00381DDB" w:rsidRDefault="003712EA">
            <w:pPr>
              <w:widowControl w:val="0"/>
              <w:autoSpaceDE w:val="0"/>
              <w:autoSpaceDN w:val="0"/>
              <w:adjustRightInd w:val="0"/>
              <w:rPr>
                <w:rFonts w:ascii="Arial" w:hAnsi="Arial" w:cs="Arial"/>
                <w:b/>
                <w:bCs/>
                <w:sz w:val="22"/>
                <w:szCs w:val="22"/>
              </w:rPr>
            </w:pPr>
            <w:r>
              <w:rPr>
                <w:rFonts w:ascii="Arial CYR" w:hAnsi="Arial CYR" w:cs="Arial CYR"/>
                <w:b/>
                <w:bCs/>
                <w:sz w:val="22"/>
                <w:szCs w:val="22"/>
              </w:rPr>
              <w:t xml:space="preserve">По температуре </w:t>
            </w:r>
          </w:p>
        </w:tc>
        <w:tc>
          <w:tcPr>
            <w:tcW w:w="2160" w:type="dxa"/>
            <w:tcBorders>
              <w:top w:val="single" w:sz="12" w:space="0" w:color="auto"/>
              <w:left w:val="single" w:sz="12" w:space="0" w:color="auto"/>
              <w:bottom w:val="single" w:sz="12" w:space="0" w:color="auto"/>
              <w:right w:val="single" w:sz="12" w:space="0" w:color="auto"/>
            </w:tcBorders>
          </w:tcPr>
          <w:p w14:paraId="526D83B4" w14:textId="77777777" w:rsidR="00381DDB" w:rsidRDefault="003712EA">
            <w:pPr>
              <w:widowControl w:val="0"/>
              <w:autoSpaceDE w:val="0"/>
              <w:autoSpaceDN w:val="0"/>
              <w:adjustRightInd w:val="0"/>
              <w:rPr>
                <w:rFonts w:ascii="Arial" w:hAnsi="Arial" w:cs="Arial"/>
                <w:b/>
                <w:bCs/>
                <w:sz w:val="22"/>
                <w:szCs w:val="22"/>
              </w:rPr>
            </w:pPr>
            <w:r>
              <w:rPr>
                <w:rFonts w:ascii="Arial CYR" w:hAnsi="Arial CYR" w:cs="Arial CYR"/>
                <w:b/>
                <w:bCs/>
                <w:sz w:val="22"/>
                <w:szCs w:val="22"/>
              </w:rPr>
              <w:t xml:space="preserve">По радиоактивности (по содержанию </w:t>
            </w:r>
            <w:r>
              <w:rPr>
                <w:rFonts w:ascii="Arial" w:hAnsi="Arial" w:cs="Arial"/>
                <w:b/>
                <w:bCs/>
                <w:sz w:val="22"/>
                <w:szCs w:val="22"/>
                <w:lang w:val="en-US"/>
              </w:rPr>
              <w:t>Rn</w:t>
            </w:r>
            <w:r>
              <w:rPr>
                <w:rFonts w:ascii="Arial" w:hAnsi="Arial" w:cs="Arial"/>
                <w:b/>
                <w:bCs/>
                <w:sz w:val="22"/>
                <w:szCs w:val="22"/>
              </w:rPr>
              <w:t xml:space="preserve">) </w:t>
            </w:r>
          </w:p>
        </w:tc>
        <w:tc>
          <w:tcPr>
            <w:tcW w:w="1501" w:type="dxa"/>
            <w:tcBorders>
              <w:top w:val="single" w:sz="12" w:space="0" w:color="auto"/>
              <w:left w:val="single" w:sz="12" w:space="0" w:color="auto"/>
              <w:bottom w:val="single" w:sz="12" w:space="0" w:color="auto"/>
              <w:right w:val="single" w:sz="12" w:space="0" w:color="auto"/>
            </w:tcBorders>
          </w:tcPr>
          <w:p w14:paraId="4E626E33" w14:textId="77777777" w:rsidR="00381DDB" w:rsidRDefault="003712EA">
            <w:pPr>
              <w:widowControl w:val="0"/>
              <w:autoSpaceDE w:val="0"/>
              <w:autoSpaceDN w:val="0"/>
              <w:adjustRightInd w:val="0"/>
              <w:rPr>
                <w:rFonts w:ascii="Arial" w:hAnsi="Arial" w:cs="Arial"/>
                <w:b/>
                <w:bCs/>
                <w:sz w:val="22"/>
                <w:szCs w:val="22"/>
              </w:rPr>
            </w:pPr>
            <w:r>
              <w:rPr>
                <w:rFonts w:ascii="Arial CYR" w:hAnsi="Arial CYR" w:cs="Arial CYR"/>
                <w:b/>
                <w:bCs/>
                <w:sz w:val="22"/>
                <w:szCs w:val="22"/>
              </w:rPr>
              <w:t xml:space="preserve">По кислотности-щелочности </w:t>
            </w:r>
          </w:p>
        </w:tc>
      </w:tr>
      <w:tr w:rsidR="00381DDB" w14:paraId="39C6B541" w14:textId="77777777">
        <w:tc>
          <w:tcPr>
            <w:tcW w:w="1283" w:type="dxa"/>
            <w:tcBorders>
              <w:top w:val="single" w:sz="12" w:space="0" w:color="auto"/>
              <w:left w:val="single" w:sz="12" w:space="0" w:color="auto"/>
              <w:bottom w:val="single" w:sz="12" w:space="0" w:color="auto"/>
              <w:right w:val="single" w:sz="12" w:space="0" w:color="auto"/>
            </w:tcBorders>
          </w:tcPr>
          <w:p w14:paraId="47207067" w14:textId="77777777" w:rsidR="00381DDB" w:rsidRDefault="00381DDB">
            <w:pPr>
              <w:widowControl w:val="0"/>
              <w:autoSpaceDE w:val="0"/>
              <w:autoSpaceDN w:val="0"/>
              <w:adjustRightInd w:val="0"/>
              <w:rPr>
                <w:rFonts w:ascii="Arial" w:hAnsi="Arial" w:cs="Arial"/>
                <w:sz w:val="20"/>
                <w:szCs w:val="20"/>
              </w:rPr>
            </w:pPr>
          </w:p>
        </w:tc>
        <w:tc>
          <w:tcPr>
            <w:tcW w:w="1980" w:type="dxa"/>
            <w:tcBorders>
              <w:top w:val="single" w:sz="12" w:space="0" w:color="auto"/>
              <w:left w:val="single" w:sz="12" w:space="0" w:color="auto"/>
              <w:bottom w:val="single" w:sz="12" w:space="0" w:color="auto"/>
              <w:right w:val="single" w:sz="12" w:space="0" w:color="auto"/>
            </w:tcBorders>
          </w:tcPr>
          <w:p w14:paraId="42850180" w14:textId="77777777" w:rsidR="00381DDB" w:rsidRDefault="00381DDB">
            <w:pPr>
              <w:widowControl w:val="0"/>
              <w:autoSpaceDE w:val="0"/>
              <w:autoSpaceDN w:val="0"/>
              <w:adjustRightInd w:val="0"/>
              <w:rPr>
                <w:rFonts w:ascii="Arial" w:hAnsi="Arial" w:cs="Arial"/>
                <w:sz w:val="20"/>
                <w:szCs w:val="20"/>
              </w:rPr>
            </w:pPr>
          </w:p>
        </w:tc>
        <w:tc>
          <w:tcPr>
            <w:tcW w:w="3060" w:type="dxa"/>
            <w:gridSpan w:val="2"/>
            <w:tcBorders>
              <w:top w:val="single" w:sz="12" w:space="0" w:color="auto"/>
              <w:left w:val="single" w:sz="12" w:space="0" w:color="auto"/>
              <w:bottom w:val="single" w:sz="12" w:space="0" w:color="auto"/>
              <w:right w:val="single" w:sz="12" w:space="0" w:color="auto"/>
            </w:tcBorders>
          </w:tcPr>
          <w:p w14:paraId="03975C6D" w14:textId="77777777" w:rsidR="00381DDB" w:rsidRDefault="00381DDB">
            <w:pPr>
              <w:widowControl w:val="0"/>
              <w:autoSpaceDE w:val="0"/>
              <w:autoSpaceDN w:val="0"/>
              <w:adjustRightInd w:val="0"/>
              <w:rPr>
                <w:rFonts w:ascii="Arial" w:hAnsi="Arial" w:cs="Arial"/>
                <w:sz w:val="20"/>
                <w:szCs w:val="20"/>
              </w:rPr>
            </w:pPr>
          </w:p>
        </w:tc>
        <w:tc>
          <w:tcPr>
            <w:tcW w:w="1768" w:type="dxa"/>
            <w:tcBorders>
              <w:top w:val="single" w:sz="12" w:space="0" w:color="auto"/>
              <w:left w:val="single" w:sz="12" w:space="0" w:color="auto"/>
              <w:bottom w:val="single" w:sz="12" w:space="0" w:color="auto"/>
              <w:right w:val="single" w:sz="12" w:space="0" w:color="auto"/>
            </w:tcBorders>
          </w:tcPr>
          <w:p w14:paraId="60C17BAA" w14:textId="77777777" w:rsidR="00381DDB" w:rsidRDefault="00381DDB">
            <w:pPr>
              <w:widowControl w:val="0"/>
              <w:autoSpaceDE w:val="0"/>
              <w:autoSpaceDN w:val="0"/>
              <w:adjustRightInd w:val="0"/>
              <w:rPr>
                <w:rFonts w:ascii="Arial" w:hAnsi="Arial" w:cs="Arial"/>
                <w:sz w:val="20"/>
                <w:szCs w:val="20"/>
              </w:rPr>
            </w:pPr>
          </w:p>
        </w:tc>
        <w:tc>
          <w:tcPr>
            <w:tcW w:w="1652" w:type="dxa"/>
            <w:tcBorders>
              <w:top w:val="single" w:sz="12" w:space="0" w:color="auto"/>
              <w:left w:val="single" w:sz="12" w:space="0" w:color="auto"/>
              <w:bottom w:val="single" w:sz="12" w:space="0" w:color="auto"/>
              <w:right w:val="single" w:sz="12" w:space="0" w:color="auto"/>
            </w:tcBorders>
          </w:tcPr>
          <w:p w14:paraId="79B22031" w14:textId="77777777" w:rsidR="00381DDB" w:rsidRDefault="00381DDB">
            <w:pPr>
              <w:widowControl w:val="0"/>
              <w:autoSpaceDE w:val="0"/>
              <w:autoSpaceDN w:val="0"/>
              <w:adjustRightInd w:val="0"/>
              <w:rPr>
                <w:rFonts w:ascii="Arial" w:hAnsi="Arial" w:cs="Arial"/>
                <w:sz w:val="20"/>
                <w:szCs w:val="20"/>
              </w:rPr>
            </w:pPr>
          </w:p>
        </w:tc>
        <w:tc>
          <w:tcPr>
            <w:tcW w:w="1823" w:type="dxa"/>
            <w:tcBorders>
              <w:top w:val="single" w:sz="12" w:space="0" w:color="auto"/>
              <w:left w:val="single" w:sz="12" w:space="0" w:color="auto"/>
              <w:bottom w:val="single" w:sz="12" w:space="0" w:color="auto"/>
              <w:right w:val="single" w:sz="12" w:space="0" w:color="auto"/>
            </w:tcBorders>
          </w:tcPr>
          <w:p w14:paraId="4189E62C" w14:textId="77777777" w:rsidR="00381DDB" w:rsidRDefault="00381DDB">
            <w:pPr>
              <w:widowControl w:val="0"/>
              <w:autoSpaceDE w:val="0"/>
              <w:autoSpaceDN w:val="0"/>
              <w:adjustRightInd w:val="0"/>
              <w:rPr>
                <w:rFonts w:ascii="Arial" w:hAnsi="Arial" w:cs="Arial"/>
                <w:sz w:val="20"/>
                <w:szCs w:val="20"/>
              </w:rPr>
            </w:pPr>
          </w:p>
        </w:tc>
        <w:tc>
          <w:tcPr>
            <w:tcW w:w="2160" w:type="dxa"/>
            <w:tcBorders>
              <w:top w:val="single" w:sz="12" w:space="0" w:color="auto"/>
              <w:left w:val="single" w:sz="12" w:space="0" w:color="auto"/>
              <w:bottom w:val="single" w:sz="12" w:space="0" w:color="auto"/>
              <w:right w:val="single" w:sz="12" w:space="0" w:color="auto"/>
            </w:tcBorders>
          </w:tcPr>
          <w:p w14:paraId="624FEEE3" w14:textId="77777777" w:rsidR="00381DDB" w:rsidRDefault="00381DDB">
            <w:pPr>
              <w:widowControl w:val="0"/>
              <w:autoSpaceDE w:val="0"/>
              <w:autoSpaceDN w:val="0"/>
              <w:adjustRightInd w:val="0"/>
              <w:rPr>
                <w:rFonts w:ascii="Arial" w:hAnsi="Arial" w:cs="Arial"/>
                <w:sz w:val="20"/>
                <w:szCs w:val="20"/>
              </w:rPr>
            </w:pPr>
          </w:p>
        </w:tc>
        <w:tc>
          <w:tcPr>
            <w:tcW w:w="1501" w:type="dxa"/>
            <w:tcBorders>
              <w:top w:val="single" w:sz="12" w:space="0" w:color="auto"/>
              <w:left w:val="single" w:sz="12" w:space="0" w:color="auto"/>
              <w:bottom w:val="single" w:sz="12" w:space="0" w:color="auto"/>
              <w:right w:val="single" w:sz="12" w:space="0" w:color="auto"/>
            </w:tcBorders>
          </w:tcPr>
          <w:p w14:paraId="2F8C708E" w14:textId="77777777" w:rsidR="00381DDB" w:rsidRDefault="00381DDB">
            <w:pPr>
              <w:widowControl w:val="0"/>
              <w:autoSpaceDE w:val="0"/>
              <w:autoSpaceDN w:val="0"/>
              <w:adjustRightInd w:val="0"/>
              <w:rPr>
                <w:rFonts w:ascii="Arial" w:hAnsi="Arial" w:cs="Arial"/>
                <w:sz w:val="20"/>
                <w:szCs w:val="20"/>
              </w:rPr>
            </w:pPr>
          </w:p>
        </w:tc>
      </w:tr>
      <w:tr w:rsidR="00381DDB" w14:paraId="7846ED3B" w14:textId="77777777">
        <w:tc>
          <w:tcPr>
            <w:tcW w:w="1283" w:type="dxa"/>
            <w:tcBorders>
              <w:top w:val="single" w:sz="12" w:space="0" w:color="auto"/>
              <w:left w:val="single" w:sz="12" w:space="0" w:color="auto"/>
              <w:bottom w:val="single" w:sz="12" w:space="0" w:color="auto"/>
              <w:right w:val="single" w:sz="12" w:space="0" w:color="auto"/>
            </w:tcBorders>
          </w:tcPr>
          <w:p w14:paraId="172444E6"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1.</w:t>
            </w:r>
            <w:r>
              <w:rPr>
                <w:rFonts w:ascii="Arial CYR" w:hAnsi="Arial CYR" w:cs="Arial CYR"/>
                <w:sz w:val="20"/>
                <w:szCs w:val="20"/>
              </w:rPr>
              <w:t xml:space="preserve">Углекис-лые  </w:t>
            </w:r>
          </w:p>
        </w:tc>
        <w:tc>
          <w:tcPr>
            <w:tcW w:w="1980" w:type="dxa"/>
            <w:tcBorders>
              <w:top w:val="single" w:sz="12" w:space="0" w:color="auto"/>
              <w:left w:val="single" w:sz="12" w:space="0" w:color="auto"/>
              <w:bottom w:val="single" w:sz="12" w:space="0" w:color="auto"/>
              <w:right w:val="single" w:sz="12" w:space="0" w:color="auto"/>
            </w:tcBorders>
          </w:tcPr>
          <w:p w14:paraId="6573ED91"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1.</w:t>
            </w:r>
            <w:r>
              <w:rPr>
                <w:rFonts w:ascii="Arial CYR" w:hAnsi="Arial CYR" w:cs="Arial CYR"/>
                <w:sz w:val="20"/>
                <w:szCs w:val="20"/>
              </w:rPr>
              <w:t xml:space="preserve">Слабогазонасы- щенные (&lt; 0,1 л/л) </w:t>
            </w:r>
          </w:p>
        </w:tc>
        <w:tc>
          <w:tcPr>
            <w:tcW w:w="1620" w:type="dxa"/>
            <w:tcBorders>
              <w:top w:val="single" w:sz="12" w:space="0" w:color="auto"/>
              <w:left w:val="single" w:sz="12" w:space="0" w:color="auto"/>
              <w:bottom w:val="single" w:sz="12" w:space="0" w:color="auto"/>
              <w:right w:val="single" w:sz="12" w:space="0" w:color="auto"/>
            </w:tcBorders>
          </w:tcPr>
          <w:p w14:paraId="2B6DAE7E"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1.</w:t>
            </w:r>
            <w:r>
              <w:rPr>
                <w:rFonts w:ascii="Arial CYR" w:hAnsi="Arial CYR" w:cs="Arial CYR"/>
                <w:sz w:val="20"/>
                <w:szCs w:val="20"/>
              </w:rPr>
              <w:t xml:space="preserve">Хлоридные </w:t>
            </w:r>
          </w:p>
        </w:tc>
        <w:tc>
          <w:tcPr>
            <w:tcW w:w="1440" w:type="dxa"/>
            <w:tcBorders>
              <w:top w:val="single" w:sz="12" w:space="0" w:color="auto"/>
              <w:left w:val="single" w:sz="12" w:space="0" w:color="auto"/>
              <w:bottom w:val="single" w:sz="12" w:space="0" w:color="auto"/>
              <w:right w:val="single" w:sz="12" w:space="0" w:color="auto"/>
            </w:tcBorders>
          </w:tcPr>
          <w:p w14:paraId="29CBD0F2"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1.</w:t>
            </w:r>
            <w:r>
              <w:rPr>
                <w:rFonts w:ascii="Arial CYR" w:hAnsi="Arial CYR" w:cs="Arial CYR"/>
                <w:sz w:val="20"/>
                <w:szCs w:val="20"/>
              </w:rPr>
              <w:t xml:space="preserve">Натриевые </w:t>
            </w:r>
          </w:p>
        </w:tc>
        <w:tc>
          <w:tcPr>
            <w:tcW w:w="1768" w:type="dxa"/>
            <w:tcBorders>
              <w:top w:val="single" w:sz="12" w:space="0" w:color="auto"/>
              <w:left w:val="single" w:sz="12" w:space="0" w:color="auto"/>
              <w:bottom w:val="single" w:sz="12" w:space="0" w:color="auto"/>
              <w:right w:val="single" w:sz="12" w:space="0" w:color="auto"/>
            </w:tcBorders>
          </w:tcPr>
          <w:p w14:paraId="0B1B9E19"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1.</w:t>
            </w:r>
            <w:r>
              <w:rPr>
                <w:rFonts w:ascii="Arial CYR" w:hAnsi="Arial CYR" w:cs="Arial CYR"/>
                <w:sz w:val="20"/>
                <w:szCs w:val="20"/>
              </w:rPr>
              <w:t xml:space="preserve">Слабомине-рализованные </w:t>
            </w:r>
            <w:r>
              <w:rPr>
                <w:rFonts w:ascii="Arial" w:hAnsi="Arial" w:cs="Arial"/>
                <w:sz w:val="20"/>
                <w:szCs w:val="20"/>
              </w:rPr>
              <w:t xml:space="preserve"> (</w:t>
            </w:r>
            <w:r>
              <w:rPr>
                <w:rFonts w:ascii="Arial CYR" w:hAnsi="Arial CYR" w:cs="Arial CYR"/>
                <w:sz w:val="20"/>
                <w:szCs w:val="20"/>
              </w:rPr>
              <w:t xml:space="preserve">до 1 г/л) </w:t>
            </w:r>
          </w:p>
        </w:tc>
        <w:tc>
          <w:tcPr>
            <w:tcW w:w="1652" w:type="dxa"/>
            <w:tcBorders>
              <w:top w:val="single" w:sz="12" w:space="0" w:color="auto"/>
              <w:left w:val="single" w:sz="12" w:space="0" w:color="auto"/>
              <w:bottom w:val="single" w:sz="12" w:space="0" w:color="auto"/>
              <w:right w:val="single" w:sz="12" w:space="0" w:color="auto"/>
            </w:tcBorders>
          </w:tcPr>
          <w:p w14:paraId="3D8CD1D1"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1.</w:t>
            </w:r>
            <w:r>
              <w:rPr>
                <w:rFonts w:ascii="Arial CYR" w:hAnsi="Arial CYR" w:cs="Arial CYR"/>
                <w:sz w:val="20"/>
                <w:szCs w:val="20"/>
              </w:rPr>
              <w:t xml:space="preserve">Бромистые  </w:t>
            </w:r>
            <w:r>
              <w:rPr>
                <w:rFonts w:ascii="Arial" w:hAnsi="Arial" w:cs="Arial"/>
                <w:sz w:val="20"/>
                <w:szCs w:val="20"/>
              </w:rPr>
              <w:t>(</w:t>
            </w:r>
            <w:r>
              <w:rPr>
                <w:rFonts w:ascii="Arial" w:hAnsi="Arial" w:cs="Arial"/>
                <w:sz w:val="20"/>
                <w:szCs w:val="20"/>
                <w:lang w:val="en-US"/>
              </w:rPr>
              <w:t>Br</w:t>
            </w:r>
            <w:r>
              <w:rPr>
                <w:rFonts w:ascii="Arial" w:hAnsi="Arial" w:cs="Arial"/>
                <w:sz w:val="20"/>
                <w:szCs w:val="20"/>
              </w:rPr>
              <w:t xml:space="preserve"> &gt; 25 </w:t>
            </w:r>
            <w:r>
              <w:rPr>
                <w:rFonts w:ascii="Arial CYR" w:hAnsi="Arial CYR" w:cs="Arial CYR"/>
                <w:sz w:val="20"/>
                <w:szCs w:val="20"/>
              </w:rPr>
              <w:t xml:space="preserve">мг/л) </w:t>
            </w:r>
          </w:p>
        </w:tc>
        <w:tc>
          <w:tcPr>
            <w:tcW w:w="1823" w:type="dxa"/>
            <w:tcBorders>
              <w:top w:val="single" w:sz="12" w:space="0" w:color="auto"/>
              <w:left w:val="single" w:sz="12" w:space="0" w:color="auto"/>
              <w:bottom w:val="single" w:sz="12" w:space="0" w:color="auto"/>
              <w:right w:val="single" w:sz="12" w:space="0" w:color="auto"/>
            </w:tcBorders>
          </w:tcPr>
          <w:p w14:paraId="5E5A0342"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1.</w:t>
            </w:r>
            <w:r>
              <w:rPr>
                <w:rFonts w:ascii="Arial CYR" w:hAnsi="Arial CYR" w:cs="Arial CYR"/>
                <w:sz w:val="20"/>
                <w:szCs w:val="20"/>
              </w:rPr>
              <w:t>Исключительно холодные (&lt; 0</w:t>
            </w:r>
            <w:r>
              <w:rPr>
                <w:rFonts w:ascii="Symbol" w:hAnsi="Symbol" w:cs="Symbol"/>
                <w:sz w:val="20"/>
                <w:szCs w:val="20"/>
              </w:rPr>
              <w:t>°</w:t>
            </w:r>
            <w:r>
              <w:rPr>
                <w:rFonts w:ascii="Arial" w:hAnsi="Arial" w:cs="Arial"/>
                <w:sz w:val="20"/>
                <w:szCs w:val="20"/>
              </w:rPr>
              <w:t>)</w:t>
            </w:r>
          </w:p>
        </w:tc>
        <w:tc>
          <w:tcPr>
            <w:tcW w:w="2160" w:type="dxa"/>
            <w:tcBorders>
              <w:top w:val="single" w:sz="12" w:space="0" w:color="auto"/>
              <w:left w:val="single" w:sz="12" w:space="0" w:color="auto"/>
              <w:bottom w:val="single" w:sz="12" w:space="0" w:color="auto"/>
              <w:right w:val="single" w:sz="12" w:space="0" w:color="auto"/>
            </w:tcBorders>
          </w:tcPr>
          <w:p w14:paraId="3E3BEDFE" w14:textId="77777777" w:rsidR="00381DDB" w:rsidRDefault="003712EA">
            <w:pPr>
              <w:widowControl w:val="0"/>
              <w:autoSpaceDE w:val="0"/>
              <w:autoSpaceDN w:val="0"/>
              <w:adjustRightInd w:val="0"/>
              <w:rPr>
                <w:rFonts w:ascii="Arial CYR" w:hAnsi="Arial CYR" w:cs="Arial CYR"/>
                <w:sz w:val="20"/>
                <w:szCs w:val="20"/>
              </w:rPr>
            </w:pPr>
            <w:r>
              <w:rPr>
                <w:rFonts w:ascii="Arial" w:hAnsi="Arial" w:cs="Arial"/>
                <w:sz w:val="20"/>
                <w:szCs w:val="20"/>
              </w:rPr>
              <w:t>1.</w:t>
            </w:r>
            <w:r>
              <w:rPr>
                <w:rFonts w:ascii="Arial CYR" w:hAnsi="Arial CYR" w:cs="Arial CYR"/>
                <w:sz w:val="20"/>
                <w:szCs w:val="20"/>
              </w:rPr>
              <w:t>Слаборадиоактив-ные (от 10 до 100 ед. Махе)</w:t>
            </w:r>
          </w:p>
        </w:tc>
        <w:tc>
          <w:tcPr>
            <w:tcW w:w="1501" w:type="dxa"/>
            <w:tcBorders>
              <w:top w:val="single" w:sz="12" w:space="0" w:color="auto"/>
              <w:left w:val="single" w:sz="12" w:space="0" w:color="auto"/>
              <w:bottom w:val="single" w:sz="12" w:space="0" w:color="auto"/>
              <w:right w:val="single" w:sz="12" w:space="0" w:color="auto"/>
            </w:tcBorders>
          </w:tcPr>
          <w:p w14:paraId="1C25FC26"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1.</w:t>
            </w:r>
            <w:r>
              <w:rPr>
                <w:rFonts w:ascii="Arial CYR" w:hAnsi="Arial CYR" w:cs="Arial CYR"/>
                <w:sz w:val="20"/>
                <w:szCs w:val="20"/>
              </w:rPr>
              <w:t xml:space="preserve">Сильнокис-лые  </w:t>
            </w:r>
            <w:r>
              <w:rPr>
                <w:rFonts w:ascii="Arial" w:hAnsi="Arial" w:cs="Arial"/>
                <w:sz w:val="20"/>
                <w:szCs w:val="20"/>
              </w:rPr>
              <w:t>(</w:t>
            </w:r>
            <w:r>
              <w:rPr>
                <w:rFonts w:ascii="Arial" w:hAnsi="Arial" w:cs="Arial"/>
                <w:sz w:val="20"/>
                <w:szCs w:val="20"/>
                <w:lang w:val="en-US"/>
              </w:rPr>
              <w:t>pH</w:t>
            </w:r>
            <w:r>
              <w:rPr>
                <w:rFonts w:ascii="Arial" w:hAnsi="Arial" w:cs="Arial"/>
                <w:sz w:val="20"/>
                <w:szCs w:val="20"/>
              </w:rPr>
              <w:t>=&lt; 3,5)</w:t>
            </w:r>
          </w:p>
        </w:tc>
      </w:tr>
      <w:tr w:rsidR="00381DDB" w14:paraId="7EB1B2E7" w14:textId="77777777">
        <w:tc>
          <w:tcPr>
            <w:tcW w:w="1283" w:type="dxa"/>
            <w:tcBorders>
              <w:top w:val="single" w:sz="12" w:space="0" w:color="auto"/>
              <w:left w:val="single" w:sz="12" w:space="0" w:color="auto"/>
              <w:bottom w:val="single" w:sz="12" w:space="0" w:color="auto"/>
              <w:right w:val="single" w:sz="12" w:space="0" w:color="auto"/>
            </w:tcBorders>
          </w:tcPr>
          <w:p w14:paraId="5407EFD0" w14:textId="77777777" w:rsidR="00381DDB" w:rsidRDefault="00381DDB">
            <w:pPr>
              <w:widowControl w:val="0"/>
              <w:autoSpaceDE w:val="0"/>
              <w:autoSpaceDN w:val="0"/>
              <w:adjustRightInd w:val="0"/>
              <w:rPr>
                <w:rFonts w:ascii="Arial" w:hAnsi="Arial" w:cs="Arial"/>
                <w:sz w:val="20"/>
                <w:szCs w:val="20"/>
              </w:rPr>
            </w:pPr>
          </w:p>
        </w:tc>
        <w:tc>
          <w:tcPr>
            <w:tcW w:w="1980" w:type="dxa"/>
            <w:tcBorders>
              <w:top w:val="single" w:sz="12" w:space="0" w:color="auto"/>
              <w:left w:val="single" w:sz="12" w:space="0" w:color="auto"/>
              <w:bottom w:val="single" w:sz="12" w:space="0" w:color="auto"/>
              <w:right w:val="single" w:sz="12" w:space="0" w:color="auto"/>
            </w:tcBorders>
          </w:tcPr>
          <w:p w14:paraId="4F87D04F" w14:textId="77777777" w:rsidR="00381DDB" w:rsidRDefault="00381DDB">
            <w:pPr>
              <w:widowControl w:val="0"/>
              <w:autoSpaceDE w:val="0"/>
              <w:autoSpaceDN w:val="0"/>
              <w:adjustRightInd w:val="0"/>
              <w:rPr>
                <w:rFonts w:ascii="Arial" w:hAnsi="Arial" w:cs="Arial"/>
                <w:sz w:val="20"/>
                <w:szCs w:val="20"/>
              </w:rPr>
            </w:pPr>
          </w:p>
        </w:tc>
        <w:tc>
          <w:tcPr>
            <w:tcW w:w="1620" w:type="dxa"/>
            <w:tcBorders>
              <w:top w:val="single" w:sz="12" w:space="0" w:color="auto"/>
              <w:left w:val="single" w:sz="12" w:space="0" w:color="auto"/>
              <w:bottom w:val="single" w:sz="12" w:space="0" w:color="auto"/>
              <w:right w:val="single" w:sz="12" w:space="0" w:color="auto"/>
            </w:tcBorders>
          </w:tcPr>
          <w:p w14:paraId="284F470F" w14:textId="77777777" w:rsidR="00381DDB" w:rsidRDefault="00381DDB">
            <w:pPr>
              <w:widowControl w:val="0"/>
              <w:autoSpaceDE w:val="0"/>
              <w:autoSpaceDN w:val="0"/>
              <w:adjustRightInd w:val="0"/>
              <w:rPr>
                <w:rFonts w:ascii="Arial" w:hAnsi="Arial" w:cs="Arial"/>
                <w:sz w:val="20"/>
                <w:szCs w:val="20"/>
              </w:rPr>
            </w:pPr>
          </w:p>
        </w:tc>
        <w:tc>
          <w:tcPr>
            <w:tcW w:w="1440" w:type="dxa"/>
            <w:tcBorders>
              <w:top w:val="single" w:sz="12" w:space="0" w:color="auto"/>
              <w:left w:val="single" w:sz="12" w:space="0" w:color="auto"/>
              <w:bottom w:val="single" w:sz="12" w:space="0" w:color="auto"/>
              <w:right w:val="single" w:sz="12" w:space="0" w:color="auto"/>
            </w:tcBorders>
          </w:tcPr>
          <w:p w14:paraId="0465D48F" w14:textId="77777777" w:rsidR="00381DDB" w:rsidRDefault="00381DDB">
            <w:pPr>
              <w:widowControl w:val="0"/>
              <w:autoSpaceDE w:val="0"/>
              <w:autoSpaceDN w:val="0"/>
              <w:adjustRightInd w:val="0"/>
              <w:rPr>
                <w:rFonts w:ascii="Arial" w:hAnsi="Arial" w:cs="Arial"/>
                <w:sz w:val="20"/>
                <w:szCs w:val="20"/>
              </w:rPr>
            </w:pPr>
          </w:p>
        </w:tc>
        <w:tc>
          <w:tcPr>
            <w:tcW w:w="1768" w:type="dxa"/>
            <w:tcBorders>
              <w:top w:val="single" w:sz="12" w:space="0" w:color="auto"/>
              <w:left w:val="single" w:sz="12" w:space="0" w:color="auto"/>
              <w:bottom w:val="single" w:sz="12" w:space="0" w:color="auto"/>
              <w:right w:val="single" w:sz="12" w:space="0" w:color="auto"/>
            </w:tcBorders>
          </w:tcPr>
          <w:p w14:paraId="519817B6" w14:textId="77777777" w:rsidR="00381DDB" w:rsidRDefault="00381DDB">
            <w:pPr>
              <w:widowControl w:val="0"/>
              <w:autoSpaceDE w:val="0"/>
              <w:autoSpaceDN w:val="0"/>
              <w:adjustRightInd w:val="0"/>
              <w:rPr>
                <w:rFonts w:ascii="Arial" w:hAnsi="Arial" w:cs="Arial"/>
                <w:sz w:val="20"/>
                <w:szCs w:val="20"/>
              </w:rPr>
            </w:pPr>
          </w:p>
        </w:tc>
        <w:tc>
          <w:tcPr>
            <w:tcW w:w="1652" w:type="dxa"/>
            <w:tcBorders>
              <w:top w:val="single" w:sz="12" w:space="0" w:color="auto"/>
              <w:left w:val="single" w:sz="12" w:space="0" w:color="auto"/>
              <w:bottom w:val="single" w:sz="12" w:space="0" w:color="auto"/>
              <w:right w:val="single" w:sz="12" w:space="0" w:color="auto"/>
            </w:tcBorders>
          </w:tcPr>
          <w:p w14:paraId="52D28FEF" w14:textId="77777777" w:rsidR="00381DDB" w:rsidRDefault="00381DDB">
            <w:pPr>
              <w:widowControl w:val="0"/>
              <w:autoSpaceDE w:val="0"/>
              <w:autoSpaceDN w:val="0"/>
              <w:adjustRightInd w:val="0"/>
              <w:rPr>
                <w:rFonts w:ascii="Arial" w:hAnsi="Arial" w:cs="Arial"/>
                <w:sz w:val="20"/>
                <w:szCs w:val="20"/>
              </w:rPr>
            </w:pPr>
          </w:p>
        </w:tc>
        <w:tc>
          <w:tcPr>
            <w:tcW w:w="1823" w:type="dxa"/>
            <w:tcBorders>
              <w:top w:val="single" w:sz="12" w:space="0" w:color="auto"/>
              <w:left w:val="single" w:sz="12" w:space="0" w:color="auto"/>
              <w:bottom w:val="single" w:sz="12" w:space="0" w:color="auto"/>
              <w:right w:val="single" w:sz="12" w:space="0" w:color="auto"/>
            </w:tcBorders>
          </w:tcPr>
          <w:p w14:paraId="72E8B676" w14:textId="77777777" w:rsidR="00381DDB" w:rsidRDefault="00381DDB">
            <w:pPr>
              <w:widowControl w:val="0"/>
              <w:autoSpaceDE w:val="0"/>
              <w:autoSpaceDN w:val="0"/>
              <w:adjustRightInd w:val="0"/>
              <w:rPr>
                <w:rFonts w:ascii="Arial" w:hAnsi="Arial" w:cs="Arial"/>
                <w:sz w:val="20"/>
                <w:szCs w:val="20"/>
              </w:rPr>
            </w:pPr>
          </w:p>
        </w:tc>
        <w:tc>
          <w:tcPr>
            <w:tcW w:w="2160" w:type="dxa"/>
            <w:tcBorders>
              <w:top w:val="single" w:sz="12" w:space="0" w:color="auto"/>
              <w:left w:val="single" w:sz="12" w:space="0" w:color="auto"/>
              <w:bottom w:val="single" w:sz="12" w:space="0" w:color="auto"/>
              <w:right w:val="single" w:sz="12" w:space="0" w:color="auto"/>
            </w:tcBorders>
          </w:tcPr>
          <w:p w14:paraId="64ACC99F" w14:textId="77777777" w:rsidR="00381DDB" w:rsidRDefault="00381DDB">
            <w:pPr>
              <w:widowControl w:val="0"/>
              <w:autoSpaceDE w:val="0"/>
              <w:autoSpaceDN w:val="0"/>
              <w:adjustRightInd w:val="0"/>
              <w:rPr>
                <w:rFonts w:ascii="Arial" w:hAnsi="Arial" w:cs="Arial"/>
                <w:sz w:val="20"/>
                <w:szCs w:val="20"/>
              </w:rPr>
            </w:pPr>
          </w:p>
        </w:tc>
        <w:tc>
          <w:tcPr>
            <w:tcW w:w="1501" w:type="dxa"/>
            <w:tcBorders>
              <w:top w:val="single" w:sz="12" w:space="0" w:color="auto"/>
              <w:left w:val="single" w:sz="12" w:space="0" w:color="auto"/>
              <w:bottom w:val="single" w:sz="12" w:space="0" w:color="auto"/>
              <w:right w:val="single" w:sz="12" w:space="0" w:color="auto"/>
            </w:tcBorders>
          </w:tcPr>
          <w:p w14:paraId="53BFC33C" w14:textId="77777777" w:rsidR="00381DDB" w:rsidRDefault="00381DDB">
            <w:pPr>
              <w:widowControl w:val="0"/>
              <w:autoSpaceDE w:val="0"/>
              <w:autoSpaceDN w:val="0"/>
              <w:adjustRightInd w:val="0"/>
              <w:rPr>
                <w:rFonts w:ascii="Arial" w:hAnsi="Arial" w:cs="Arial"/>
                <w:sz w:val="20"/>
                <w:szCs w:val="20"/>
              </w:rPr>
            </w:pPr>
          </w:p>
        </w:tc>
      </w:tr>
      <w:tr w:rsidR="00381DDB" w14:paraId="65025FF6" w14:textId="77777777">
        <w:tc>
          <w:tcPr>
            <w:tcW w:w="1283" w:type="dxa"/>
            <w:tcBorders>
              <w:top w:val="single" w:sz="12" w:space="0" w:color="auto"/>
              <w:left w:val="single" w:sz="12" w:space="0" w:color="auto"/>
              <w:bottom w:val="single" w:sz="12" w:space="0" w:color="auto"/>
              <w:right w:val="single" w:sz="12" w:space="0" w:color="auto"/>
            </w:tcBorders>
          </w:tcPr>
          <w:p w14:paraId="02294D85"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2.</w:t>
            </w:r>
            <w:r>
              <w:rPr>
                <w:rFonts w:ascii="Arial CYR" w:hAnsi="Arial CYR" w:cs="Arial CYR"/>
                <w:sz w:val="20"/>
                <w:szCs w:val="20"/>
              </w:rPr>
              <w:t xml:space="preserve">Азотные </w:t>
            </w:r>
          </w:p>
        </w:tc>
        <w:tc>
          <w:tcPr>
            <w:tcW w:w="1980" w:type="dxa"/>
            <w:tcBorders>
              <w:top w:val="single" w:sz="12" w:space="0" w:color="auto"/>
              <w:left w:val="single" w:sz="12" w:space="0" w:color="auto"/>
              <w:bottom w:val="single" w:sz="12" w:space="0" w:color="auto"/>
              <w:right w:val="single" w:sz="12" w:space="0" w:color="auto"/>
            </w:tcBorders>
          </w:tcPr>
          <w:p w14:paraId="058F95B3"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2.</w:t>
            </w:r>
            <w:r>
              <w:rPr>
                <w:rFonts w:ascii="Arial CYR" w:hAnsi="Arial CYR" w:cs="Arial CYR"/>
                <w:sz w:val="20"/>
                <w:szCs w:val="20"/>
              </w:rPr>
              <w:t xml:space="preserve">Среднегазонасы-щенные (от 0,1 до 1 л/л) </w:t>
            </w:r>
          </w:p>
        </w:tc>
        <w:tc>
          <w:tcPr>
            <w:tcW w:w="1620" w:type="dxa"/>
            <w:tcBorders>
              <w:top w:val="single" w:sz="12" w:space="0" w:color="auto"/>
              <w:left w:val="single" w:sz="12" w:space="0" w:color="auto"/>
              <w:bottom w:val="single" w:sz="12" w:space="0" w:color="auto"/>
              <w:right w:val="single" w:sz="12" w:space="0" w:color="auto"/>
            </w:tcBorders>
          </w:tcPr>
          <w:p w14:paraId="706EB836"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2.</w:t>
            </w:r>
            <w:r>
              <w:rPr>
                <w:rFonts w:ascii="Arial CYR" w:hAnsi="Arial CYR" w:cs="Arial CYR"/>
                <w:sz w:val="20"/>
                <w:szCs w:val="20"/>
              </w:rPr>
              <w:t xml:space="preserve">Сульфатные </w:t>
            </w:r>
          </w:p>
        </w:tc>
        <w:tc>
          <w:tcPr>
            <w:tcW w:w="1440" w:type="dxa"/>
            <w:tcBorders>
              <w:top w:val="single" w:sz="12" w:space="0" w:color="auto"/>
              <w:left w:val="single" w:sz="12" w:space="0" w:color="auto"/>
              <w:bottom w:val="single" w:sz="12" w:space="0" w:color="auto"/>
              <w:right w:val="single" w:sz="12" w:space="0" w:color="auto"/>
            </w:tcBorders>
          </w:tcPr>
          <w:p w14:paraId="629DEBB0"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2.</w:t>
            </w:r>
            <w:r>
              <w:rPr>
                <w:rFonts w:ascii="Arial CYR" w:hAnsi="Arial CYR" w:cs="Arial CYR"/>
                <w:sz w:val="20"/>
                <w:szCs w:val="20"/>
              </w:rPr>
              <w:t xml:space="preserve">Кальциевые </w:t>
            </w:r>
          </w:p>
        </w:tc>
        <w:tc>
          <w:tcPr>
            <w:tcW w:w="1768" w:type="dxa"/>
            <w:tcBorders>
              <w:top w:val="single" w:sz="12" w:space="0" w:color="auto"/>
              <w:left w:val="single" w:sz="12" w:space="0" w:color="auto"/>
              <w:bottom w:val="single" w:sz="12" w:space="0" w:color="auto"/>
              <w:right w:val="single" w:sz="12" w:space="0" w:color="auto"/>
            </w:tcBorders>
          </w:tcPr>
          <w:p w14:paraId="5F67A836"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2.</w:t>
            </w:r>
            <w:r>
              <w:rPr>
                <w:rFonts w:ascii="Arial CYR" w:hAnsi="Arial CYR" w:cs="Arial CYR"/>
                <w:sz w:val="20"/>
                <w:szCs w:val="20"/>
              </w:rPr>
              <w:t xml:space="preserve">Среднемине-рализованные </w:t>
            </w:r>
            <w:r>
              <w:rPr>
                <w:rFonts w:ascii="Arial" w:hAnsi="Arial" w:cs="Arial"/>
                <w:sz w:val="20"/>
                <w:szCs w:val="20"/>
              </w:rPr>
              <w:t xml:space="preserve"> (</w:t>
            </w:r>
            <w:r>
              <w:rPr>
                <w:rFonts w:ascii="Arial CYR" w:hAnsi="Arial CYR" w:cs="Arial CYR"/>
                <w:sz w:val="20"/>
                <w:szCs w:val="20"/>
              </w:rPr>
              <w:t xml:space="preserve">от 1 до 10 г/л) </w:t>
            </w:r>
          </w:p>
        </w:tc>
        <w:tc>
          <w:tcPr>
            <w:tcW w:w="1652" w:type="dxa"/>
            <w:tcBorders>
              <w:top w:val="single" w:sz="12" w:space="0" w:color="auto"/>
              <w:left w:val="single" w:sz="12" w:space="0" w:color="auto"/>
              <w:bottom w:val="single" w:sz="12" w:space="0" w:color="auto"/>
              <w:right w:val="single" w:sz="12" w:space="0" w:color="auto"/>
            </w:tcBorders>
          </w:tcPr>
          <w:p w14:paraId="26AD0153"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2.</w:t>
            </w:r>
            <w:r>
              <w:rPr>
                <w:rFonts w:ascii="Arial CYR" w:hAnsi="Arial CYR" w:cs="Arial CYR"/>
                <w:sz w:val="20"/>
                <w:szCs w:val="20"/>
              </w:rPr>
              <w:t xml:space="preserve">Йодистые </w:t>
            </w:r>
            <w:r>
              <w:rPr>
                <w:rFonts w:ascii="Arial" w:hAnsi="Arial" w:cs="Arial"/>
                <w:sz w:val="20"/>
                <w:szCs w:val="20"/>
              </w:rPr>
              <w:t>(</w:t>
            </w:r>
            <w:r>
              <w:rPr>
                <w:rFonts w:ascii="Arial" w:hAnsi="Arial" w:cs="Arial"/>
                <w:sz w:val="20"/>
                <w:szCs w:val="20"/>
                <w:lang w:val="en-US"/>
              </w:rPr>
              <w:t>J</w:t>
            </w:r>
            <w:r>
              <w:rPr>
                <w:rFonts w:ascii="Arial" w:hAnsi="Arial" w:cs="Arial"/>
                <w:sz w:val="20"/>
                <w:szCs w:val="20"/>
              </w:rPr>
              <w:t xml:space="preserve"> &gt;5 </w:t>
            </w:r>
            <w:r>
              <w:rPr>
                <w:rFonts w:ascii="Arial CYR" w:hAnsi="Arial CYR" w:cs="Arial CYR"/>
                <w:sz w:val="20"/>
                <w:szCs w:val="20"/>
              </w:rPr>
              <w:t xml:space="preserve">мг/л) </w:t>
            </w:r>
          </w:p>
        </w:tc>
        <w:tc>
          <w:tcPr>
            <w:tcW w:w="1823" w:type="dxa"/>
            <w:tcBorders>
              <w:top w:val="single" w:sz="12" w:space="0" w:color="auto"/>
              <w:left w:val="single" w:sz="12" w:space="0" w:color="auto"/>
              <w:bottom w:val="single" w:sz="12" w:space="0" w:color="auto"/>
              <w:right w:val="single" w:sz="12" w:space="0" w:color="auto"/>
            </w:tcBorders>
          </w:tcPr>
          <w:p w14:paraId="5618A198"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2.</w:t>
            </w:r>
            <w:r>
              <w:rPr>
                <w:rFonts w:ascii="Arial CYR" w:hAnsi="Arial CYR" w:cs="Arial CYR"/>
                <w:sz w:val="20"/>
                <w:szCs w:val="20"/>
              </w:rPr>
              <w:t>Очень холодные (от 0 до 4</w:t>
            </w:r>
            <w:r>
              <w:rPr>
                <w:rFonts w:ascii="Symbol" w:hAnsi="Symbol" w:cs="Symbol"/>
                <w:sz w:val="20"/>
                <w:szCs w:val="20"/>
              </w:rPr>
              <w:t>°</w:t>
            </w:r>
            <w:r>
              <w:rPr>
                <w:rFonts w:ascii="Arial" w:hAnsi="Arial" w:cs="Arial"/>
                <w:sz w:val="20"/>
                <w:szCs w:val="20"/>
              </w:rPr>
              <w:t>)</w:t>
            </w:r>
          </w:p>
        </w:tc>
        <w:tc>
          <w:tcPr>
            <w:tcW w:w="2160" w:type="dxa"/>
            <w:tcBorders>
              <w:top w:val="single" w:sz="12" w:space="0" w:color="auto"/>
              <w:left w:val="single" w:sz="12" w:space="0" w:color="auto"/>
              <w:bottom w:val="single" w:sz="12" w:space="0" w:color="auto"/>
              <w:right w:val="single" w:sz="12" w:space="0" w:color="auto"/>
            </w:tcBorders>
          </w:tcPr>
          <w:p w14:paraId="09FC3943" w14:textId="77777777" w:rsidR="00381DDB" w:rsidRDefault="003712EA">
            <w:pPr>
              <w:widowControl w:val="0"/>
              <w:autoSpaceDE w:val="0"/>
              <w:autoSpaceDN w:val="0"/>
              <w:adjustRightInd w:val="0"/>
              <w:rPr>
                <w:rFonts w:ascii="Arial CYR" w:hAnsi="Arial CYR" w:cs="Arial CYR"/>
                <w:sz w:val="20"/>
                <w:szCs w:val="20"/>
              </w:rPr>
            </w:pPr>
            <w:r>
              <w:rPr>
                <w:rFonts w:ascii="Arial" w:hAnsi="Arial" w:cs="Arial"/>
                <w:sz w:val="20"/>
                <w:szCs w:val="20"/>
              </w:rPr>
              <w:t>2.</w:t>
            </w:r>
            <w:r>
              <w:rPr>
                <w:rFonts w:ascii="Arial CYR" w:hAnsi="Arial CYR" w:cs="Arial CYR"/>
                <w:sz w:val="20"/>
                <w:szCs w:val="20"/>
              </w:rPr>
              <w:t>Среднерадиоактив-ные (от 100 до 500 ед. Махе)</w:t>
            </w:r>
          </w:p>
        </w:tc>
        <w:tc>
          <w:tcPr>
            <w:tcW w:w="1501" w:type="dxa"/>
            <w:tcBorders>
              <w:top w:val="single" w:sz="12" w:space="0" w:color="auto"/>
              <w:left w:val="single" w:sz="12" w:space="0" w:color="auto"/>
              <w:bottom w:val="single" w:sz="12" w:space="0" w:color="auto"/>
              <w:right w:val="single" w:sz="12" w:space="0" w:color="auto"/>
            </w:tcBorders>
          </w:tcPr>
          <w:p w14:paraId="2C2D682D"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2.</w:t>
            </w:r>
            <w:r>
              <w:rPr>
                <w:rFonts w:ascii="Arial CYR" w:hAnsi="Arial CYR" w:cs="Arial CYR"/>
                <w:sz w:val="20"/>
                <w:szCs w:val="20"/>
              </w:rPr>
              <w:t>Кислые (</w:t>
            </w:r>
            <w:r>
              <w:rPr>
                <w:rFonts w:ascii="Arial" w:hAnsi="Arial" w:cs="Arial"/>
                <w:sz w:val="20"/>
                <w:szCs w:val="20"/>
                <w:lang w:val="en-US"/>
              </w:rPr>
              <w:t>pH</w:t>
            </w:r>
            <w:r>
              <w:rPr>
                <w:rFonts w:ascii="Arial" w:hAnsi="Arial" w:cs="Arial"/>
                <w:sz w:val="20"/>
                <w:szCs w:val="20"/>
              </w:rPr>
              <w:t>=3,5-5,5)</w:t>
            </w:r>
          </w:p>
        </w:tc>
      </w:tr>
      <w:tr w:rsidR="00381DDB" w14:paraId="02D04396" w14:textId="77777777">
        <w:tc>
          <w:tcPr>
            <w:tcW w:w="1283" w:type="dxa"/>
            <w:tcBorders>
              <w:top w:val="single" w:sz="12" w:space="0" w:color="auto"/>
              <w:left w:val="single" w:sz="12" w:space="0" w:color="auto"/>
              <w:bottom w:val="single" w:sz="12" w:space="0" w:color="auto"/>
              <w:right w:val="single" w:sz="12" w:space="0" w:color="auto"/>
            </w:tcBorders>
          </w:tcPr>
          <w:p w14:paraId="27284380" w14:textId="77777777" w:rsidR="00381DDB" w:rsidRDefault="00381DDB">
            <w:pPr>
              <w:widowControl w:val="0"/>
              <w:autoSpaceDE w:val="0"/>
              <w:autoSpaceDN w:val="0"/>
              <w:adjustRightInd w:val="0"/>
              <w:rPr>
                <w:rFonts w:ascii="Arial" w:hAnsi="Arial" w:cs="Arial"/>
                <w:sz w:val="20"/>
                <w:szCs w:val="20"/>
              </w:rPr>
            </w:pPr>
          </w:p>
        </w:tc>
        <w:tc>
          <w:tcPr>
            <w:tcW w:w="1980" w:type="dxa"/>
            <w:tcBorders>
              <w:top w:val="single" w:sz="12" w:space="0" w:color="auto"/>
              <w:left w:val="single" w:sz="12" w:space="0" w:color="auto"/>
              <w:bottom w:val="single" w:sz="12" w:space="0" w:color="auto"/>
              <w:right w:val="single" w:sz="12" w:space="0" w:color="auto"/>
            </w:tcBorders>
          </w:tcPr>
          <w:p w14:paraId="4EB244E4" w14:textId="77777777" w:rsidR="00381DDB" w:rsidRDefault="00381DDB">
            <w:pPr>
              <w:widowControl w:val="0"/>
              <w:autoSpaceDE w:val="0"/>
              <w:autoSpaceDN w:val="0"/>
              <w:adjustRightInd w:val="0"/>
              <w:rPr>
                <w:rFonts w:ascii="Arial" w:hAnsi="Arial" w:cs="Arial"/>
                <w:sz w:val="20"/>
                <w:szCs w:val="20"/>
              </w:rPr>
            </w:pPr>
          </w:p>
        </w:tc>
        <w:tc>
          <w:tcPr>
            <w:tcW w:w="1620" w:type="dxa"/>
            <w:tcBorders>
              <w:top w:val="single" w:sz="12" w:space="0" w:color="auto"/>
              <w:left w:val="single" w:sz="12" w:space="0" w:color="auto"/>
              <w:bottom w:val="single" w:sz="12" w:space="0" w:color="auto"/>
              <w:right w:val="single" w:sz="12" w:space="0" w:color="auto"/>
            </w:tcBorders>
          </w:tcPr>
          <w:p w14:paraId="2809ABEE" w14:textId="77777777" w:rsidR="00381DDB" w:rsidRDefault="00381DDB">
            <w:pPr>
              <w:widowControl w:val="0"/>
              <w:autoSpaceDE w:val="0"/>
              <w:autoSpaceDN w:val="0"/>
              <w:adjustRightInd w:val="0"/>
              <w:rPr>
                <w:rFonts w:ascii="Arial" w:hAnsi="Arial" w:cs="Arial"/>
                <w:sz w:val="20"/>
                <w:szCs w:val="20"/>
              </w:rPr>
            </w:pPr>
          </w:p>
        </w:tc>
        <w:tc>
          <w:tcPr>
            <w:tcW w:w="1440" w:type="dxa"/>
            <w:tcBorders>
              <w:top w:val="single" w:sz="12" w:space="0" w:color="auto"/>
              <w:left w:val="single" w:sz="12" w:space="0" w:color="auto"/>
              <w:bottom w:val="single" w:sz="12" w:space="0" w:color="auto"/>
              <w:right w:val="single" w:sz="12" w:space="0" w:color="auto"/>
            </w:tcBorders>
          </w:tcPr>
          <w:p w14:paraId="16159FC8" w14:textId="77777777" w:rsidR="00381DDB" w:rsidRDefault="00381DDB">
            <w:pPr>
              <w:widowControl w:val="0"/>
              <w:autoSpaceDE w:val="0"/>
              <w:autoSpaceDN w:val="0"/>
              <w:adjustRightInd w:val="0"/>
              <w:rPr>
                <w:rFonts w:ascii="Arial" w:hAnsi="Arial" w:cs="Arial"/>
                <w:sz w:val="20"/>
                <w:szCs w:val="20"/>
              </w:rPr>
            </w:pPr>
          </w:p>
        </w:tc>
        <w:tc>
          <w:tcPr>
            <w:tcW w:w="1768" w:type="dxa"/>
            <w:tcBorders>
              <w:top w:val="single" w:sz="12" w:space="0" w:color="auto"/>
              <w:left w:val="single" w:sz="12" w:space="0" w:color="auto"/>
              <w:bottom w:val="single" w:sz="12" w:space="0" w:color="auto"/>
              <w:right w:val="single" w:sz="12" w:space="0" w:color="auto"/>
            </w:tcBorders>
          </w:tcPr>
          <w:p w14:paraId="569F78B9" w14:textId="77777777" w:rsidR="00381DDB" w:rsidRDefault="00381DDB">
            <w:pPr>
              <w:widowControl w:val="0"/>
              <w:autoSpaceDE w:val="0"/>
              <w:autoSpaceDN w:val="0"/>
              <w:adjustRightInd w:val="0"/>
              <w:rPr>
                <w:rFonts w:ascii="Arial" w:hAnsi="Arial" w:cs="Arial"/>
                <w:sz w:val="20"/>
                <w:szCs w:val="20"/>
              </w:rPr>
            </w:pPr>
          </w:p>
        </w:tc>
        <w:tc>
          <w:tcPr>
            <w:tcW w:w="1652" w:type="dxa"/>
            <w:tcBorders>
              <w:top w:val="single" w:sz="12" w:space="0" w:color="auto"/>
              <w:left w:val="single" w:sz="12" w:space="0" w:color="auto"/>
              <w:bottom w:val="single" w:sz="12" w:space="0" w:color="auto"/>
              <w:right w:val="single" w:sz="12" w:space="0" w:color="auto"/>
            </w:tcBorders>
          </w:tcPr>
          <w:p w14:paraId="3EE72C78" w14:textId="77777777" w:rsidR="00381DDB" w:rsidRDefault="00381DDB">
            <w:pPr>
              <w:widowControl w:val="0"/>
              <w:autoSpaceDE w:val="0"/>
              <w:autoSpaceDN w:val="0"/>
              <w:adjustRightInd w:val="0"/>
              <w:rPr>
                <w:rFonts w:ascii="Arial" w:hAnsi="Arial" w:cs="Arial"/>
                <w:sz w:val="20"/>
                <w:szCs w:val="20"/>
              </w:rPr>
            </w:pPr>
          </w:p>
        </w:tc>
        <w:tc>
          <w:tcPr>
            <w:tcW w:w="1823" w:type="dxa"/>
            <w:tcBorders>
              <w:top w:val="single" w:sz="12" w:space="0" w:color="auto"/>
              <w:left w:val="single" w:sz="12" w:space="0" w:color="auto"/>
              <w:bottom w:val="single" w:sz="12" w:space="0" w:color="auto"/>
              <w:right w:val="single" w:sz="12" w:space="0" w:color="auto"/>
            </w:tcBorders>
          </w:tcPr>
          <w:p w14:paraId="45A1DA93" w14:textId="77777777" w:rsidR="00381DDB" w:rsidRDefault="00381DDB">
            <w:pPr>
              <w:widowControl w:val="0"/>
              <w:autoSpaceDE w:val="0"/>
              <w:autoSpaceDN w:val="0"/>
              <w:adjustRightInd w:val="0"/>
              <w:rPr>
                <w:rFonts w:ascii="Arial" w:hAnsi="Arial" w:cs="Arial"/>
                <w:sz w:val="20"/>
                <w:szCs w:val="20"/>
              </w:rPr>
            </w:pPr>
          </w:p>
        </w:tc>
        <w:tc>
          <w:tcPr>
            <w:tcW w:w="2160" w:type="dxa"/>
            <w:tcBorders>
              <w:top w:val="single" w:sz="12" w:space="0" w:color="auto"/>
              <w:left w:val="single" w:sz="12" w:space="0" w:color="auto"/>
              <w:bottom w:val="single" w:sz="12" w:space="0" w:color="auto"/>
              <w:right w:val="single" w:sz="12" w:space="0" w:color="auto"/>
            </w:tcBorders>
          </w:tcPr>
          <w:p w14:paraId="6D4B1137" w14:textId="77777777" w:rsidR="00381DDB" w:rsidRDefault="00381DDB">
            <w:pPr>
              <w:widowControl w:val="0"/>
              <w:autoSpaceDE w:val="0"/>
              <w:autoSpaceDN w:val="0"/>
              <w:adjustRightInd w:val="0"/>
              <w:rPr>
                <w:rFonts w:ascii="Arial" w:hAnsi="Arial" w:cs="Arial"/>
                <w:sz w:val="20"/>
                <w:szCs w:val="20"/>
              </w:rPr>
            </w:pPr>
          </w:p>
        </w:tc>
        <w:tc>
          <w:tcPr>
            <w:tcW w:w="1501" w:type="dxa"/>
            <w:tcBorders>
              <w:top w:val="single" w:sz="12" w:space="0" w:color="auto"/>
              <w:left w:val="single" w:sz="12" w:space="0" w:color="auto"/>
              <w:bottom w:val="single" w:sz="12" w:space="0" w:color="auto"/>
              <w:right w:val="single" w:sz="12" w:space="0" w:color="auto"/>
            </w:tcBorders>
          </w:tcPr>
          <w:p w14:paraId="73E066AF" w14:textId="77777777" w:rsidR="00381DDB" w:rsidRDefault="00381DDB">
            <w:pPr>
              <w:widowControl w:val="0"/>
              <w:autoSpaceDE w:val="0"/>
              <w:autoSpaceDN w:val="0"/>
              <w:adjustRightInd w:val="0"/>
              <w:rPr>
                <w:rFonts w:ascii="Arial" w:hAnsi="Arial" w:cs="Arial"/>
                <w:sz w:val="20"/>
                <w:szCs w:val="20"/>
              </w:rPr>
            </w:pPr>
          </w:p>
        </w:tc>
      </w:tr>
      <w:tr w:rsidR="00381DDB" w14:paraId="5D94D4EE" w14:textId="77777777">
        <w:tc>
          <w:tcPr>
            <w:tcW w:w="1283" w:type="dxa"/>
            <w:tcBorders>
              <w:top w:val="single" w:sz="12" w:space="0" w:color="auto"/>
              <w:left w:val="single" w:sz="12" w:space="0" w:color="auto"/>
              <w:bottom w:val="single" w:sz="12" w:space="0" w:color="auto"/>
              <w:right w:val="single" w:sz="12" w:space="0" w:color="auto"/>
            </w:tcBorders>
          </w:tcPr>
          <w:p w14:paraId="0ABD7649"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3.</w:t>
            </w:r>
            <w:r>
              <w:rPr>
                <w:rFonts w:ascii="Arial CYR" w:hAnsi="Arial CYR" w:cs="Arial CYR"/>
                <w:sz w:val="20"/>
                <w:szCs w:val="20"/>
              </w:rPr>
              <w:t xml:space="preserve">Метановые </w:t>
            </w:r>
          </w:p>
        </w:tc>
        <w:tc>
          <w:tcPr>
            <w:tcW w:w="1980" w:type="dxa"/>
            <w:tcBorders>
              <w:top w:val="single" w:sz="12" w:space="0" w:color="auto"/>
              <w:left w:val="single" w:sz="12" w:space="0" w:color="auto"/>
              <w:bottom w:val="single" w:sz="12" w:space="0" w:color="auto"/>
              <w:right w:val="single" w:sz="12" w:space="0" w:color="auto"/>
            </w:tcBorders>
          </w:tcPr>
          <w:p w14:paraId="216F891E"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3.</w:t>
            </w:r>
            <w:r>
              <w:rPr>
                <w:rFonts w:ascii="Arial CYR" w:hAnsi="Arial CYR" w:cs="Arial CYR"/>
                <w:sz w:val="20"/>
                <w:szCs w:val="20"/>
              </w:rPr>
              <w:t xml:space="preserve">Высокогазонасы-щенные (&gt; 1л/л) </w:t>
            </w:r>
          </w:p>
        </w:tc>
        <w:tc>
          <w:tcPr>
            <w:tcW w:w="1620" w:type="dxa"/>
            <w:tcBorders>
              <w:top w:val="single" w:sz="12" w:space="0" w:color="auto"/>
              <w:left w:val="single" w:sz="12" w:space="0" w:color="auto"/>
              <w:bottom w:val="single" w:sz="12" w:space="0" w:color="auto"/>
              <w:right w:val="single" w:sz="12" w:space="0" w:color="auto"/>
            </w:tcBorders>
          </w:tcPr>
          <w:p w14:paraId="4EEC1004"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3.</w:t>
            </w:r>
            <w:r>
              <w:rPr>
                <w:rFonts w:ascii="Arial CYR" w:hAnsi="Arial CYR" w:cs="Arial CYR"/>
                <w:sz w:val="20"/>
                <w:szCs w:val="20"/>
              </w:rPr>
              <w:t xml:space="preserve">Гидрокарбо-натные  </w:t>
            </w:r>
          </w:p>
        </w:tc>
        <w:tc>
          <w:tcPr>
            <w:tcW w:w="1440" w:type="dxa"/>
            <w:tcBorders>
              <w:top w:val="single" w:sz="12" w:space="0" w:color="auto"/>
              <w:left w:val="single" w:sz="12" w:space="0" w:color="auto"/>
              <w:bottom w:val="single" w:sz="12" w:space="0" w:color="auto"/>
              <w:right w:val="single" w:sz="12" w:space="0" w:color="auto"/>
            </w:tcBorders>
          </w:tcPr>
          <w:p w14:paraId="512F4906" w14:textId="77777777" w:rsidR="00381DDB" w:rsidRDefault="003712EA">
            <w:pPr>
              <w:widowControl w:val="0"/>
              <w:autoSpaceDE w:val="0"/>
              <w:autoSpaceDN w:val="0"/>
              <w:adjustRightInd w:val="0"/>
              <w:rPr>
                <w:rFonts w:ascii="Arial CYR" w:hAnsi="Arial CYR" w:cs="Arial CYR"/>
                <w:sz w:val="20"/>
                <w:szCs w:val="20"/>
              </w:rPr>
            </w:pPr>
            <w:r>
              <w:rPr>
                <w:rFonts w:ascii="Arial" w:hAnsi="Arial" w:cs="Arial"/>
                <w:sz w:val="20"/>
                <w:szCs w:val="20"/>
              </w:rPr>
              <w:t>3.</w:t>
            </w:r>
            <w:r>
              <w:rPr>
                <w:rFonts w:ascii="Arial CYR" w:hAnsi="Arial CYR" w:cs="Arial CYR"/>
                <w:sz w:val="20"/>
                <w:szCs w:val="20"/>
              </w:rPr>
              <w:t>Кальциево-магниевые</w:t>
            </w:r>
          </w:p>
        </w:tc>
        <w:tc>
          <w:tcPr>
            <w:tcW w:w="1768" w:type="dxa"/>
            <w:tcBorders>
              <w:top w:val="single" w:sz="12" w:space="0" w:color="auto"/>
              <w:left w:val="single" w:sz="12" w:space="0" w:color="auto"/>
              <w:bottom w:val="single" w:sz="12" w:space="0" w:color="auto"/>
              <w:right w:val="single" w:sz="12" w:space="0" w:color="auto"/>
            </w:tcBorders>
          </w:tcPr>
          <w:p w14:paraId="1E114BFD"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3.</w:t>
            </w:r>
            <w:r>
              <w:rPr>
                <w:rFonts w:ascii="Arial CYR" w:hAnsi="Arial CYR" w:cs="Arial CYR"/>
                <w:sz w:val="20"/>
                <w:szCs w:val="20"/>
              </w:rPr>
              <w:t xml:space="preserve">Высокомине-рализованные </w:t>
            </w:r>
            <w:r>
              <w:rPr>
                <w:rFonts w:ascii="Arial" w:hAnsi="Arial" w:cs="Arial"/>
                <w:sz w:val="20"/>
                <w:szCs w:val="20"/>
              </w:rPr>
              <w:t xml:space="preserve"> (</w:t>
            </w:r>
            <w:r>
              <w:rPr>
                <w:rFonts w:ascii="Arial CYR" w:hAnsi="Arial CYR" w:cs="Arial CYR"/>
                <w:sz w:val="20"/>
                <w:szCs w:val="20"/>
              </w:rPr>
              <w:t xml:space="preserve">от 10 до 50 г/л) </w:t>
            </w:r>
          </w:p>
        </w:tc>
        <w:tc>
          <w:tcPr>
            <w:tcW w:w="1652" w:type="dxa"/>
            <w:tcBorders>
              <w:top w:val="single" w:sz="12" w:space="0" w:color="auto"/>
              <w:left w:val="single" w:sz="12" w:space="0" w:color="auto"/>
              <w:bottom w:val="single" w:sz="12" w:space="0" w:color="auto"/>
              <w:right w:val="single" w:sz="12" w:space="0" w:color="auto"/>
            </w:tcBorders>
          </w:tcPr>
          <w:p w14:paraId="189CF677"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3.</w:t>
            </w:r>
            <w:r>
              <w:rPr>
                <w:rFonts w:ascii="Arial CYR" w:hAnsi="Arial CYR" w:cs="Arial CYR"/>
                <w:sz w:val="20"/>
                <w:szCs w:val="20"/>
              </w:rPr>
              <w:t xml:space="preserve">Мышьяко-вистые  </w:t>
            </w:r>
            <w:r>
              <w:rPr>
                <w:rFonts w:ascii="Arial" w:hAnsi="Arial" w:cs="Arial"/>
                <w:sz w:val="20"/>
                <w:szCs w:val="20"/>
              </w:rPr>
              <w:t>(</w:t>
            </w:r>
            <w:r>
              <w:rPr>
                <w:rFonts w:ascii="Arial" w:hAnsi="Arial" w:cs="Arial"/>
                <w:sz w:val="20"/>
                <w:szCs w:val="20"/>
                <w:lang w:val="en-US"/>
              </w:rPr>
              <w:t>As</w:t>
            </w:r>
            <w:r>
              <w:rPr>
                <w:rFonts w:ascii="Arial" w:hAnsi="Arial" w:cs="Arial"/>
                <w:sz w:val="20"/>
                <w:szCs w:val="20"/>
              </w:rPr>
              <w:t xml:space="preserve"> &gt; 0,6 </w:t>
            </w:r>
            <w:r>
              <w:rPr>
                <w:rFonts w:ascii="Arial CYR" w:hAnsi="Arial CYR" w:cs="Arial CYR"/>
                <w:sz w:val="20"/>
                <w:szCs w:val="20"/>
              </w:rPr>
              <w:t>мг</w:t>
            </w:r>
            <w:r>
              <w:rPr>
                <w:rFonts w:ascii="Arial" w:hAnsi="Arial" w:cs="Arial"/>
                <w:sz w:val="20"/>
                <w:szCs w:val="20"/>
              </w:rPr>
              <w:t>/</w:t>
            </w:r>
            <w:r>
              <w:rPr>
                <w:rFonts w:ascii="Arial CYR" w:hAnsi="Arial CYR" w:cs="Arial CYR"/>
                <w:sz w:val="20"/>
                <w:szCs w:val="20"/>
              </w:rPr>
              <w:t>л</w:t>
            </w:r>
            <w:r>
              <w:rPr>
                <w:rFonts w:ascii="Arial" w:hAnsi="Arial" w:cs="Arial"/>
                <w:sz w:val="20"/>
                <w:szCs w:val="20"/>
              </w:rPr>
              <w:t>)</w:t>
            </w:r>
          </w:p>
        </w:tc>
        <w:tc>
          <w:tcPr>
            <w:tcW w:w="1823" w:type="dxa"/>
            <w:tcBorders>
              <w:top w:val="single" w:sz="12" w:space="0" w:color="auto"/>
              <w:left w:val="single" w:sz="12" w:space="0" w:color="auto"/>
              <w:bottom w:val="single" w:sz="12" w:space="0" w:color="auto"/>
              <w:right w:val="single" w:sz="12" w:space="0" w:color="auto"/>
            </w:tcBorders>
          </w:tcPr>
          <w:p w14:paraId="58A7E6A1"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3.</w:t>
            </w:r>
            <w:r>
              <w:rPr>
                <w:rFonts w:ascii="Arial CYR" w:hAnsi="Arial CYR" w:cs="Arial CYR"/>
                <w:sz w:val="20"/>
                <w:szCs w:val="20"/>
              </w:rPr>
              <w:t xml:space="preserve">Холодные </w:t>
            </w:r>
            <w:r>
              <w:rPr>
                <w:rFonts w:ascii="Arial" w:hAnsi="Arial" w:cs="Arial"/>
                <w:sz w:val="20"/>
                <w:szCs w:val="20"/>
              </w:rPr>
              <w:t>(</w:t>
            </w:r>
            <w:r>
              <w:rPr>
                <w:rFonts w:ascii="Arial CYR" w:hAnsi="Arial CYR" w:cs="Arial CYR"/>
                <w:sz w:val="20"/>
                <w:szCs w:val="20"/>
              </w:rPr>
              <w:t>от 4 до 20</w:t>
            </w:r>
            <w:r>
              <w:rPr>
                <w:rFonts w:ascii="Symbol" w:hAnsi="Symbol" w:cs="Symbol"/>
                <w:sz w:val="20"/>
                <w:szCs w:val="20"/>
              </w:rPr>
              <w:t>°</w:t>
            </w:r>
            <w:r>
              <w:rPr>
                <w:rFonts w:ascii="Arial" w:hAnsi="Arial" w:cs="Arial"/>
                <w:sz w:val="20"/>
                <w:szCs w:val="20"/>
              </w:rPr>
              <w:t>)</w:t>
            </w:r>
          </w:p>
        </w:tc>
        <w:tc>
          <w:tcPr>
            <w:tcW w:w="2160" w:type="dxa"/>
            <w:tcBorders>
              <w:top w:val="single" w:sz="12" w:space="0" w:color="auto"/>
              <w:left w:val="single" w:sz="12" w:space="0" w:color="auto"/>
              <w:bottom w:val="single" w:sz="12" w:space="0" w:color="auto"/>
              <w:right w:val="single" w:sz="12" w:space="0" w:color="auto"/>
            </w:tcBorders>
          </w:tcPr>
          <w:p w14:paraId="3C479F8E" w14:textId="77777777" w:rsidR="00381DDB" w:rsidRDefault="003712EA">
            <w:pPr>
              <w:widowControl w:val="0"/>
              <w:autoSpaceDE w:val="0"/>
              <w:autoSpaceDN w:val="0"/>
              <w:adjustRightInd w:val="0"/>
              <w:rPr>
                <w:rFonts w:ascii="Arial CYR" w:hAnsi="Arial CYR" w:cs="Arial CYR"/>
                <w:sz w:val="20"/>
                <w:szCs w:val="20"/>
              </w:rPr>
            </w:pPr>
            <w:r>
              <w:rPr>
                <w:rFonts w:ascii="Arial" w:hAnsi="Arial" w:cs="Arial"/>
                <w:sz w:val="20"/>
                <w:szCs w:val="20"/>
              </w:rPr>
              <w:t>3.</w:t>
            </w:r>
            <w:r>
              <w:rPr>
                <w:rFonts w:ascii="Arial CYR" w:hAnsi="Arial CYR" w:cs="Arial CYR"/>
                <w:sz w:val="20"/>
                <w:szCs w:val="20"/>
              </w:rPr>
              <w:t>Сильнорадиоактив-ные (более 500 ед. Махе)</w:t>
            </w:r>
          </w:p>
        </w:tc>
        <w:tc>
          <w:tcPr>
            <w:tcW w:w="1501" w:type="dxa"/>
            <w:tcBorders>
              <w:top w:val="single" w:sz="12" w:space="0" w:color="auto"/>
              <w:left w:val="single" w:sz="12" w:space="0" w:color="auto"/>
              <w:bottom w:val="single" w:sz="12" w:space="0" w:color="auto"/>
              <w:right w:val="single" w:sz="12" w:space="0" w:color="auto"/>
            </w:tcBorders>
          </w:tcPr>
          <w:p w14:paraId="22C0E819"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3.</w:t>
            </w:r>
            <w:r>
              <w:rPr>
                <w:rFonts w:ascii="Arial CYR" w:hAnsi="Arial CYR" w:cs="Arial CYR"/>
                <w:sz w:val="20"/>
                <w:szCs w:val="20"/>
              </w:rPr>
              <w:t xml:space="preserve">Слабокис-лые </w:t>
            </w:r>
            <w:r>
              <w:rPr>
                <w:rFonts w:ascii="Arial" w:hAnsi="Arial" w:cs="Arial"/>
                <w:sz w:val="20"/>
                <w:szCs w:val="20"/>
              </w:rPr>
              <w:t xml:space="preserve"> (</w:t>
            </w:r>
            <w:r>
              <w:rPr>
                <w:rFonts w:ascii="Arial" w:hAnsi="Arial" w:cs="Arial"/>
                <w:sz w:val="20"/>
                <w:szCs w:val="20"/>
                <w:lang w:val="en-US"/>
              </w:rPr>
              <w:t>pH</w:t>
            </w:r>
            <w:r>
              <w:rPr>
                <w:rFonts w:ascii="Arial" w:hAnsi="Arial" w:cs="Arial"/>
                <w:sz w:val="20"/>
                <w:szCs w:val="20"/>
              </w:rPr>
              <w:t>=5,5-6,8)</w:t>
            </w:r>
          </w:p>
        </w:tc>
      </w:tr>
      <w:tr w:rsidR="00381DDB" w14:paraId="5D7D9D63" w14:textId="77777777">
        <w:tc>
          <w:tcPr>
            <w:tcW w:w="1283" w:type="dxa"/>
            <w:tcBorders>
              <w:top w:val="single" w:sz="12" w:space="0" w:color="auto"/>
              <w:left w:val="single" w:sz="12" w:space="0" w:color="auto"/>
              <w:bottom w:val="single" w:sz="12" w:space="0" w:color="auto"/>
              <w:right w:val="single" w:sz="12" w:space="0" w:color="auto"/>
            </w:tcBorders>
          </w:tcPr>
          <w:p w14:paraId="31B9A419" w14:textId="77777777" w:rsidR="00381DDB" w:rsidRDefault="00381DDB">
            <w:pPr>
              <w:widowControl w:val="0"/>
              <w:autoSpaceDE w:val="0"/>
              <w:autoSpaceDN w:val="0"/>
              <w:adjustRightInd w:val="0"/>
              <w:rPr>
                <w:rFonts w:ascii="Arial" w:hAnsi="Arial" w:cs="Arial"/>
                <w:sz w:val="20"/>
                <w:szCs w:val="20"/>
              </w:rPr>
            </w:pPr>
          </w:p>
        </w:tc>
        <w:tc>
          <w:tcPr>
            <w:tcW w:w="1980" w:type="dxa"/>
            <w:tcBorders>
              <w:top w:val="single" w:sz="12" w:space="0" w:color="auto"/>
              <w:left w:val="single" w:sz="12" w:space="0" w:color="auto"/>
              <w:bottom w:val="single" w:sz="12" w:space="0" w:color="auto"/>
              <w:right w:val="single" w:sz="12" w:space="0" w:color="auto"/>
            </w:tcBorders>
          </w:tcPr>
          <w:p w14:paraId="39D933AA" w14:textId="77777777" w:rsidR="00381DDB" w:rsidRDefault="00381DDB">
            <w:pPr>
              <w:widowControl w:val="0"/>
              <w:autoSpaceDE w:val="0"/>
              <w:autoSpaceDN w:val="0"/>
              <w:adjustRightInd w:val="0"/>
              <w:rPr>
                <w:rFonts w:ascii="Arial" w:hAnsi="Arial" w:cs="Arial"/>
                <w:sz w:val="20"/>
                <w:szCs w:val="20"/>
              </w:rPr>
            </w:pPr>
          </w:p>
        </w:tc>
        <w:tc>
          <w:tcPr>
            <w:tcW w:w="1620" w:type="dxa"/>
            <w:tcBorders>
              <w:top w:val="single" w:sz="12" w:space="0" w:color="auto"/>
              <w:left w:val="single" w:sz="12" w:space="0" w:color="auto"/>
              <w:bottom w:val="single" w:sz="12" w:space="0" w:color="auto"/>
              <w:right w:val="single" w:sz="12" w:space="0" w:color="auto"/>
            </w:tcBorders>
          </w:tcPr>
          <w:p w14:paraId="5C9FDFC4" w14:textId="77777777" w:rsidR="00381DDB" w:rsidRDefault="00381DDB">
            <w:pPr>
              <w:widowControl w:val="0"/>
              <w:autoSpaceDE w:val="0"/>
              <w:autoSpaceDN w:val="0"/>
              <w:adjustRightInd w:val="0"/>
              <w:rPr>
                <w:rFonts w:ascii="Arial" w:hAnsi="Arial" w:cs="Arial"/>
                <w:sz w:val="20"/>
                <w:szCs w:val="20"/>
              </w:rPr>
            </w:pPr>
          </w:p>
        </w:tc>
        <w:tc>
          <w:tcPr>
            <w:tcW w:w="1440" w:type="dxa"/>
            <w:tcBorders>
              <w:top w:val="single" w:sz="12" w:space="0" w:color="auto"/>
              <w:left w:val="single" w:sz="12" w:space="0" w:color="auto"/>
              <w:bottom w:val="single" w:sz="12" w:space="0" w:color="auto"/>
              <w:right w:val="single" w:sz="12" w:space="0" w:color="auto"/>
            </w:tcBorders>
          </w:tcPr>
          <w:p w14:paraId="7C584854" w14:textId="77777777" w:rsidR="00381DDB" w:rsidRDefault="00381DDB">
            <w:pPr>
              <w:widowControl w:val="0"/>
              <w:autoSpaceDE w:val="0"/>
              <w:autoSpaceDN w:val="0"/>
              <w:adjustRightInd w:val="0"/>
              <w:rPr>
                <w:rFonts w:ascii="Arial" w:hAnsi="Arial" w:cs="Arial"/>
                <w:sz w:val="20"/>
                <w:szCs w:val="20"/>
              </w:rPr>
            </w:pPr>
          </w:p>
        </w:tc>
        <w:tc>
          <w:tcPr>
            <w:tcW w:w="1768" w:type="dxa"/>
            <w:tcBorders>
              <w:top w:val="single" w:sz="12" w:space="0" w:color="auto"/>
              <w:left w:val="single" w:sz="12" w:space="0" w:color="auto"/>
              <w:bottom w:val="single" w:sz="12" w:space="0" w:color="auto"/>
              <w:right w:val="single" w:sz="12" w:space="0" w:color="auto"/>
            </w:tcBorders>
          </w:tcPr>
          <w:p w14:paraId="61DBAE75" w14:textId="77777777" w:rsidR="00381DDB" w:rsidRDefault="00381DDB">
            <w:pPr>
              <w:widowControl w:val="0"/>
              <w:autoSpaceDE w:val="0"/>
              <w:autoSpaceDN w:val="0"/>
              <w:adjustRightInd w:val="0"/>
              <w:rPr>
                <w:rFonts w:ascii="Arial" w:hAnsi="Arial" w:cs="Arial"/>
                <w:sz w:val="20"/>
                <w:szCs w:val="20"/>
              </w:rPr>
            </w:pPr>
          </w:p>
        </w:tc>
        <w:tc>
          <w:tcPr>
            <w:tcW w:w="1652" w:type="dxa"/>
            <w:tcBorders>
              <w:top w:val="single" w:sz="12" w:space="0" w:color="auto"/>
              <w:left w:val="single" w:sz="12" w:space="0" w:color="auto"/>
              <w:bottom w:val="single" w:sz="12" w:space="0" w:color="auto"/>
              <w:right w:val="single" w:sz="12" w:space="0" w:color="auto"/>
            </w:tcBorders>
          </w:tcPr>
          <w:p w14:paraId="43C0A6BB" w14:textId="77777777" w:rsidR="00381DDB" w:rsidRDefault="00381DDB">
            <w:pPr>
              <w:widowControl w:val="0"/>
              <w:autoSpaceDE w:val="0"/>
              <w:autoSpaceDN w:val="0"/>
              <w:adjustRightInd w:val="0"/>
              <w:rPr>
                <w:rFonts w:ascii="Arial" w:hAnsi="Arial" w:cs="Arial"/>
                <w:sz w:val="20"/>
                <w:szCs w:val="20"/>
              </w:rPr>
            </w:pPr>
          </w:p>
        </w:tc>
        <w:tc>
          <w:tcPr>
            <w:tcW w:w="1823" w:type="dxa"/>
            <w:tcBorders>
              <w:top w:val="single" w:sz="12" w:space="0" w:color="auto"/>
              <w:left w:val="single" w:sz="12" w:space="0" w:color="auto"/>
              <w:bottom w:val="single" w:sz="12" w:space="0" w:color="auto"/>
              <w:right w:val="single" w:sz="12" w:space="0" w:color="auto"/>
            </w:tcBorders>
          </w:tcPr>
          <w:p w14:paraId="50C920CF" w14:textId="77777777" w:rsidR="00381DDB" w:rsidRDefault="00381DDB">
            <w:pPr>
              <w:widowControl w:val="0"/>
              <w:autoSpaceDE w:val="0"/>
              <w:autoSpaceDN w:val="0"/>
              <w:adjustRightInd w:val="0"/>
              <w:rPr>
                <w:rFonts w:ascii="Arial" w:hAnsi="Arial" w:cs="Arial"/>
                <w:sz w:val="20"/>
                <w:szCs w:val="20"/>
              </w:rPr>
            </w:pPr>
          </w:p>
        </w:tc>
        <w:tc>
          <w:tcPr>
            <w:tcW w:w="2160" w:type="dxa"/>
            <w:tcBorders>
              <w:top w:val="single" w:sz="12" w:space="0" w:color="auto"/>
              <w:left w:val="single" w:sz="12" w:space="0" w:color="auto"/>
              <w:bottom w:val="single" w:sz="12" w:space="0" w:color="auto"/>
              <w:right w:val="single" w:sz="12" w:space="0" w:color="auto"/>
            </w:tcBorders>
          </w:tcPr>
          <w:p w14:paraId="4EFC8CF9" w14:textId="77777777" w:rsidR="00381DDB" w:rsidRDefault="00381DDB">
            <w:pPr>
              <w:widowControl w:val="0"/>
              <w:autoSpaceDE w:val="0"/>
              <w:autoSpaceDN w:val="0"/>
              <w:adjustRightInd w:val="0"/>
              <w:rPr>
                <w:rFonts w:ascii="Arial" w:hAnsi="Arial" w:cs="Arial"/>
                <w:sz w:val="20"/>
                <w:szCs w:val="20"/>
              </w:rPr>
            </w:pPr>
          </w:p>
        </w:tc>
        <w:tc>
          <w:tcPr>
            <w:tcW w:w="1501" w:type="dxa"/>
            <w:tcBorders>
              <w:top w:val="single" w:sz="12" w:space="0" w:color="auto"/>
              <w:left w:val="single" w:sz="12" w:space="0" w:color="auto"/>
              <w:bottom w:val="single" w:sz="12" w:space="0" w:color="auto"/>
              <w:right w:val="single" w:sz="12" w:space="0" w:color="auto"/>
            </w:tcBorders>
          </w:tcPr>
          <w:p w14:paraId="49B91C40" w14:textId="77777777" w:rsidR="00381DDB" w:rsidRDefault="00381DDB">
            <w:pPr>
              <w:widowControl w:val="0"/>
              <w:autoSpaceDE w:val="0"/>
              <w:autoSpaceDN w:val="0"/>
              <w:adjustRightInd w:val="0"/>
              <w:rPr>
                <w:rFonts w:ascii="Arial" w:hAnsi="Arial" w:cs="Arial"/>
                <w:sz w:val="20"/>
                <w:szCs w:val="20"/>
              </w:rPr>
            </w:pPr>
          </w:p>
        </w:tc>
      </w:tr>
      <w:tr w:rsidR="00381DDB" w14:paraId="51FCA108" w14:textId="77777777">
        <w:tc>
          <w:tcPr>
            <w:tcW w:w="1283" w:type="dxa"/>
            <w:tcBorders>
              <w:top w:val="single" w:sz="12" w:space="0" w:color="auto"/>
              <w:left w:val="single" w:sz="12" w:space="0" w:color="auto"/>
              <w:bottom w:val="single" w:sz="12" w:space="0" w:color="auto"/>
              <w:right w:val="single" w:sz="12" w:space="0" w:color="auto"/>
            </w:tcBorders>
          </w:tcPr>
          <w:p w14:paraId="370BCC83"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4.</w:t>
            </w:r>
            <w:r>
              <w:rPr>
                <w:rFonts w:ascii="Arial CYR" w:hAnsi="Arial CYR" w:cs="Arial CYR"/>
                <w:sz w:val="20"/>
                <w:szCs w:val="20"/>
              </w:rPr>
              <w:t xml:space="preserve">Азотно-углекислые </w:t>
            </w:r>
          </w:p>
        </w:tc>
        <w:tc>
          <w:tcPr>
            <w:tcW w:w="1980" w:type="dxa"/>
            <w:tcBorders>
              <w:top w:val="single" w:sz="12" w:space="0" w:color="auto"/>
              <w:left w:val="single" w:sz="12" w:space="0" w:color="auto"/>
              <w:bottom w:val="single" w:sz="12" w:space="0" w:color="auto"/>
              <w:right w:val="single" w:sz="12" w:space="0" w:color="auto"/>
            </w:tcBorders>
          </w:tcPr>
          <w:p w14:paraId="5AB1867E" w14:textId="77777777" w:rsidR="00381DDB" w:rsidRDefault="00381DDB">
            <w:pPr>
              <w:widowControl w:val="0"/>
              <w:autoSpaceDE w:val="0"/>
              <w:autoSpaceDN w:val="0"/>
              <w:adjustRightInd w:val="0"/>
              <w:rPr>
                <w:rFonts w:ascii="Arial" w:hAnsi="Arial" w:cs="Arial"/>
                <w:sz w:val="20"/>
                <w:szCs w:val="20"/>
              </w:rPr>
            </w:pPr>
          </w:p>
        </w:tc>
        <w:tc>
          <w:tcPr>
            <w:tcW w:w="1620" w:type="dxa"/>
            <w:tcBorders>
              <w:top w:val="single" w:sz="12" w:space="0" w:color="auto"/>
              <w:left w:val="single" w:sz="12" w:space="0" w:color="auto"/>
              <w:bottom w:val="single" w:sz="12" w:space="0" w:color="auto"/>
              <w:right w:val="single" w:sz="12" w:space="0" w:color="auto"/>
            </w:tcBorders>
          </w:tcPr>
          <w:p w14:paraId="678185DC"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4.</w:t>
            </w:r>
            <w:r>
              <w:rPr>
                <w:rFonts w:ascii="Arial CYR" w:hAnsi="Arial CYR" w:cs="Arial CYR"/>
                <w:sz w:val="20"/>
                <w:szCs w:val="20"/>
              </w:rPr>
              <w:t xml:space="preserve">Сульфатно-хлоридные </w:t>
            </w:r>
          </w:p>
        </w:tc>
        <w:tc>
          <w:tcPr>
            <w:tcW w:w="1440" w:type="dxa"/>
            <w:tcBorders>
              <w:top w:val="single" w:sz="12" w:space="0" w:color="auto"/>
              <w:left w:val="single" w:sz="12" w:space="0" w:color="auto"/>
              <w:bottom w:val="single" w:sz="12" w:space="0" w:color="auto"/>
              <w:right w:val="single" w:sz="12" w:space="0" w:color="auto"/>
            </w:tcBorders>
          </w:tcPr>
          <w:p w14:paraId="6EF92CF3" w14:textId="77777777" w:rsidR="00381DDB" w:rsidRDefault="003712EA">
            <w:pPr>
              <w:widowControl w:val="0"/>
              <w:autoSpaceDE w:val="0"/>
              <w:autoSpaceDN w:val="0"/>
              <w:adjustRightInd w:val="0"/>
              <w:rPr>
                <w:rFonts w:ascii="Arial CYR" w:hAnsi="Arial CYR" w:cs="Arial CYR"/>
                <w:sz w:val="20"/>
                <w:szCs w:val="20"/>
              </w:rPr>
            </w:pPr>
            <w:r>
              <w:rPr>
                <w:rFonts w:ascii="Arial" w:hAnsi="Arial" w:cs="Arial"/>
                <w:sz w:val="20"/>
                <w:szCs w:val="20"/>
              </w:rPr>
              <w:t>4.</w:t>
            </w:r>
            <w:r>
              <w:rPr>
                <w:rFonts w:ascii="Arial CYR" w:hAnsi="Arial CYR" w:cs="Arial CYR"/>
                <w:sz w:val="20"/>
                <w:szCs w:val="20"/>
              </w:rPr>
              <w:t>Кальциево-натриевые</w:t>
            </w:r>
          </w:p>
        </w:tc>
        <w:tc>
          <w:tcPr>
            <w:tcW w:w="1768" w:type="dxa"/>
            <w:tcBorders>
              <w:top w:val="single" w:sz="12" w:space="0" w:color="auto"/>
              <w:left w:val="single" w:sz="12" w:space="0" w:color="auto"/>
              <w:bottom w:val="single" w:sz="12" w:space="0" w:color="auto"/>
              <w:right w:val="single" w:sz="12" w:space="0" w:color="auto"/>
            </w:tcBorders>
          </w:tcPr>
          <w:p w14:paraId="683E52EC"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4.</w:t>
            </w:r>
            <w:r>
              <w:rPr>
                <w:rFonts w:ascii="Arial CYR" w:hAnsi="Arial CYR" w:cs="Arial CYR"/>
                <w:sz w:val="20"/>
                <w:szCs w:val="20"/>
              </w:rPr>
              <w:t xml:space="preserve">Рассольные (более 50 г/л) </w:t>
            </w:r>
          </w:p>
        </w:tc>
        <w:tc>
          <w:tcPr>
            <w:tcW w:w="1652" w:type="dxa"/>
            <w:tcBorders>
              <w:top w:val="single" w:sz="12" w:space="0" w:color="auto"/>
              <w:left w:val="single" w:sz="12" w:space="0" w:color="auto"/>
              <w:bottom w:val="single" w:sz="12" w:space="0" w:color="auto"/>
              <w:right w:val="single" w:sz="12" w:space="0" w:color="auto"/>
            </w:tcBorders>
          </w:tcPr>
          <w:p w14:paraId="3A001043" w14:textId="77777777" w:rsidR="00381DDB" w:rsidRDefault="003712EA">
            <w:pPr>
              <w:widowControl w:val="0"/>
              <w:autoSpaceDE w:val="0"/>
              <w:autoSpaceDN w:val="0"/>
              <w:adjustRightInd w:val="0"/>
              <w:rPr>
                <w:rFonts w:ascii="Arial CYR" w:hAnsi="Arial CYR" w:cs="Arial CYR"/>
                <w:sz w:val="20"/>
                <w:szCs w:val="20"/>
              </w:rPr>
            </w:pPr>
            <w:r>
              <w:rPr>
                <w:rFonts w:ascii="Arial" w:hAnsi="Arial" w:cs="Arial"/>
                <w:sz w:val="20"/>
                <w:szCs w:val="20"/>
              </w:rPr>
              <w:t>4.</w:t>
            </w:r>
            <w:r>
              <w:rPr>
                <w:rFonts w:ascii="Arial CYR" w:hAnsi="Arial CYR" w:cs="Arial CYR"/>
                <w:sz w:val="20"/>
                <w:szCs w:val="20"/>
              </w:rPr>
              <w:t xml:space="preserve">Железистые </w:t>
            </w:r>
            <w:r>
              <w:rPr>
                <w:rFonts w:ascii="Arial" w:hAnsi="Arial" w:cs="Arial"/>
                <w:sz w:val="20"/>
                <w:szCs w:val="20"/>
              </w:rPr>
              <w:t>(</w:t>
            </w:r>
            <w:r>
              <w:rPr>
                <w:rFonts w:ascii="Arial" w:hAnsi="Arial" w:cs="Arial"/>
                <w:sz w:val="20"/>
                <w:szCs w:val="20"/>
                <w:lang w:val="en-US"/>
              </w:rPr>
              <w:t>Fe</w:t>
            </w:r>
            <w:r>
              <w:rPr>
                <w:rFonts w:ascii="Arial" w:hAnsi="Arial" w:cs="Arial"/>
                <w:sz w:val="20"/>
                <w:szCs w:val="20"/>
              </w:rPr>
              <w:t xml:space="preserve"> &gt; 10 </w:t>
            </w:r>
            <w:r>
              <w:rPr>
                <w:rFonts w:ascii="Arial CYR" w:hAnsi="Arial CYR" w:cs="Arial CYR"/>
                <w:sz w:val="20"/>
                <w:szCs w:val="20"/>
              </w:rPr>
              <w:t>мг/л)</w:t>
            </w:r>
          </w:p>
        </w:tc>
        <w:tc>
          <w:tcPr>
            <w:tcW w:w="1823" w:type="dxa"/>
            <w:tcBorders>
              <w:top w:val="single" w:sz="12" w:space="0" w:color="auto"/>
              <w:left w:val="single" w:sz="12" w:space="0" w:color="auto"/>
              <w:bottom w:val="single" w:sz="12" w:space="0" w:color="auto"/>
              <w:right w:val="single" w:sz="12" w:space="0" w:color="auto"/>
            </w:tcBorders>
          </w:tcPr>
          <w:p w14:paraId="2F7C9CBA"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4.</w:t>
            </w:r>
            <w:r>
              <w:rPr>
                <w:rFonts w:ascii="Arial CYR" w:hAnsi="Arial CYR" w:cs="Arial CYR"/>
                <w:sz w:val="20"/>
                <w:szCs w:val="20"/>
              </w:rPr>
              <w:t xml:space="preserve">Тёплые </w:t>
            </w:r>
            <w:r>
              <w:rPr>
                <w:rFonts w:ascii="Arial" w:hAnsi="Arial" w:cs="Arial"/>
                <w:sz w:val="20"/>
                <w:szCs w:val="20"/>
              </w:rPr>
              <w:t>(</w:t>
            </w:r>
            <w:r>
              <w:rPr>
                <w:rFonts w:ascii="Arial CYR" w:hAnsi="Arial CYR" w:cs="Arial CYR"/>
                <w:sz w:val="20"/>
                <w:szCs w:val="20"/>
              </w:rPr>
              <w:t>от 20 до 37</w:t>
            </w:r>
            <w:r>
              <w:rPr>
                <w:rFonts w:ascii="Symbol" w:hAnsi="Symbol" w:cs="Symbol"/>
                <w:sz w:val="20"/>
                <w:szCs w:val="20"/>
              </w:rPr>
              <w:t>°</w:t>
            </w:r>
            <w:r>
              <w:rPr>
                <w:rFonts w:ascii="Arial" w:hAnsi="Arial" w:cs="Arial"/>
                <w:sz w:val="20"/>
                <w:szCs w:val="20"/>
              </w:rPr>
              <w:t>)</w:t>
            </w:r>
          </w:p>
        </w:tc>
        <w:tc>
          <w:tcPr>
            <w:tcW w:w="2160" w:type="dxa"/>
            <w:tcBorders>
              <w:top w:val="single" w:sz="12" w:space="0" w:color="auto"/>
              <w:left w:val="single" w:sz="12" w:space="0" w:color="auto"/>
              <w:bottom w:val="single" w:sz="12" w:space="0" w:color="auto"/>
              <w:right w:val="single" w:sz="12" w:space="0" w:color="auto"/>
            </w:tcBorders>
          </w:tcPr>
          <w:p w14:paraId="5A9562DC" w14:textId="77777777" w:rsidR="00381DDB" w:rsidRDefault="00381DDB">
            <w:pPr>
              <w:widowControl w:val="0"/>
              <w:autoSpaceDE w:val="0"/>
              <w:autoSpaceDN w:val="0"/>
              <w:adjustRightInd w:val="0"/>
              <w:rPr>
                <w:rFonts w:ascii="Arial" w:hAnsi="Arial" w:cs="Arial"/>
                <w:sz w:val="20"/>
                <w:szCs w:val="20"/>
              </w:rPr>
            </w:pPr>
          </w:p>
        </w:tc>
        <w:tc>
          <w:tcPr>
            <w:tcW w:w="1501" w:type="dxa"/>
            <w:tcBorders>
              <w:top w:val="single" w:sz="12" w:space="0" w:color="auto"/>
              <w:left w:val="single" w:sz="12" w:space="0" w:color="auto"/>
              <w:bottom w:val="single" w:sz="12" w:space="0" w:color="auto"/>
              <w:right w:val="single" w:sz="12" w:space="0" w:color="auto"/>
            </w:tcBorders>
          </w:tcPr>
          <w:p w14:paraId="2FFE8337"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4.</w:t>
            </w:r>
            <w:r>
              <w:rPr>
                <w:rFonts w:ascii="Arial CYR" w:hAnsi="Arial CYR" w:cs="Arial CYR"/>
                <w:sz w:val="20"/>
                <w:szCs w:val="20"/>
              </w:rPr>
              <w:t xml:space="preserve">Нейтраль- ные </w:t>
            </w:r>
            <w:r>
              <w:rPr>
                <w:rFonts w:ascii="Arial" w:hAnsi="Arial" w:cs="Arial"/>
                <w:sz w:val="20"/>
                <w:szCs w:val="20"/>
              </w:rPr>
              <w:t xml:space="preserve"> (</w:t>
            </w:r>
            <w:r>
              <w:rPr>
                <w:rFonts w:ascii="Arial" w:hAnsi="Arial" w:cs="Arial"/>
                <w:sz w:val="20"/>
                <w:szCs w:val="20"/>
                <w:lang w:val="en-US"/>
              </w:rPr>
              <w:t>pH</w:t>
            </w:r>
            <w:r>
              <w:rPr>
                <w:rFonts w:ascii="Arial" w:hAnsi="Arial" w:cs="Arial"/>
                <w:sz w:val="20"/>
                <w:szCs w:val="20"/>
              </w:rPr>
              <w:t>=6,8-7,2)</w:t>
            </w:r>
          </w:p>
        </w:tc>
      </w:tr>
      <w:tr w:rsidR="00381DDB" w14:paraId="184CAC0B" w14:textId="77777777">
        <w:tc>
          <w:tcPr>
            <w:tcW w:w="1283" w:type="dxa"/>
            <w:tcBorders>
              <w:top w:val="single" w:sz="12" w:space="0" w:color="auto"/>
              <w:left w:val="single" w:sz="12" w:space="0" w:color="auto"/>
              <w:bottom w:val="single" w:sz="12" w:space="0" w:color="auto"/>
              <w:right w:val="single" w:sz="12" w:space="0" w:color="auto"/>
            </w:tcBorders>
          </w:tcPr>
          <w:p w14:paraId="63BA97C1" w14:textId="77777777" w:rsidR="00381DDB" w:rsidRDefault="00381DDB">
            <w:pPr>
              <w:widowControl w:val="0"/>
              <w:autoSpaceDE w:val="0"/>
              <w:autoSpaceDN w:val="0"/>
              <w:adjustRightInd w:val="0"/>
              <w:rPr>
                <w:rFonts w:ascii="Arial" w:hAnsi="Arial" w:cs="Arial"/>
                <w:sz w:val="20"/>
                <w:szCs w:val="20"/>
              </w:rPr>
            </w:pPr>
          </w:p>
        </w:tc>
        <w:tc>
          <w:tcPr>
            <w:tcW w:w="1980" w:type="dxa"/>
            <w:tcBorders>
              <w:top w:val="single" w:sz="12" w:space="0" w:color="auto"/>
              <w:left w:val="single" w:sz="12" w:space="0" w:color="auto"/>
              <w:bottom w:val="single" w:sz="12" w:space="0" w:color="auto"/>
              <w:right w:val="single" w:sz="12" w:space="0" w:color="auto"/>
            </w:tcBorders>
          </w:tcPr>
          <w:p w14:paraId="085CBDE1" w14:textId="77777777" w:rsidR="00381DDB" w:rsidRDefault="00381DDB">
            <w:pPr>
              <w:widowControl w:val="0"/>
              <w:autoSpaceDE w:val="0"/>
              <w:autoSpaceDN w:val="0"/>
              <w:adjustRightInd w:val="0"/>
              <w:rPr>
                <w:rFonts w:ascii="Arial" w:hAnsi="Arial" w:cs="Arial"/>
                <w:sz w:val="20"/>
                <w:szCs w:val="20"/>
              </w:rPr>
            </w:pPr>
          </w:p>
        </w:tc>
        <w:tc>
          <w:tcPr>
            <w:tcW w:w="1620" w:type="dxa"/>
            <w:tcBorders>
              <w:top w:val="single" w:sz="12" w:space="0" w:color="auto"/>
              <w:left w:val="single" w:sz="12" w:space="0" w:color="auto"/>
              <w:bottom w:val="single" w:sz="12" w:space="0" w:color="auto"/>
              <w:right w:val="single" w:sz="12" w:space="0" w:color="auto"/>
            </w:tcBorders>
          </w:tcPr>
          <w:p w14:paraId="68ED1064" w14:textId="77777777" w:rsidR="00381DDB" w:rsidRDefault="00381DDB">
            <w:pPr>
              <w:widowControl w:val="0"/>
              <w:autoSpaceDE w:val="0"/>
              <w:autoSpaceDN w:val="0"/>
              <w:adjustRightInd w:val="0"/>
              <w:rPr>
                <w:rFonts w:ascii="Arial" w:hAnsi="Arial" w:cs="Arial"/>
                <w:sz w:val="20"/>
                <w:szCs w:val="20"/>
              </w:rPr>
            </w:pPr>
          </w:p>
        </w:tc>
        <w:tc>
          <w:tcPr>
            <w:tcW w:w="1440" w:type="dxa"/>
            <w:tcBorders>
              <w:top w:val="single" w:sz="12" w:space="0" w:color="auto"/>
              <w:left w:val="single" w:sz="12" w:space="0" w:color="auto"/>
              <w:bottom w:val="single" w:sz="12" w:space="0" w:color="auto"/>
              <w:right w:val="single" w:sz="12" w:space="0" w:color="auto"/>
            </w:tcBorders>
          </w:tcPr>
          <w:p w14:paraId="699ABA3F" w14:textId="77777777" w:rsidR="00381DDB" w:rsidRDefault="00381DDB">
            <w:pPr>
              <w:widowControl w:val="0"/>
              <w:autoSpaceDE w:val="0"/>
              <w:autoSpaceDN w:val="0"/>
              <w:adjustRightInd w:val="0"/>
              <w:rPr>
                <w:rFonts w:ascii="Arial" w:hAnsi="Arial" w:cs="Arial"/>
                <w:sz w:val="20"/>
                <w:szCs w:val="20"/>
              </w:rPr>
            </w:pPr>
          </w:p>
        </w:tc>
        <w:tc>
          <w:tcPr>
            <w:tcW w:w="1768" w:type="dxa"/>
            <w:tcBorders>
              <w:top w:val="single" w:sz="12" w:space="0" w:color="auto"/>
              <w:left w:val="single" w:sz="12" w:space="0" w:color="auto"/>
              <w:bottom w:val="single" w:sz="12" w:space="0" w:color="auto"/>
              <w:right w:val="single" w:sz="12" w:space="0" w:color="auto"/>
            </w:tcBorders>
          </w:tcPr>
          <w:p w14:paraId="6FE7EEA2" w14:textId="77777777" w:rsidR="00381DDB" w:rsidRDefault="00381DDB">
            <w:pPr>
              <w:widowControl w:val="0"/>
              <w:autoSpaceDE w:val="0"/>
              <w:autoSpaceDN w:val="0"/>
              <w:adjustRightInd w:val="0"/>
              <w:rPr>
                <w:rFonts w:ascii="Arial" w:hAnsi="Arial" w:cs="Arial"/>
                <w:sz w:val="20"/>
                <w:szCs w:val="20"/>
              </w:rPr>
            </w:pPr>
          </w:p>
        </w:tc>
        <w:tc>
          <w:tcPr>
            <w:tcW w:w="1652" w:type="dxa"/>
            <w:tcBorders>
              <w:top w:val="single" w:sz="12" w:space="0" w:color="auto"/>
              <w:left w:val="single" w:sz="12" w:space="0" w:color="auto"/>
              <w:bottom w:val="single" w:sz="12" w:space="0" w:color="auto"/>
              <w:right w:val="single" w:sz="12" w:space="0" w:color="auto"/>
            </w:tcBorders>
          </w:tcPr>
          <w:p w14:paraId="2FBA9E56" w14:textId="77777777" w:rsidR="00381DDB" w:rsidRDefault="00381DDB">
            <w:pPr>
              <w:widowControl w:val="0"/>
              <w:autoSpaceDE w:val="0"/>
              <w:autoSpaceDN w:val="0"/>
              <w:adjustRightInd w:val="0"/>
              <w:rPr>
                <w:rFonts w:ascii="Arial" w:hAnsi="Arial" w:cs="Arial"/>
                <w:sz w:val="20"/>
                <w:szCs w:val="20"/>
              </w:rPr>
            </w:pPr>
          </w:p>
        </w:tc>
        <w:tc>
          <w:tcPr>
            <w:tcW w:w="1823" w:type="dxa"/>
            <w:tcBorders>
              <w:top w:val="single" w:sz="12" w:space="0" w:color="auto"/>
              <w:left w:val="single" w:sz="12" w:space="0" w:color="auto"/>
              <w:bottom w:val="single" w:sz="12" w:space="0" w:color="auto"/>
              <w:right w:val="single" w:sz="12" w:space="0" w:color="auto"/>
            </w:tcBorders>
          </w:tcPr>
          <w:p w14:paraId="255908DC" w14:textId="77777777" w:rsidR="00381DDB" w:rsidRDefault="00381DDB">
            <w:pPr>
              <w:widowControl w:val="0"/>
              <w:autoSpaceDE w:val="0"/>
              <w:autoSpaceDN w:val="0"/>
              <w:adjustRightInd w:val="0"/>
              <w:rPr>
                <w:rFonts w:ascii="Arial" w:hAnsi="Arial" w:cs="Arial"/>
                <w:sz w:val="20"/>
                <w:szCs w:val="20"/>
              </w:rPr>
            </w:pPr>
          </w:p>
        </w:tc>
        <w:tc>
          <w:tcPr>
            <w:tcW w:w="2160" w:type="dxa"/>
            <w:tcBorders>
              <w:top w:val="single" w:sz="12" w:space="0" w:color="auto"/>
              <w:left w:val="single" w:sz="12" w:space="0" w:color="auto"/>
              <w:bottom w:val="single" w:sz="12" w:space="0" w:color="auto"/>
              <w:right w:val="single" w:sz="12" w:space="0" w:color="auto"/>
            </w:tcBorders>
          </w:tcPr>
          <w:p w14:paraId="63B59B90" w14:textId="77777777" w:rsidR="00381DDB" w:rsidRDefault="00381DDB">
            <w:pPr>
              <w:widowControl w:val="0"/>
              <w:autoSpaceDE w:val="0"/>
              <w:autoSpaceDN w:val="0"/>
              <w:adjustRightInd w:val="0"/>
              <w:rPr>
                <w:rFonts w:ascii="Arial" w:hAnsi="Arial" w:cs="Arial"/>
                <w:sz w:val="20"/>
                <w:szCs w:val="20"/>
              </w:rPr>
            </w:pPr>
          </w:p>
        </w:tc>
        <w:tc>
          <w:tcPr>
            <w:tcW w:w="1501" w:type="dxa"/>
            <w:tcBorders>
              <w:top w:val="single" w:sz="12" w:space="0" w:color="auto"/>
              <w:left w:val="single" w:sz="12" w:space="0" w:color="auto"/>
              <w:bottom w:val="single" w:sz="12" w:space="0" w:color="auto"/>
              <w:right w:val="single" w:sz="12" w:space="0" w:color="auto"/>
            </w:tcBorders>
          </w:tcPr>
          <w:p w14:paraId="491DD3A1" w14:textId="77777777" w:rsidR="00381DDB" w:rsidRDefault="00381DDB">
            <w:pPr>
              <w:widowControl w:val="0"/>
              <w:autoSpaceDE w:val="0"/>
              <w:autoSpaceDN w:val="0"/>
              <w:adjustRightInd w:val="0"/>
              <w:rPr>
                <w:rFonts w:ascii="Arial" w:hAnsi="Arial" w:cs="Arial"/>
                <w:sz w:val="20"/>
                <w:szCs w:val="20"/>
              </w:rPr>
            </w:pPr>
          </w:p>
        </w:tc>
      </w:tr>
      <w:tr w:rsidR="00381DDB" w14:paraId="5D8F6FFB" w14:textId="77777777">
        <w:tc>
          <w:tcPr>
            <w:tcW w:w="1283" w:type="dxa"/>
            <w:tcBorders>
              <w:top w:val="single" w:sz="12" w:space="0" w:color="auto"/>
              <w:left w:val="single" w:sz="12" w:space="0" w:color="auto"/>
              <w:bottom w:val="single" w:sz="12" w:space="0" w:color="auto"/>
              <w:right w:val="single" w:sz="12" w:space="0" w:color="auto"/>
            </w:tcBorders>
          </w:tcPr>
          <w:p w14:paraId="5070F2B1"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5.</w:t>
            </w:r>
            <w:r>
              <w:rPr>
                <w:rFonts w:ascii="Arial CYR" w:hAnsi="Arial CYR" w:cs="Arial CYR"/>
                <w:sz w:val="20"/>
                <w:szCs w:val="20"/>
              </w:rPr>
              <w:t xml:space="preserve">Азотно-метановые </w:t>
            </w:r>
          </w:p>
        </w:tc>
        <w:tc>
          <w:tcPr>
            <w:tcW w:w="1980" w:type="dxa"/>
            <w:tcBorders>
              <w:top w:val="single" w:sz="12" w:space="0" w:color="auto"/>
              <w:left w:val="single" w:sz="12" w:space="0" w:color="auto"/>
              <w:bottom w:val="single" w:sz="12" w:space="0" w:color="auto"/>
              <w:right w:val="single" w:sz="12" w:space="0" w:color="auto"/>
            </w:tcBorders>
          </w:tcPr>
          <w:p w14:paraId="181B6232" w14:textId="77777777" w:rsidR="00381DDB" w:rsidRDefault="00381DDB">
            <w:pPr>
              <w:widowControl w:val="0"/>
              <w:autoSpaceDE w:val="0"/>
              <w:autoSpaceDN w:val="0"/>
              <w:adjustRightInd w:val="0"/>
              <w:rPr>
                <w:rFonts w:ascii="Arial" w:hAnsi="Arial" w:cs="Arial"/>
                <w:sz w:val="20"/>
                <w:szCs w:val="20"/>
              </w:rPr>
            </w:pPr>
          </w:p>
        </w:tc>
        <w:tc>
          <w:tcPr>
            <w:tcW w:w="1620" w:type="dxa"/>
            <w:tcBorders>
              <w:top w:val="single" w:sz="12" w:space="0" w:color="auto"/>
              <w:left w:val="single" w:sz="12" w:space="0" w:color="auto"/>
              <w:bottom w:val="single" w:sz="12" w:space="0" w:color="auto"/>
              <w:right w:val="single" w:sz="12" w:space="0" w:color="auto"/>
            </w:tcBorders>
          </w:tcPr>
          <w:p w14:paraId="6D92CF3C"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5.</w:t>
            </w:r>
            <w:r>
              <w:rPr>
                <w:rFonts w:ascii="Arial CYR" w:hAnsi="Arial CYR" w:cs="Arial CYR"/>
                <w:sz w:val="20"/>
                <w:szCs w:val="20"/>
              </w:rPr>
              <w:t xml:space="preserve">Гидрокарбо-натно-хлоридные и др. </w:t>
            </w:r>
          </w:p>
        </w:tc>
        <w:tc>
          <w:tcPr>
            <w:tcW w:w="1440" w:type="dxa"/>
            <w:tcBorders>
              <w:top w:val="single" w:sz="12" w:space="0" w:color="auto"/>
              <w:left w:val="single" w:sz="12" w:space="0" w:color="auto"/>
              <w:bottom w:val="single" w:sz="12" w:space="0" w:color="auto"/>
              <w:right w:val="single" w:sz="12" w:space="0" w:color="auto"/>
            </w:tcBorders>
          </w:tcPr>
          <w:p w14:paraId="34251E0B" w14:textId="77777777" w:rsidR="00381DDB" w:rsidRDefault="00381DDB">
            <w:pPr>
              <w:widowControl w:val="0"/>
              <w:autoSpaceDE w:val="0"/>
              <w:autoSpaceDN w:val="0"/>
              <w:adjustRightInd w:val="0"/>
              <w:rPr>
                <w:rFonts w:ascii="Arial" w:hAnsi="Arial" w:cs="Arial"/>
                <w:sz w:val="20"/>
                <w:szCs w:val="20"/>
              </w:rPr>
            </w:pPr>
          </w:p>
        </w:tc>
        <w:tc>
          <w:tcPr>
            <w:tcW w:w="1768" w:type="dxa"/>
            <w:tcBorders>
              <w:top w:val="single" w:sz="12" w:space="0" w:color="auto"/>
              <w:left w:val="single" w:sz="12" w:space="0" w:color="auto"/>
              <w:bottom w:val="single" w:sz="12" w:space="0" w:color="auto"/>
              <w:right w:val="single" w:sz="12" w:space="0" w:color="auto"/>
            </w:tcBorders>
          </w:tcPr>
          <w:p w14:paraId="0EFE5F8B"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5.</w:t>
            </w:r>
            <w:r>
              <w:rPr>
                <w:rFonts w:ascii="Arial CYR" w:hAnsi="Arial CYR" w:cs="Arial CYR"/>
                <w:sz w:val="20"/>
                <w:szCs w:val="20"/>
              </w:rPr>
              <w:t xml:space="preserve">Крепкие рассолы (более 150 г/л) </w:t>
            </w:r>
          </w:p>
        </w:tc>
        <w:tc>
          <w:tcPr>
            <w:tcW w:w="1652" w:type="dxa"/>
            <w:tcBorders>
              <w:top w:val="single" w:sz="12" w:space="0" w:color="auto"/>
              <w:left w:val="single" w:sz="12" w:space="0" w:color="auto"/>
              <w:bottom w:val="single" w:sz="12" w:space="0" w:color="auto"/>
              <w:right w:val="single" w:sz="12" w:space="0" w:color="auto"/>
            </w:tcBorders>
          </w:tcPr>
          <w:p w14:paraId="4FA41F47" w14:textId="77777777" w:rsidR="00381DDB" w:rsidRDefault="003712EA">
            <w:pPr>
              <w:widowControl w:val="0"/>
              <w:autoSpaceDE w:val="0"/>
              <w:autoSpaceDN w:val="0"/>
              <w:adjustRightInd w:val="0"/>
              <w:rPr>
                <w:rFonts w:ascii="Arial CYR" w:hAnsi="Arial CYR" w:cs="Arial CYR"/>
                <w:sz w:val="20"/>
                <w:szCs w:val="20"/>
              </w:rPr>
            </w:pPr>
            <w:r>
              <w:rPr>
                <w:rFonts w:ascii="Arial" w:hAnsi="Arial" w:cs="Arial"/>
                <w:sz w:val="20"/>
                <w:szCs w:val="20"/>
              </w:rPr>
              <w:t>5.</w:t>
            </w:r>
            <w:r>
              <w:rPr>
                <w:rFonts w:ascii="Arial CYR" w:hAnsi="Arial CYR" w:cs="Arial CYR"/>
                <w:sz w:val="20"/>
                <w:szCs w:val="20"/>
              </w:rPr>
              <w:t xml:space="preserve">Борные </w:t>
            </w:r>
            <w:r>
              <w:rPr>
                <w:rFonts w:ascii="Arial" w:hAnsi="Arial" w:cs="Arial"/>
                <w:sz w:val="20"/>
                <w:szCs w:val="20"/>
              </w:rPr>
              <w:t>(</w:t>
            </w:r>
            <w:r>
              <w:rPr>
                <w:rFonts w:ascii="Arial" w:hAnsi="Arial" w:cs="Arial"/>
                <w:sz w:val="20"/>
                <w:szCs w:val="20"/>
                <w:lang w:val="en-US"/>
              </w:rPr>
              <w:t>HBO</w:t>
            </w:r>
            <w:r>
              <w:rPr>
                <w:rFonts w:ascii="Arial" w:hAnsi="Arial" w:cs="Arial"/>
                <w:sz w:val="20"/>
                <w:szCs w:val="20"/>
                <w:vertAlign w:val="subscript"/>
              </w:rPr>
              <w:t xml:space="preserve">2 </w:t>
            </w:r>
            <w:r>
              <w:rPr>
                <w:rFonts w:ascii="Arial" w:hAnsi="Arial" w:cs="Arial"/>
                <w:sz w:val="20"/>
                <w:szCs w:val="20"/>
              </w:rPr>
              <w:t xml:space="preserve"> &gt; 50 </w:t>
            </w:r>
            <w:r>
              <w:rPr>
                <w:rFonts w:ascii="Arial CYR" w:hAnsi="Arial CYR" w:cs="Arial CYR"/>
                <w:sz w:val="20"/>
                <w:szCs w:val="20"/>
              </w:rPr>
              <w:t>мг/л)</w:t>
            </w:r>
          </w:p>
        </w:tc>
        <w:tc>
          <w:tcPr>
            <w:tcW w:w="1823" w:type="dxa"/>
            <w:tcBorders>
              <w:top w:val="single" w:sz="12" w:space="0" w:color="auto"/>
              <w:left w:val="single" w:sz="12" w:space="0" w:color="auto"/>
              <w:bottom w:val="single" w:sz="12" w:space="0" w:color="auto"/>
              <w:right w:val="single" w:sz="12" w:space="0" w:color="auto"/>
            </w:tcBorders>
          </w:tcPr>
          <w:p w14:paraId="6650C114"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5.</w:t>
            </w:r>
            <w:r>
              <w:rPr>
                <w:rFonts w:ascii="Arial CYR" w:hAnsi="Arial CYR" w:cs="Arial CYR"/>
                <w:sz w:val="20"/>
                <w:szCs w:val="20"/>
              </w:rPr>
              <w:t xml:space="preserve">Горячие - термальные </w:t>
            </w:r>
            <w:r>
              <w:rPr>
                <w:rFonts w:ascii="Arial" w:hAnsi="Arial" w:cs="Arial"/>
                <w:sz w:val="20"/>
                <w:szCs w:val="20"/>
              </w:rPr>
              <w:t>(</w:t>
            </w:r>
            <w:r>
              <w:rPr>
                <w:rFonts w:ascii="Arial CYR" w:hAnsi="Arial CYR" w:cs="Arial CYR"/>
                <w:sz w:val="20"/>
                <w:szCs w:val="20"/>
              </w:rPr>
              <w:t>от 37 до 42</w:t>
            </w:r>
            <w:r>
              <w:rPr>
                <w:rFonts w:ascii="Symbol" w:hAnsi="Symbol" w:cs="Symbol"/>
                <w:sz w:val="20"/>
                <w:szCs w:val="20"/>
              </w:rPr>
              <w:t>°</w:t>
            </w:r>
            <w:r>
              <w:rPr>
                <w:rFonts w:ascii="Arial" w:hAnsi="Arial" w:cs="Arial"/>
                <w:sz w:val="20"/>
                <w:szCs w:val="20"/>
              </w:rPr>
              <w:t>)</w:t>
            </w:r>
          </w:p>
        </w:tc>
        <w:tc>
          <w:tcPr>
            <w:tcW w:w="2160" w:type="dxa"/>
            <w:tcBorders>
              <w:top w:val="single" w:sz="12" w:space="0" w:color="auto"/>
              <w:left w:val="single" w:sz="12" w:space="0" w:color="auto"/>
              <w:bottom w:val="single" w:sz="12" w:space="0" w:color="auto"/>
              <w:right w:val="single" w:sz="12" w:space="0" w:color="auto"/>
            </w:tcBorders>
          </w:tcPr>
          <w:p w14:paraId="430C17BF" w14:textId="77777777" w:rsidR="00381DDB" w:rsidRDefault="00381DDB">
            <w:pPr>
              <w:widowControl w:val="0"/>
              <w:autoSpaceDE w:val="0"/>
              <w:autoSpaceDN w:val="0"/>
              <w:adjustRightInd w:val="0"/>
              <w:rPr>
                <w:rFonts w:ascii="Arial" w:hAnsi="Arial" w:cs="Arial"/>
                <w:sz w:val="20"/>
                <w:szCs w:val="20"/>
              </w:rPr>
            </w:pPr>
          </w:p>
        </w:tc>
        <w:tc>
          <w:tcPr>
            <w:tcW w:w="1501" w:type="dxa"/>
            <w:tcBorders>
              <w:top w:val="single" w:sz="12" w:space="0" w:color="auto"/>
              <w:left w:val="single" w:sz="12" w:space="0" w:color="auto"/>
              <w:bottom w:val="single" w:sz="12" w:space="0" w:color="auto"/>
              <w:right w:val="single" w:sz="12" w:space="0" w:color="auto"/>
            </w:tcBorders>
          </w:tcPr>
          <w:p w14:paraId="41F7E16A"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5.</w:t>
            </w:r>
            <w:r>
              <w:rPr>
                <w:rFonts w:ascii="Arial CYR" w:hAnsi="Arial CYR" w:cs="Arial CYR"/>
                <w:sz w:val="20"/>
                <w:szCs w:val="20"/>
              </w:rPr>
              <w:t>Слабо-щелочные (</w:t>
            </w:r>
            <w:r>
              <w:rPr>
                <w:rFonts w:ascii="Arial" w:hAnsi="Arial" w:cs="Arial"/>
                <w:sz w:val="20"/>
                <w:szCs w:val="20"/>
                <w:lang w:val="en-US"/>
              </w:rPr>
              <w:t>pH</w:t>
            </w:r>
            <w:r>
              <w:rPr>
                <w:rFonts w:ascii="Arial" w:hAnsi="Arial" w:cs="Arial"/>
                <w:sz w:val="20"/>
                <w:szCs w:val="20"/>
              </w:rPr>
              <w:t>=7,2-8,5)</w:t>
            </w:r>
          </w:p>
        </w:tc>
      </w:tr>
      <w:tr w:rsidR="00381DDB" w14:paraId="74711592" w14:textId="77777777">
        <w:tc>
          <w:tcPr>
            <w:tcW w:w="1283" w:type="dxa"/>
            <w:tcBorders>
              <w:top w:val="single" w:sz="12" w:space="0" w:color="auto"/>
              <w:left w:val="single" w:sz="12" w:space="0" w:color="auto"/>
              <w:bottom w:val="single" w:sz="12" w:space="0" w:color="auto"/>
              <w:right w:val="single" w:sz="12" w:space="0" w:color="auto"/>
            </w:tcBorders>
          </w:tcPr>
          <w:p w14:paraId="62C7CD2B" w14:textId="77777777" w:rsidR="00381DDB" w:rsidRDefault="00381DDB">
            <w:pPr>
              <w:widowControl w:val="0"/>
              <w:autoSpaceDE w:val="0"/>
              <w:autoSpaceDN w:val="0"/>
              <w:adjustRightInd w:val="0"/>
              <w:rPr>
                <w:rFonts w:ascii="Arial" w:hAnsi="Arial" w:cs="Arial"/>
                <w:sz w:val="20"/>
                <w:szCs w:val="20"/>
              </w:rPr>
            </w:pPr>
          </w:p>
        </w:tc>
        <w:tc>
          <w:tcPr>
            <w:tcW w:w="1980" w:type="dxa"/>
            <w:tcBorders>
              <w:top w:val="single" w:sz="12" w:space="0" w:color="auto"/>
              <w:left w:val="single" w:sz="12" w:space="0" w:color="auto"/>
              <w:bottom w:val="single" w:sz="12" w:space="0" w:color="auto"/>
              <w:right w:val="single" w:sz="12" w:space="0" w:color="auto"/>
            </w:tcBorders>
          </w:tcPr>
          <w:p w14:paraId="2616D46C" w14:textId="77777777" w:rsidR="00381DDB" w:rsidRDefault="00381DDB">
            <w:pPr>
              <w:widowControl w:val="0"/>
              <w:autoSpaceDE w:val="0"/>
              <w:autoSpaceDN w:val="0"/>
              <w:adjustRightInd w:val="0"/>
              <w:rPr>
                <w:rFonts w:ascii="Arial" w:hAnsi="Arial" w:cs="Arial"/>
                <w:sz w:val="20"/>
                <w:szCs w:val="20"/>
              </w:rPr>
            </w:pPr>
          </w:p>
        </w:tc>
        <w:tc>
          <w:tcPr>
            <w:tcW w:w="1620" w:type="dxa"/>
            <w:tcBorders>
              <w:top w:val="single" w:sz="12" w:space="0" w:color="auto"/>
              <w:left w:val="single" w:sz="12" w:space="0" w:color="auto"/>
              <w:bottom w:val="single" w:sz="12" w:space="0" w:color="auto"/>
              <w:right w:val="single" w:sz="12" w:space="0" w:color="auto"/>
            </w:tcBorders>
          </w:tcPr>
          <w:p w14:paraId="54DFF8FE" w14:textId="77777777" w:rsidR="00381DDB" w:rsidRDefault="00381DDB">
            <w:pPr>
              <w:widowControl w:val="0"/>
              <w:autoSpaceDE w:val="0"/>
              <w:autoSpaceDN w:val="0"/>
              <w:adjustRightInd w:val="0"/>
              <w:rPr>
                <w:rFonts w:ascii="Arial" w:hAnsi="Arial" w:cs="Arial"/>
                <w:sz w:val="20"/>
                <w:szCs w:val="20"/>
              </w:rPr>
            </w:pPr>
          </w:p>
        </w:tc>
        <w:tc>
          <w:tcPr>
            <w:tcW w:w="1440" w:type="dxa"/>
            <w:tcBorders>
              <w:top w:val="single" w:sz="12" w:space="0" w:color="auto"/>
              <w:left w:val="single" w:sz="12" w:space="0" w:color="auto"/>
              <w:bottom w:val="single" w:sz="12" w:space="0" w:color="auto"/>
              <w:right w:val="single" w:sz="12" w:space="0" w:color="auto"/>
            </w:tcBorders>
          </w:tcPr>
          <w:p w14:paraId="2F60063C" w14:textId="77777777" w:rsidR="00381DDB" w:rsidRDefault="00381DDB">
            <w:pPr>
              <w:widowControl w:val="0"/>
              <w:autoSpaceDE w:val="0"/>
              <w:autoSpaceDN w:val="0"/>
              <w:adjustRightInd w:val="0"/>
              <w:rPr>
                <w:rFonts w:ascii="Arial" w:hAnsi="Arial" w:cs="Arial"/>
                <w:sz w:val="20"/>
                <w:szCs w:val="20"/>
              </w:rPr>
            </w:pPr>
          </w:p>
        </w:tc>
        <w:tc>
          <w:tcPr>
            <w:tcW w:w="1768" w:type="dxa"/>
            <w:tcBorders>
              <w:top w:val="single" w:sz="12" w:space="0" w:color="auto"/>
              <w:left w:val="single" w:sz="12" w:space="0" w:color="auto"/>
              <w:bottom w:val="single" w:sz="12" w:space="0" w:color="auto"/>
              <w:right w:val="single" w:sz="12" w:space="0" w:color="auto"/>
            </w:tcBorders>
          </w:tcPr>
          <w:p w14:paraId="11DBFD19" w14:textId="77777777" w:rsidR="00381DDB" w:rsidRDefault="00381DDB">
            <w:pPr>
              <w:widowControl w:val="0"/>
              <w:autoSpaceDE w:val="0"/>
              <w:autoSpaceDN w:val="0"/>
              <w:adjustRightInd w:val="0"/>
              <w:rPr>
                <w:rFonts w:ascii="Arial" w:hAnsi="Arial" w:cs="Arial"/>
                <w:sz w:val="20"/>
                <w:szCs w:val="20"/>
              </w:rPr>
            </w:pPr>
          </w:p>
        </w:tc>
        <w:tc>
          <w:tcPr>
            <w:tcW w:w="1652" w:type="dxa"/>
            <w:tcBorders>
              <w:top w:val="single" w:sz="12" w:space="0" w:color="auto"/>
              <w:left w:val="single" w:sz="12" w:space="0" w:color="auto"/>
              <w:bottom w:val="single" w:sz="12" w:space="0" w:color="auto"/>
              <w:right w:val="single" w:sz="12" w:space="0" w:color="auto"/>
            </w:tcBorders>
          </w:tcPr>
          <w:p w14:paraId="3F895EA1" w14:textId="77777777" w:rsidR="00381DDB" w:rsidRDefault="00381DDB">
            <w:pPr>
              <w:widowControl w:val="0"/>
              <w:autoSpaceDE w:val="0"/>
              <w:autoSpaceDN w:val="0"/>
              <w:adjustRightInd w:val="0"/>
              <w:rPr>
                <w:rFonts w:ascii="Arial" w:hAnsi="Arial" w:cs="Arial"/>
                <w:sz w:val="20"/>
                <w:szCs w:val="20"/>
              </w:rPr>
            </w:pPr>
          </w:p>
        </w:tc>
        <w:tc>
          <w:tcPr>
            <w:tcW w:w="1823" w:type="dxa"/>
            <w:tcBorders>
              <w:top w:val="single" w:sz="12" w:space="0" w:color="auto"/>
              <w:left w:val="single" w:sz="12" w:space="0" w:color="auto"/>
              <w:bottom w:val="single" w:sz="12" w:space="0" w:color="auto"/>
              <w:right w:val="single" w:sz="12" w:space="0" w:color="auto"/>
            </w:tcBorders>
          </w:tcPr>
          <w:p w14:paraId="14002952" w14:textId="77777777" w:rsidR="00381DDB" w:rsidRDefault="00381DDB">
            <w:pPr>
              <w:widowControl w:val="0"/>
              <w:autoSpaceDE w:val="0"/>
              <w:autoSpaceDN w:val="0"/>
              <w:adjustRightInd w:val="0"/>
              <w:rPr>
                <w:rFonts w:ascii="Arial" w:hAnsi="Arial" w:cs="Arial"/>
                <w:sz w:val="20"/>
                <w:szCs w:val="20"/>
              </w:rPr>
            </w:pPr>
          </w:p>
        </w:tc>
        <w:tc>
          <w:tcPr>
            <w:tcW w:w="2160" w:type="dxa"/>
            <w:tcBorders>
              <w:top w:val="single" w:sz="12" w:space="0" w:color="auto"/>
              <w:left w:val="single" w:sz="12" w:space="0" w:color="auto"/>
              <w:bottom w:val="single" w:sz="12" w:space="0" w:color="auto"/>
              <w:right w:val="single" w:sz="12" w:space="0" w:color="auto"/>
            </w:tcBorders>
          </w:tcPr>
          <w:p w14:paraId="653DF8AB" w14:textId="77777777" w:rsidR="00381DDB" w:rsidRDefault="00381DDB">
            <w:pPr>
              <w:widowControl w:val="0"/>
              <w:autoSpaceDE w:val="0"/>
              <w:autoSpaceDN w:val="0"/>
              <w:adjustRightInd w:val="0"/>
              <w:rPr>
                <w:rFonts w:ascii="Arial" w:hAnsi="Arial" w:cs="Arial"/>
                <w:sz w:val="20"/>
                <w:szCs w:val="20"/>
              </w:rPr>
            </w:pPr>
          </w:p>
        </w:tc>
        <w:tc>
          <w:tcPr>
            <w:tcW w:w="1501" w:type="dxa"/>
            <w:tcBorders>
              <w:top w:val="single" w:sz="12" w:space="0" w:color="auto"/>
              <w:left w:val="single" w:sz="12" w:space="0" w:color="auto"/>
              <w:bottom w:val="single" w:sz="12" w:space="0" w:color="auto"/>
              <w:right w:val="single" w:sz="12" w:space="0" w:color="auto"/>
            </w:tcBorders>
          </w:tcPr>
          <w:p w14:paraId="157995B6" w14:textId="77777777" w:rsidR="00381DDB" w:rsidRDefault="00381DDB">
            <w:pPr>
              <w:widowControl w:val="0"/>
              <w:autoSpaceDE w:val="0"/>
              <w:autoSpaceDN w:val="0"/>
              <w:adjustRightInd w:val="0"/>
              <w:rPr>
                <w:rFonts w:ascii="Arial" w:hAnsi="Arial" w:cs="Arial"/>
                <w:sz w:val="20"/>
                <w:szCs w:val="20"/>
              </w:rPr>
            </w:pPr>
          </w:p>
        </w:tc>
      </w:tr>
      <w:tr w:rsidR="00381DDB" w14:paraId="46BE65C5" w14:textId="77777777">
        <w:tc>
          <w:tcPr>
            <w:tcW w:w="1283" w:type="dxa"/>
            <w:tcBorders>
              <w:top w:val="single" w:sz="12" w:space="0" w:color="auto"/>
              <w:left w:val="single" w:sz="12" w:space="0" w:color="auto"/>
              <w:bottom w:val="single" w:sz="12" w:space="0" w:color="auto"/>
              <w:right w:val="single" w:sz="12" w:space="0" w:color="auto"/>
            </w:tcBorders>
          </w:tcPr>
          <w:p w14:paraId="3155738F"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6.</w:t>
            </w:r>
            <w:r>
              <w:rPr>
                <w:rFonts w:ascii="Arial CYR" w:hAnsi="Arial CYR" w:cs="Arial CYR"/>
                <w:sz w:val="20"/>
                <w:szCs w:val="20"/>
              </w:rPr>
              <w:t xml:space="preserve">Сероводо-родно-углекислые </w:t>
            </w:r>
          </w:p>
        </w:tc>
        <w:tc>
          <w:tcPr>
            <w:tcW w:w="1980" w:type="dxa"/>
            <w:tcBorders>
              <w:top w:val="single" w:sz="12" w:space="0" w:color="auto"/>
              <w:left w:val="single" w:sz="12" w:space="0" w:color="auto"/>
              <w:bottom w:val="single" w:sz="12" w:space="0" w:color="auto"/>
              <w:right w:val="single" w:sz="12" w:space="0" w:color="auto"/>
            </w:tcBorders>
          </w:tcPr>
          <w:p w14:paraId="363EEF9E" w14:textId="77777777" w:rsidR="00381DDB" w:rsidRDefault="00381DDB">
            <w:pPr>
              <w:widowControl w:val="0"/>
              <w:autoSpaceDE w:val="0"/>
              <w:autoSpaceDN w:val="0"/>
              <w:adjustRightInd w:val="0"/>
              <w:rPr>
                <w:rFonts w:ascii="Arial" w:hAnsi="Arial" w:cs="Arial"/>
                <w:sz w:val="20"/>
                <w:szCs w:val="20"/>
              </w:rPr>
            </w:pPr>
          </w:p>
        </w:tc>
        <w:tc>
          <w:tcPr>
            <w:tcW w:w="1620" w:type="dxa"/>
            <w:tcBorders>
              <w:top w:val="single" w:sz="12" w:space="0" w:color="auto"/>
              <w:left w:val="single" w:sz="12" w:space="0" w:color="auto"/>
              <w:bottom w:val="single" w:sz="12" w:space="0" w:color="auto"/>
              <w:right w:val="single" w:sz="12" w:space="0" w:color="auto"/>
            </w:tcBorders>
          </w:tcPr>
          <w:p w14:paraId="277B62DB" w14:textId="77777777" w:rsidR="00381DDB" w:rsidRDefault="00381DDB">
            <w:pPr>
              <w:widowControl w:val="0"/>
              <w:autoSpaceDE w:val="0"/>
              <w:autoSpaceDN w:val="0"/>
              <w:adjustRightInd w:val="0"/>
              <w:rPr>
                <w:rFonts w:ascii="Arial" w:hAnsi="Arial" w:cs="Arial"/>
                <w:sz w:val="20"/>
                <w:szCs w:val="20"/>
              </w:rPr>
            </w:pPr>
          </w:p>
        </w:tc>
        <w:tc>
          <w:tcPr>
            <w:tcW w:w="1440" w:type="dxa"/>
            <w:tcBorders>
              <w:top w:val="single" w:sz="12" w:space="0" w:color="auto"/>
              <w:left w:val="single" w:sz="12" w:space="0" w:color="auto"/>
              <w:bottom w:val="single" w:sz="12" w:space="0" w:color="auto"/>
              <w:right w:val="single" w:sz="12" w:space="0" w:color="auto"/>
            </w:tcBorders>
          </w:tcPr>
          <w:p w14:paraId="438C38F6" w14:textId="77777777" w:rsidR="00381DDB" w:rsidRDefault="00381DDB">
            <w:pPr>
              <w:widowControl w:val="0"/>
              <w:autoSpaceDE w:val="0"/>
              <w:autoSpaceDN w:val="0"/>
              <w:adjustRightInd w:val="0"/>
              <w:rPr>
                <w:rFonts w:ascii="Arial" w:hAnsi="Arial" w:cs="Arial"/>
                <w:sz w:val="20"/>
                <w:szCs w:val="20"/>
              </w:rPr>
            </w:pPr>
          </w:p>
        </w:tc>
        <w:tc>
          <w:tcPr>
            <w:tcW w:w="1768" w:type="dxa"/>
            <w:tcBorders>
              <w:top w:val="single" w:sz="12" w:space="0" w:color="auto"/>
              <w:left w:val="single" w:sz="12" w:space="0" w:color="auto"/>
              <w:bottom w:val="single" w:sz="12" w:space="0" w:color="auto"/>
              <w:right w:val="single" w:sz="12" w:space="0" w:color="auto"/>
            </w:tcBorders>
          </w:tcPr>
          <w:p w14:paraId="75720131" w14:textId="77777777" w:rsidR="00381DDB" w:rsidRDefault="00381DDB">
            <w:pPr>
              <w:widowControl w:val="0"/>
              <w:autoSpaceDE w:val="0"/>
              <w:autoSpaceDN w:val="0"/>
              <w:adjustRightInd w:val="0"/>
              <w:rPr>
                <w:rFonts w:ascii="Arial" w:hAnsi="Arial" w:cs="Arial"/>
                <w:sz w:val="20"/>
                <w:szCs w:val="20"/>
              </w:rPr>
            </w:pPr>
          </w:p>
        </w:tc>
        <w:tc>
          <w:tcPr>
            <w:tcW w:w="1652" w:type="dxa"/>
            <w:tcBorders>
              <w:top w:val="single" w:sz="12" w:space="0" w:color="auto"/>
              <w:left w:val="single" w:sz="12" w:space="0" w:color="auto"/>
              <w:bottom w:val="single" w:sz="12" w:space="0" w:color="auto"/>
              <w:right w:val="single" w:sz="12" w:space="0" w:color="auto"/>
            </w:tcBorders>
          </w:tcPr>
          <w:p w14:paraId="31A4AE1C"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6.</w:t>
            </w:r>
            <w:r>
              <w:rPr>
                <w:rFonts w:ascii="Arial CYR" w:hAnsi="Arial CYR" w:cs="Arial CYR"/>
                <w:sz w:val="20"/>
                <w:szCs w:val="20"/>
              </w:rPr>
              <w:t xml:space="preserve">Кремнистые </w:t>
            </w:r>
            <w:r>
              <w:rPr>
                <w:rFonts w:ascii="Arial" w:hAnsi="Arial" w:cs="Arial"/>
                <w:sz w:val="20"/>
                <w:szCs w:val="20"/>
              </w:rPr>
              <w:t>(</w:t>
            </w:r>
            <w:r>
              <w:rPr>
                <w:rFonts w:ascii="Arial" w:hAnsi="Arial" w:cs="Arial"/>
                <w:sz w:val="20"/>
                <w:szCs w:val="20"/>
                <w:lang w:val="en-US"/>
              </w:rPr>
              <w:t>H</w:t>
            </w:r>
            <w:r>
              <w:rPr>
                <w:rFonts w:ascii="Arial" w:hAnsi="Arial" w:cs="Arial"/>
                <w:sz w:val="20"/>
                <w:szCs w:val="20"/>
                <w:vertAlign w:val="subscript"/>
              </w:rPr>
              <w:t>2</w:t>
            </w:r>
            <w:r>
              <w:rPr>
                <w:rFonts w:ascii="Arial" w:hAnsi="Arial" w:cs="Arial"/>
                <w:sz w:val="20"/>
                <w:szCs w:val="20"/>
                <w:lang w:val="en-US"/>
              </w:rPr>
              <w:t>SiO</w:t>
            </w:r>
            <w:r>
              <w:rPr>
                <w:rFonts w:ascii="Arial" w:hAnsi="Arial" w:cs="Arial"/>
                <w:sz w:val="20"/>
                <w:szCs w:val="20"/>
                <w:vertAlign w:val="subscript"/>
              </w:rPr>
              <w:t>3</w:t>
            </w:r>
            <w:r>
              <w:rPr>
                <w:rFonts w:ascii="Arial" w:hAnsi="Arial" w:cs="Arial"/>
                <w:sz w:val="20"/>
                <w:szCs w:val="20"/>
              </w:rPr>
              <w:t xml:space="preserve"> &gt; 50 </w:t>
            </w:r>
            <w:r>
              <w:rPr>
                <w:rFonts w:ascii="Arial CYR" w:hAnsi="Arial CYR" w:cs="Arial CYR"/>
                <w:sz w:val="20"/>
                <w:szCs w:val="20"/>
              </w:rPr>
              <w:t xml:space="preserve">мг/л) </w:t>
            </w:r>
          </w:p>
        </w:tc>
        <w:tc>
          <w:tcPr>
            <w:tcW w:w="1823" w:type="dxa"/>
            <w:tcBorders>
              <w:top w:val="single" w:sz="12" w:space="0" w:color="auto"/>
              <w:left w:val="single" w:sz="12" w:space="0" w:color="auto"/>
              <w:bottom w:val="single" w:sz="12" w:space="0" w:color="auto"/>
              <w:right w:val="single" w:sz="12" w:space="0" w:color="auto"/>
            </w:tcBorders>
          </w:tcPr>
          <w:p w14:paraId="15B84503"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6.</w:t>
            </w:r>
            <w:r>
              <w:rPr>
                <w:rFonts w:ascii="Arial CYR" w:hAnsi="Arial CYR" w:cs="Arial CYR"/>
                <w:sz w:val="20"/>
                <w:szCs w:val="20"/>
              </w:rPr>
              <w:t>Очень горячие - высокотермаль-ные (&gt; 42</w:t>
            </w:r>
            <w:r>
              <w:rPr>
                <w:rFonts w:ascii="Symbol" w:hAnsi="Symbol" w:cs="Symbol"/>
                <w:sz w:val="20"/>
                <w:szCs w:val="20"/>
              </w:rPr>
              <w:t>°</w:t>
            </w:r>
            <w:r>
              <w:rPr>
                <w:rFonts w:ascii="Arial" w:hAnsi="Arial" w:cs="Arial"/>
                <w:sz w:val="20"/>
                <w:szCs w:val="20"/>
              </w:rPr>
              <w:t>)</w:t>
            </w:r>
          </w:p>
        </w:tc>
        <w:tc>
          <w:tcPr>
            <w:tcW w:w="2160" w:type="dxa"/>
            <w:tcBorders>
              <w:top w:val="single" w:sz="12" w:space="0" w:color="auto"/>
              <w:left w:val="single" w:sz="12" w:space="0" w:color="auto"/>
              <w:bottom w:val="single" w:sz="12" w:space="0" w:color="auto"/>
              <w:right w:val="single" w:sz="12" w:space="0" w:color="auto"/>
            </w:tcBorders>
          </w:tcPr>
          <w:p w14:paraId="593C3996" w14:textId="77777777" w:rsidR="00381DDB" w:rsidRDefault="00381DDB">
            <w:pPr>
              <w:widowControl w:val="0"/>
              <w:autoSpaceDE w:val="0"/>
              <w:autoSpaceDN w:val="0"/>
              <w:adjustRightInd w:val="0"/>
              <w:rPr>
                <w:rFonts w:ascii="Arial" w:hAnsi="Arial" w:cs="Arial"/>
                <w:sz w:val="20"/>
                <w:szCs w:val="20"/>
              </w:rPr>
            </w:pPr>
          </w:p>
        </w:tc>
        <w:tc>
          <w:tcPr>
            <w:tcW w:w="1501" w:type="dxa"/>
            <w:tcBorders>
              <w:top w:val="single" w:sz="12" w:space="0" w:color="auto"/>
              <w:left w:val="single" w:sz="12" w:space="0" w:color="auto"/>
              <w:bottom w:val="single" w:sz="12" w:space="0" w:color="auto"/>
              <w:right w:val="single" w:sz="12" w:space="0" w:color="auto"/>
            </w:tcBorders>
          </w:tcPr>
          <w:p w14:paraId="767A23DA"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6.</w:t>
            </w:r>
            <w:r>
              <w:rPr>
                <w:rFonts w:ascii="Arial CYR" w:hAnsi="Arial CYR" w:cs="Arial CYR"/>
                <w:sz w:val="20"/>
                <w:szCs w:val="20"/>
              </w:rPr>
              <w:t>Сильно-щелочные (</w:t>
            </w:r>
            <w:r>
              <w:rPr>
                <w:rFonts w:ascii="Arial" w:hAnsi="Arial" w:cs="Arial"/>
                <w:sz w:val="20"/>
                <w:szCs w:val="20"/>
                <w:lang w:val="en-US"/>
              </w:rPr>
              <w:t>pH</w:t>
            </w:r>
            <w:r>
              <w:rPr>
                <w:rFonts w:ascii="Arial" w:hAnsi="Arial" w:cs="Arial"/>
                <w:sz w:val="20"/>
                <w:szCs w:val="20"/>
              </w:rPr>
              <w:t>=&gt;8,5)</w:t>
            </w:r>
          </w:p>
        </w:tc>
      </w:tr>
      <w:tr w:rsidR="00381DDB" w14:paraId="52B71DF3" w14:textId="77777777">
        <w:tc>
          <w:tcPr>
            <w:tcW w:w="1283" w:type="dxa"/>
            <w:tcBorders>
              <w:top w:val="single" w:sz="12" w:space="0" w:color="auto"/>
              <w:left w:val="single" w:sz="12" w:space="0" w:color="auto"/>
              <w:bottom w:val="single" w:sz="12" w:space="0" w:color="auto"/>
              <w:right w:val="single" w:sz="12" w:space="0" w:color="auto"/>
            </w:tcBorders>
          </w:tcPr>
          <w:p w14:paraId="11530EE9" w14:textId="77777777" w:rsidR="00381DDB" w:rsidRDefault="00381DDB">
            <w:pPr>
              <w:widowControl w:val="0"/>
              <w:autoSpaceDE w:val="0"/>
              <w:autoSpaceDN w:val="0"/>
              <w:adjustRightInd w:val="0"/>
              <w:rPr>
                <w:rFonts w:ascii="Arial" w:hAnsi="Arial" w:cs="Arial"/>
                <w:sz w:val="20"/>
                <w:szCs w:val="20"/>
              </w:rPr>
            </w:pPr>
          </w:p>
        </w:tc>
        <w:tc>
          <w:tcPr>
            <w:tcW w:w="1980" w:type="dxa"/>
            <w:tcBorders>
              <w:top w:val="single" w:sz="12" w:space="0" w:color="auto"/>
              <w:left w:val="single" w:sz="12" w:space="0" w:color="auto"/>
              <w:bottom w:val="single" w:sz="12" w:space="0" w:color="auto"/>
              <w:right w:val="single" w:sz="12" w:space="0" w:color="auto"/>
            </w:tcBorders>
          </w:tcPr>
          <w:p w14:paraId="3A6FBA0A" w14:textId="77777777" w:rsidR="00381DDB" w:rsidRDefault="00381DDB">
            <w:pPr>
              <w:widowControl w:val="0"/>
              <w:autoSpaceDE w:val="0"/>
              <w:autoSpaceDN w:val="0"/>
              <w:adjustRightInd w:val="0"/>
              <w:rPr>
                <w:rFonts w:ascii="Arial" w:hAnsi="Arial" w:cs="Arial"/>
                <w:sz w:val="20"/>
                <w:szCs w:val="20"/>
              </w:rPr>
            </w:pPr>
          </w:p>
        </w:tc>
        <w:tc>
          <w:tcPr>
            <w:tcW w:w="1620" w:type="dxa"/>
            <w:tcBorders>
              <w:top w:val="single" w:sz="12" w:space="0" w:color="auto"/>
              <w:left w:val="single" w:sz="12" w:space="0" w:color="auto"/>
              <w:bottom w:val="single" w:sz="12" w:space="0" w:color="auto"/>
              <w:right w:val="single" w:sz="12" w:space="0" w:color="auto"/>
            </w:tcBorders>
          </w:tcPr>
          <w:p w14:paraId="6B40F0B7" w14:textId="77777777" w:rsidR="00381DDB" w:rsidRDefault="00381DDB">
            <w:pPr>
              <w:widowControl w:val="0"/>
              <w:autoSpaceDE w:val="0"/>
              <w:autoSpaceDN w:val="0"/>
              <w:adjustRightInd w:val="0"/>
              <w:rPr>
                <w:rFonts w:ascii="Arial" w:hAnsi="Arial" w:cs="Arial"/>
                <w:sz w:val="20"/>
                <w:szCs w:val="20"/>
              </w:rPr>
            </w:pPr>
          </w:p>
        </w:tc>
        <w:tc>
          <w:tcPr>
            <w:tcW w:w="1440" w:type="dxa"/>
            <w:tcBorders>
              <w:top w:val="single" w:sz="12" w:space="0" w:color="auto"/>
              <w:left w:val="single" w:sz="12" w:space="0" w:color="auto"/>
              <w:bottom w:val="single" w:sz="12" w:space="0" w:color="auto"/>
              <w:right w:val="single" w:sz="12" w:space="0" w:color="auto"/>
            </w:tcBorders>
          </w:tcPr>
          <w:p w14:paraId="355F8994" w14:textId="77777777" w:rsidR="00381DDB" w:rsidRDefault="00381DDB">
            <w:pPr>
              <w:widowControl w:val="0"/>
              <w:autoSpaceDE w:val="0"/>
              <w:autoSpaceDN w:val="0"/>
              <w:adjustRightInd w:val="0"/>
              <w:rPr>
                <w:rFonts w:ascii="Arial" w:hAnsi="Arial" w:cs="Arial"/>
                <w:sz w:val="20"/>
                <w:szCs w:val="20"/>
              </w:rPr>
            </w:pPr>
          </w:p>
        </w:tc>
        <w:tc>
          <w:tcPr>
            <w:tcW w:w="1768" w:type="dxa"/>
            <w:tcBorders>
              <w:top w:val="single" w:sz="12" w:space="0" w:color="auto"/>
              <w:left w:val="single" w:sz="12" w:space="0" w:color="auto"/>
              <w:bottom w:val="single" w:sz="12" w:space="0" w:color="auto"/>
              <w:right w:val="single" w:sz="12" w:space="0" w:color="auto"/>
            </w:tcBorders>
          </w:tcPr>
          <w:p w14:paraId="2D2DB83A" w14:textId="77777777" w:rsidR="00381DDB" w:rsidRDefault="00381DDB">
            <w:pPr>
              <w:widowControl w:val="0"/>
              <w:autoSpaceDE w:val="0"/>
              <w:autoSpaceDN w:val="0"/>
              <w:adjustRightInd w:val="0"/>
              <w:rPr>
                <w:rFonts w:ascii="Arial" w:hAnsi="Arial" w:cs="Arial"/>
                <w:sz w:val="20"/>
                <w:szCs w:val="20"/>
              </w:rPr>
            </w:pPr>
          </w:p>
        </w:tc>
        <w:tc>
          <w:tcPr>
            <w:tcW w:w="1652" w:type="dxa"/>
            <w:tcBorders>
              <w:top w:val="single" w:sz="12" w:space="0" w:color="auto"/>
              <w:left w:val="single" w:sz="12" w:space="0" w:color="auto"/>
              <w:bottom w:val="single" w:sz="12" w:space="0" w:color="auto"/>
              <w:right w:val="single" w:sz="12" w:space="0" w:color="auto"/>
            </w:tcBorders>
          </w:tcPr>
          <w:p w14:paraId="4E014B28" w14:textId="77777777" w:rsidR="00381DDB" w:rsidRDefault="00381DDB">
            <w:pPr>
              <w:widowControl w:val="0"/>
              <w:autoSpaceDE w:val="0"/>
              <w:autoSpaceDN w:val="0"/>
              <w:adjustRightInd w:val="0"/>
              <w:rPr>
                <w:rFonts w:ascii="Arial" w:hAnsi="Arial" w:cs="Arial"/>
                <w:sz w:val="20"/>
                <w:szCs w:val="20"/>
              </w:rPr>
            </w:pPr>
          </w:p>
        </w:tc>
        <w:tc>
          <w:tcPr>
            <w:tcW w:w="1823" w:type="dxa"/>
            <w:tcBorders>
              <w:top w:val="single" w:sz="12" w:space="0" w:color="auto"/>
              <w:left w:val="single" w:sz="12" w:space="0" w:color="auto"/>
              <w:bottom w:val="single" w:sz="12" w:space="0" w:color="auto"/>
              <w:right w:val="single" w:sz="12" w:space="0" w:color="auto"/>
            </w:tcBorders>
          </w:tcPr>
          <w:p w14:paraId="22AD1F51" w14:textId="77777777" w:rsidR="00381DDB" w:rsidRDefault="00381DDB">
            <w:pPr>
              <w:widowControl w:val="0"/>
              <w:autoSpaceDE w:val="0"/>
              <w:autoSpaceDN w:val="0"/>
              <w:adjustRightInd w:val="0"/>
              <w:rPr>
                <w:rFonts w:ascii="Arial" w:hAnsi="Arial" w:cs="Arial"/>
                <w:sz w:val="20"/>
                <w:szCs w:val="20"/>
              </w:rPr>
            </w:pPr>
          </w:p>
        </w:tc>
        <w:tc>
          <w:tcPr>
            <w:tcW w:w="2160" w:type="dxa"/>
            <w:tcBorders>
              <w:top w:val="single" w:sz="12" w:space="0" w:color="auto"/>
              <w:left w:val="single" w:sz="12" w:space="0" w:color="auto"/>
              <w:bottom w:val="single" w:sz="12" w:space="0" w:color="auto"/>
              <w:right w:val="single" w:sz="12" w:space="0" w:color="auto"/>
            </w:tcBorders>
          </w:tcPr>
          <w:p w14:paraId="66971B79" w14:textId="77777777" w:rsidR="00381DDB" w:rsidRDefault="00381DDB">
            <w:pPr>
              <w:widowControl w:val="0"/>
              <w:autoSpaceDE w:val="0"/>
              <w:autoSpaceDN w:val="0"/>
              <w:adjustRightInd w:val="0"/>
              <w:rPr>
                <w:rFonts w:ascii="Arial" w:hAnsi="Arial" w:cs="Arial"/>
                <w:sz w:val="20"/>
                <w:szCs w:val="20"/>
              </w:rPr>
            </w:pPr>
          </w:p>
        </w:tc>
        <w:tc>
          <w:tcPr>
            <w:tcW w:w="1501" w:type="dxa"/>
            <w:tcBorders>
              <w:top w:val="single" w:sz="12" w:space="0" w:color="auto"/>
              <w:left w:val="single" w:sz="12" w:space="0" w:color="auto"/>
              <w:bottom w:val="single" w:sz="12" w:space="0" w:color="auto"/>
              <w:right w:val="single" w:sz="12" w:space="0" w:color="auto"/>
            </w:tcBorders>
          </w:tcPr>
          <w:p w14:paraId="4E05E1E0" w14:textId="77777777" w:rsidR="00381DDB" w:rsidRDefault="00381DDB">
            <w:pPr>
              <w:widowControl w:val="0"/>
              <w:autoSpaceDE w:val="0"/>
              <w:autoSpaceDN w:val="0"/>
              <w:adjustRightInd w:val="0"/>
              <w:rPr>
                <w:rFonts w:ascii="Arial" w:hAnsi="Arial" w:cs="Arial"/>
                <w:sz w:val="20"/>
                <w:szCs w:val="20"/>
              </w:rPr>
            </w:pPr>
          </w:p>
        </w:tc>
      </w:tr>
      <w:tr w:rsidR="00381DDB" w14:paraId="2FC6898A" w14:textId="77777777">
        <w:tc>
          <w:tcPr>
            <w:tcW w:w="1283" w:type="dxa"/>
            <w:tcBorders>
              <w:top w:val="single" w:sz="12" w:space="0" w:color="auto"/>
              <w:left w:val="single" w:sz="12" w:space="0" w:color="auto"/>
              <w:bottom w:val="single" w:sz="12" w:space="0" w:color="auto"/>
              <w:right w:val="single" w:sz="12" w:space="0" w:color="auto"/>
            </w:tcBorders>
          </w:tcPr>
          <w:p w14:paraId="5604C95E"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7.</w:t>
            </w:r>
            <w:r>
              <w:rPr>
                <w:rFonts w:ascii="Arial CYR" w:hAnsi="Arial CYR" w:cs="Arial CYR"/>
                <w:sz w:val="20"/>
                <w:szCs w:val="20"/>
              </w:rPr>
              <w:t xml:space="preserve">Сероводо-родно-метановые и др. </w:t>
            </w:r>
          </w:p>
        </w:tc>
        <w:tc>
          <w:tcPr>
            <w:tcW w:w="1980" w:type="dxa"/>
            <w:tcBorders>
              <w:top w:val="single" w:sz="12" w:space="0" w:color="auto"/>
              <w:left w:val="single" w:sz="12" w:space="0" w:color="auto"/>
              <w:bottom w:val="single" w:sz="12" w:space="0" w:color="auto"/>
              <w:right w:val="single" w:sz="12" w:space="0" w:color="auto"/>
            </w:tcBorders>
          </w:tcPr>
          <w:p w14:paraId="10AE100A" w14:textId="77777777" w:rsidR="00381DDB" w:rsidRDefault="00381DDB">
            <w:pPr>
              <w:widowControl w:val="0"/>
              <w:autoSpaceDE w:val="0"/>
              <w:autoSpaceDN w:val="0"/>
              <w:adjustRightInd w:val="0"/>
              <w:rPr>
                <w:rFonts w:ascii="Arial" w:hAnsi="Arial" w:cs="Arial"/>
                <w:sz w:val="20"/>
                <w:szCs w:val="20"/>
              </w:rPr>
            </w:pPr>
          </w:p>
        </w:tc>
        <w:tc>
          <w:tcPr>
            <w:tcW w:w="1620" w:type="dxa"/>
            <w:tcBorders>
              <w:top w:val="single" w:sz="12" w:space="0" w:color="auto"/>
              <w:left w:val="single" w:sz="12" w:space="0" w:color="auto"/>
              <w:bottom w:val="single" w:sz="12" w:space="0" w:color="auto"/>
              <w:right w:val="single" w:sz="12" w:space="0" w:color="auto"/>
            </w:tcBorders>
          </w:tcPr>
          <w:p w14:paraId="00AA10E6" w14:textId="77777777" w:rsidR="00381DDB" w:rsidRDefault="00381DDB">
            <w:pPr>
              <w:widowControl w:val="0"/>
              <w:autoSpaceDE w:val="0"/>
              <w:autoSpaceDN w:val="0"/>
              <w:adjustRightInd w:val="0"/>
              <w:rPr>
                <w:rFonts w:ascii="Arial" w:hAnsi="Arial" w:cs="Arial"/>
                <w:sz w:val="20"/>
                <w:szCs w:val="20"/>
              </w:rPr>
            </w:pPr>
          </w:p>
        </w:tc>
        <w:tc>
          <w:tcPr>
            <w:tcW w:w="1440" w:type="dxa"/>
            <w:tcBorders>
              <w:top w:val="single" w:sz="12" w:space="0" w:color="auto"/>
              <w:left w:val="single" w:sz="12" w:space="0" w:color="auto"/>
              <w:bottom w:val="single" w:sz="12" w:space="0" w:color="auto"/>
              <w:right w:val="single" w:sz="12" w:space="0" w:color="auto"/>
            </w:tcBorders>
          </w:tcPr>
          <w:p w14:paraId="1757030D" w14:textId="77777777" w:rsidR="00381DDB" w:rsidRDefault="00381DDB">
            <w:pPr>
              <w:widowControl w:val="0"/>
              <w:autoSpaceDE w:val="0"/>
              <w:autoSpaceDN w:val="0"/>
              <w:adjustRightInd w:val="0"/>
              <w:rPr>
                <w:rFonts w:ascii="Arial" w:hAnsi="Arial" w:cs="Arial"/>
                <w:sz w:val="20"/>
                <w:szCs w:val="20"/>
              </w:rPr>
            </w:pPr>
          </w:p>
        </w:tc>
        <w:tc>
          <w:tcPr>
            <w:tcW w:w="1768" w:type="dxa"/>
            <w:tcBorders>
              <w:top w:val="single" w:sz="12" w:space="0" w:color="auto"/>
              <w:left w:val="single" w:sz="12" w:space="0" w:color="auto"/>
              <w:bottom w:val="single" w:sz="12" w:space="0" w:color="auto"/>
              <w:right w:val="single" w:sz="12" w:space="0" w:color="auto"/>
            </w:tcBorders>
          </w:tcPr>
          <w:p w14:paraId="001CC5BF" w14:textId="77777777" w:rsidR="00381DDB" w:rsidRDefault="00381DDB">
            <w:pPr>
              <w:widowControl w:val="0"/>
              <w:autoSpaceDE w:val="0"/>
              <w:autoSpaceDN w:val="0"/>
              <w:adjustRightInd w:val="0"/>
              <w:rPr>
                <w:rFonts w:ascii="Arial" w:hAnsi="Arial" w:cs="Arial"/>
                <w:sz w:val="20"/>
                <w:szCs w:val="20"/>
              </w:rPr>
            </w:pPr>
          </w:p>
        </w:tc>
        <w:tc>
          <w:tcPr>
            <w:tcW w:w="1652" w:type="dxa"/>
            <w:tcBorders>
              <w:top w:val="single" w:sz="12" w:space="0" w:color="auto"/>
              <w:left w:val="single" w:sz="12" w:space="0" w:color="auto"/>
              <w:bottom w:val="single" w:sz="12" w:space="0" w:color="auto"/>
              <w:right w:val="single" w:sz="12" w:space="0" w:color="auto"/>
            </w:tcBorders>
          </w:tcPr>
          <w:p w14:paraId="6ADADBF5" w14:textId="77777777" w:rsidR="00381DDB" w:rsidRDefault="003712EA">
            <w:pPr>
              <w:widowControl w:val="0"/>
              <w:autoSpaceDE w:val="0"/>
              <w:autoSpaceDN w:val="0"/>
              <w:adjustRightInd w:val="0"/>
              <w:rPr>
                <w:rFonts w:ascii="Arial CYR" w:hAnsi="Arial CYR" w:cs="Arial CYR"/>
                <w:sz w:val="20"/>
                <w:szCs w:val="20"/>
              </w:rPr>
            </w:pPr>
            <w:r>
              <w:rPr>
                <w:rFonts w:ascii="Arial" w:hAnsi="Arial" w:cs="Arial"/>
                <w:sz w:val="20"/>
                <w:szCs w:val="20"/>
              </w:rPr>
              <w:t>7.</w:t>
            </w:r>
            <w:r>
              <w:rPr>
                <w:rFonts w:ascii="Arial CYR" w:hAnsi="Arial CYR" w:cs="Arial CYR"/>
                <w:sz w:val="20"/>
                <w:szCs w:val="20"/>
              </w:rPr>
              <w:t>Сероводородные (</w:t>
            </w:r>
            <w:r>
              <w:rPr>
                <w:rFonts w:ascii="Arial" w:hAnsi="Arial" w:cs="Arial"/>
                <w:sz w:val="20"/>
                <w:szCs w:val="20"/>
                <w:lang w:val="en-US"/>
              </w:rPr>
              <w:t>H</w:t>
            </w:r>
            <w:r>
              <w:rPr>
                <w:rFonts w:ascii="Arial" w:hAnsi="Arial" w:cs="Arial"/>
                <w:sz w:val="20"/>
                <w:szCs w:val="20"/>
                <w:vertAlign w:val="subscript"/>
              </w:rPr>
              <w:t>2</w:t>
            </w:r>
            <w:r>
              <w:rPr>
                <w:rFonts w:ascii="Arial" w:hAnsi="Arial" w:cs="Arial"/>
                <w:sz w:val="20"/>
                <w:szCs w:val="20"/>
                <w:lang w:val="en-US"/>
              </w:rPr>
              <w:t>S</w:t>
            </w:r>
            <w:r>
              <w:rPr>
                <w:rFonts w:ascii="Arial" w:hAnsi="Arial" w:cs="Arial"/>
                <w:sz w:val="20"/>
                <w:szCs w:val="20"/>
              </w:rPr>
              <w:t xml:space="preserve"> &gt; 10 </w:t>
            </w:r>
            <w:r>
              <w:rPr>
                <w:rFonts w:ascii="Arial CYR" w:hAnsi="Arial CYR" w:cs="Arial CYR"/>
                <w:sz w:val="20"/>
                <w:szCs w:val="20"/>
              </w:rPr>
              <w:t>мг/л)</w:t>
            </w:r>
          </w:p>
        </w:tc>
        <w:tc>
          <w:tcPr>
            <w:tcW w:w="1823" w:type="dxa"/>
            <w:tcBorders>
              <w:top w:val="single" w:sz="12" w:space="0" w:color="auto"/>
              <w:left w:val="single" w:sz="12" w:space="0" w:color="auto"/>
              <w:bottom w:val="single" w:sz="12" w:space="0" w:color="auto"/>
              <w:right w:val="single" w:sz="12" w:space="0" w:color="auto"/>
            </w:tcBorders>
          </w:tcPr>
          <w:p w14:paraId="6935249A" w14:textId="77777777" w:rsidR="00381DDB" w:rsidRDefault="003712EA">
            <w:pPr>
              <w:widowControl w:val="0"/>
              <w:autoSpaceDE w:val="0"/>
              <w:autoSpaceDN w:val="0"/>
              <w:adjustRightInd w:val="0"/>
              <w:rPr>
                <w:rFonts w:ascii="Arial" w:hAnsi="Arial" w:cs="Arial"/>
                <w:sz w:val="20"/>
                <w:szCs w:val="20"/>
              </w:rPr>
            </w:pPr>
            <w:r>
              <w:rPr>
                <w:rFonts w:ascii="Arial" w:hAnsi="Arial" w:cs="Arial"/>
                <w:sz w:val="20"/>
                <w:szCs w:val="20"/>
              </w:rPr>
              <w:t>7.</w:t>
            </w:r>
            <w:r>
              <w:rPr>
                <w:rFonts w:ascii="Arial CYR" w:hAnsi="Arial CYR" w:cs="Arial CYR"/>
                <w:sz w:val="20"/>
                <w:szCs w:val="20"/>
              </w:rPr>
              <w:t xml:space="preserve">Исключительно горячие </w:t>
            </w:r>
            <w:r>
              <w:rPr>
                <w:rFonts w:ascii="Arial" w:hAnsi="Arial" w:cs="Arial"/>
                <w:sz w:val="20"/>
                <w:szCs w:val="20"/>
              </w:rPr>
              <w:t>(</w:t>
            </w:r>
            <w:r>
              <w:rPr>
                <w:rFonts w:ascii="Arial CYR" w:hAnsi="Arial CYR" w:cs="Arial CYR"/>
                <w:sz w:val="20"/>
                <w:szCs w:val="20"/>
              </w:rPr>
              <w:t xml:space="preserve">перегретые) </w:t>
            </w:r>
            <w:r>
              <w:rPr>
                <w:rFonts w:ascii="Arial" w:hAnsi="Arial" w:cs="Arial"/>
                <w:sz w:val="20"/>
                <w:szCs w:val="20"/>
              </w:rPr>
              <w:t>(&gt; 100</w:t>
            </w:r>
            <w:r>
              <w:rPr>
                <w:rFonts w:ascii="Symbol" w:hAnsi="Symbol" w:cs="Symbol"/>
                <w:sz w:val="20"/>
                <w:szCs w:val="20"/>
              </w:rPr>
              <w:t>°</w:t>
            </w:r>
            <w:r>
              <w:rPr>
                <w:rFonts w:ascii="Arial" w:hAnsi="Arial" w:cs="Arial"/>
                <w:sz w:val="20"/>
                <w:szCs w:val="20"/>
              </w:rPr>
              <w:t>)</w:t>
            </w:r>
          </w:p>
        </w:tc>
        <w:tc>
          <w:tcPr>
            <w:tcW w:w="2160" w:type="dxa"/>
            <w:tcBorders>
              <w:top w:val="single" w:sz="12" w:space="0" w:color="auto"/>
              <w:left w:val="single" w:sz="12" w:space="0" w:color="auto"/>
              <w:bottom w:val="single" w:sz="12" w:space="0" w:color="auto"/>
              <w:right w:val="single" w:sz="12" w:space="0" w:color="auto"/>
            </w:tcBorders>
          </w:tcPr>
          <w:p w14:paraId="36CA096E" w14:textId="77777777" w:rsidR="00381DDB" w:rsidRDefault="00381DDB">
            <w:pPr>
              <w:widowControl w:val="0"/>
              <w:autoSpaceDE w:val="0"/>
              <w:autoSpaceDN w:val="0"/>
              <w:adjustRightInd w:val="0"/>
              <w:rPr>
                <w:rFonts w:ascii="Arial" w:hAnsi="Arial" w:cs="Arial"/>
                <w:sz w:val="20"/>
                <w:szCs w:val="20"/>
              </w:rPr>
            </w:pPr>
          </w:p>
        </w:tc>
        <w:tc>
          <w:tcPr>
            <w:tcW w:w="1501" w:type="dxa"/>
            <w:tcBorders>
              <w:top w:val="single" w:sz="12" w:space="0" w:color="auto"/>
              <w:left w:val="single" w:sz="12" w:space="0" w:color="auto"/>
              <w:bottom w:val="single" w:sz="12" w:space="0" w:color="auto"/>
              <w:right w:val="single" w:sz="12" w:space="0" w:color="auto"/>
            </w:tcBorders>
          </w:tcPr>
          <w:p w14:paraId="7FD8807F" w14:textId="77777777" w:rsidR="00381DDB" w:rsidRDefault="00381DDB">
            <w:pPr>
              <w:widowControl w:val="0"/>
              <w:autoSpaceDE w:val="0"/>
              <w:autoSpaceDN w:val="0"/>
              <w:adjustRightInd w:val="0"/>
              <w:rPr>
                <w:rFonts w:ascii="Arial" w:hAnsi="Arial" w:cs="Arial"/>
                <w:sz w:val="20"/>
                <w:szCs w:val="20"/>
              </w:rPr>
            </w:pPr>
          </w:p>
        </w:tc>
      </w:tr>
      <w:tr w:rsidR="00381DDB" w14:paraId="4B2107C1" w14:textId="77777777">
        <w:tc>
          <w:tcPr>
            <w:tcW w:w="1283" w:type="dxa"/>
            <w:tcBorders>
              <w:top w:val="single" w:sz="12" w:space="0" w:color="auto"/>
              <w:left w:val="single" w:sz="12" w:space="0" w:color="auto"/>
              <w:bottom w:val="single" w:sz="12" w:space="0" w:color="auto"/>
              <w:right w:val="single" w:sz="12" w:space="0" w:color="auto"/>
            </w:tcBorders>
          </w:tcPr>
          <w:p w14:paraId="6E974148" w14:textId="77777777" w:rsidR="00381DDB" w:rsidRDefault="00381DDB">
            <w:pPr>
              <w:widowControl w:val="0"/>
              <w:autoSpaceDE w:val="0"/>
              <w:autoSpaceDN w:val="0"/>
              <w:adjustRightInd w:val="0"/>
              <w:rPr>
                <w:rFonts w:ascii="Arial" w:hAnsi="Arial" w:cs="Arial"/>
                <w:sz w:val="20"/>
                <w:szCs w:val="20"/>
              </w:rPr>
            </w:pPr>
          </w:p>
        </w:tc>
        <w:tc>
          <w:tcPr>
            <w:tcW w:w="1980" w:type="dxa"/>
            <w:tcBorders>
              <w:top w:val="single" w:sz="12" w:space="0" w:color="auto"/>
              <w:left w:val="single" w:sz="12" w:space="0" w:color="auto"/>
              <w:bottom w:val="single" w:sz="12" w:space="0" w:color="auto"/>
              <w:right w:val="single" w:sz="12" w:space="0" w:color="auto"/>
            </w:tcBorders>
          </w:tcPr>
          <w:p w14:paraId="3BB0524E" w14:textId="77777777" w:rsidR="00381DDB" w:rsidRDefault="00381DDB">
            <w:pPr>
              <w:widowControl w:val="0"/>
              <w:autoSpaceDE w:val="0"/>
              <w:autoSpaceDN w:val="0"/>
              <w:adjustRightInd w:val="0"/>
              <w:rPr>
                <w:rFonts w:ascii="Arial" w:hAnsi="Arial" w:cs="Arial"/>
                <w:sz w:val="20"/>
                <w:szCs w:val="20"/>
              </w:rPr>
            </w:pPr>
          </w:p>
        </w:tc>
        <w:tc>
          <w:tcPr>
            <w:tcW w:w="1620" w:type="dxa"/>
            <w:tcBorders>
              <w:top w:val="single" w:sz="12" w:space="0" w:color="auto"/>
              <w:left w:val="single" w:sz="12" w:space="0" w:color="auto"/>
              <w:bottom w:val="single" w:sz="12" w:space="0" w:color="auto"/>
              <w:right w:val="single" w:sz="12" w:space="0" w:color="auto"/>
            </w:tcBorders>
          </w:tcPr>
          <w:p w14:paraId="76524A95" w14:textId="77777777" w:rsidR="00381DDB" w:rsidRDefault="00381DDB">
            <w:pPr>
              <w:widowControl w:val="0"/>
              <w:autoSpaceDE w:val="0"/>
              <w:autoSpaceDN w:val="0"/>
              <w:adjustRightInd w:val="0"/>
              <w:rPr>
                <w:rFonts w:ascii="Arial" w:hAnsi="Arial" w:cs="Arial"/>
                <w:sz w:val="20"/>
                <w:szCs w:val="20"/>
              </w:rPr>
            </w:pPr>
          </w:p>
        </w:tc>
        <w:tc>
          <w:tcPr>
            <w:tcW w:w="1440" w:type="dxa"/>
            <w:tcBorders>
              <w:top w:val="single" w:sz="12" w:space="0" w:color="auto"/>
              <w:left w:val="single" w:sz="12" w:space="0" w:color="auto"/>
              <w:bottom w:val="single" w:sz="12" w:space="0" w:color="auto"/>
              <w:right w:val="single" w:sz="12" w:space="0" w:color="auto"/>
            </w:tcBorders>
          </w:tcPr>
          <w:p w14:paraId="4E042493" w14:textId="77777777" w:rsidR="00381DDB" w:rsidRDefault="00381DDB">
            <w:pPr>
              <w:widowControl w:val="0"/>
              <w:autoSpaceDE w:val="0"/>
              <w:autoSpaceDN w:val="0"/>
              <w:adjustRightInd w:val="0"/>
              <w:rPr>
                <w:rFonts w:ascii="Arial" w:hAnsi="Arial" w:cs="Arial"/>
                <w:sz w:val="20"/>
                <w:szCs w:val="20"/>
              </w:rPr>
            </w:pPr>
          </w:p>
        </w:tc>
        <w:tc>
          <w:tcPr>
            <w:tcW w:w="1768" w:type="dxa"/>
            <w:tcBorders>
              <w:top w:val="single" w:sz="12" w:space="0" w:color="auto"/>
              <w:left w:val="single" w:sz="12" w:space="0" w:color="auto"/>
              <w:bottom w:val="single" w:sz="12" w:space="0" w:color="auto"/>
              <w:right w:val="single" w:sz="12" w:space="0" w:color="auto"/>
            </w:tcBorders>
          </w:tcPr>
          <w:p w14:paraId="0FFBEB5B" w14:textId="77777777" w:rsidR="00381DDB" w:rsidRDefault="00381DDB">
            <w:pPr>
              <w:widowControl w:val="0"/>
              <w:autoSpaceDE w:val="0"/>
              <w:autoSpaceDN w:val="0"/>
              <w:adjustRightInd w:val="0"/>
              <w:rPr>
                <w:rFonts w:ascii="Arial" w:hAnsi="Arial" w:cs="Arial"/>
                <w:sz w:val="20"/>
                <w:szCs w:val="20"/>
              </w:rPr>
            </w:pPr>
          </w:p>
        </w:tc>
        <w:tc>
          <w:tcPr>
            <w:tcW w:w="1652" w:type="dxa"/>
            <w:tcBorders>
              <w:top w:val="single" w:sz="12" w:space="0" w:color="auto"/>
              <w:left w:val="single" w:sz="12" w:space="0" w:color="auto"/>
              <w:bottom w:val="single" w:sz="12" w:space="0" w:color="auto"/>
              <w:right w:val="single" w:sz="12" w:space="0" w:color="auto"/>
            </w:tcBorders>
          </w:tcPr>
          <w:p w14:paraId="4E80AE44" w14:textId="77777777" w:rsidR="00381DDB" w:rsidRDefault="00381DDB">
            <w:pPr>
              <w:widowControl w:val="0"/>
              <w:autoSpaceDE w:val="0"/>
              <w:autoSpaceDN w:val="0"/>
              <w:adjustRightInd w:val="0"/>
              <w:rPr>
                <w:rFonts w:ascii="Arial" w:hAnsi="Arial" w:cs="Arial"/>
                <w:sz w:val="20"/>
                <w:szCs w:val="20"/>
              </w:rPr>
            </w:pPr>
          </w:p>
        </w:tc>
        <w:tc>
          <w:tcPr>
            <w:tcW w:w="1823" w:type="dxa"/>
            <w:tcBorders>
              <w:top w:val="single" w:sz="12" w:space="0" w:color="auto"/>
              <w:left w:val="single" w:sz="12" w:space="0" w:color="auto"/>
              <w:bottom w:val="single" w:sz="12" w:space="0" w:color="auto"/>
              <w:right w:val="single" w:sz="12" w:space="0" w:color="auto"/>
            </w:tcBorders>
          </w:tcPr>
          <w:p w14:paraId="39AA46FD" w14:textId="77777777" w:rsidR="00381DDB" w:rsidRDefault="00381DDB">
            <w:pPr>
              <w:widowControl w:val="0"/>
              <w:autoSpaceDE w:val="0"/>
              <w:autoSpaceDN w:val="0"/>
              <w:adjustRightInd w:val="0"/>
              <w:rPr>
                <w:rFonts w:ascii="Arial" w:hAnsi="Arial" w:cs="Arial"/>
                <w:sz w:val="20"/>
                <w:szCs w:val="20"/>
              </w:rPr>
            </w:pPr>
          </w:p>
        </w:tc>
        <w:tc>
          <w:tcPr>
            <w:tcW w:w="2160" w:type="dxa"/>
            <w:tcBorders>
              <w:top w:val="single" w:sz="12" w:space="0" w:color="auto"/>
              <w:left w:val="single" w:sz="12" w:space="0" w:color="auto"/>
              <w:bottom w:val="single" w:sz="12" w:space="0" w:color="auto"/>
              <w:right w:val="single" w:sz="12" w:space="0" w:color="auto"/>
            </w:tcBorders>
          </w:tcPr>
          <w:p w14:paraId="54721B0C" w14:textId="77777777" w:rsidR="00381DDB" w:rsidRDefault="00381DDB">
            <w:pPr>
              <w:widowControl w:val="0"/>
              <w:autoSpaceDE w:val="0"/>
              <w:autoSpaceDN w:val="0"/>
              <w:adjustRightInd w:val="0"/>
              <w:rPr>
                <w:rFonts w:ascii="Arial" w:hAnsi="Arial" w:cs="Arial"/>
                <w:sz w:val="20"/>
                <w:szCs w:val="20"/>
              </w:rPr>
            </w:pPr>
          </w:p>
        </w:tc>
        <w:tc>
          <w:tcPr>
            <w:tcW w:w="1501" w:type="dxa"/>
            <w:tcBorders>
              <w:top w:val="single" w:sz="12" w:space="0" w:color="auto"/>
              <w:left w:val="single" w:sz="12" w:space="0" w:color="auto"/>
              <w:bottom w:val="single" w:sz="12" w:space="0" w:color="auto"/>
              <w:right w:val="single" w:sz="12" w:space="0" w:color="auto"/>
            </w:tcBorders>
          </w:tcPr>
          <w:p w14:paraId="38846B9C" w14:textId="77777777" w:rsidR="00381DDB" w:rsidRDefault="00381DDB">
            <w:pPr>
              <w:widowControl w:val="0"/>
              <w:autoSpaceDE w:val="0"/>
              <w:autoSpaceDN w:val="0"/>
              <w:adjustRightInd w:val="0"/>
              <w:rPr>
                <w:rFonts w:ascii="Arial" w:hAnsi="Arial" w:cs="Arial"/>
                <w:sz w:val="20"/>
                <w:szCs w:val="20"/>
              </w:rPr>
            </w:pPr>
          </w:p>
        </w:tc>
      </w:tr>
    </w:tbl>
    <w:p w14:paraId="4D3346E9" w14:textId="77777777" w:rsidR="00381DDB" w:rsidRDefault="003712EA">
      <w:pPr>
        <w:widowControl w:val="0"/>
        <w:autoSpaceDE w:val="0"/>
        <w:autoSpaceDN w:val="0"/>
        <w:adjustRightInd w:val="0"/>
        <w:jc w:val="center"/>
        <w:rPr>
          <w:rFonts w:ascii="Times New Roman CYR" w:hAnsi="Times New Roman CYR" w:cs="Times New Roman CYR"/>
          <w:b/>
          <w:bCs/>
          <w:sz w:val="28"/>
          <w:szCs w:val="28"/>
        </w:rPr>
      </w:pPr>
      <w:r>
        <w:rPr>
          <w:rFonts w:ascii="Times New Roman CYR" w:hAnsi="Times New Roman CYR" w:cs="Times New Roman CYR"/>
          <w:b/>
          <w:bCs/>
          <w:sz w:val="28"/>
          <w:szCs w:val="28"/>
        </w:rPr>
        <w:t>Основные критерии оценки и принципы деления минеральных вод по физико-химическому составу.</w:t>
      </w:r>
    </w:p>
    <w:p w14:paraId="433443A4" w14:textId="77777777" w:rsidR="00381DDB" w:rsidRDefault="00381DDB">
      <w:pPr>
        <w:widowControl w:val="0"/>
        <w:autoSpaceDE w:val="0"/>
        <w:autoSpaceDN w:val="0"/>
        <w:adjustRightInd w:val="0"/>
        <w:jc w:val="center"/>
        <w:rPr>
          <w:rFonts w:ascii="Times New Roman CYR" w:hAnsi="Times New Roman CYR" w:cs="Times New Roman CYR"/>
          <w:b/>
          <w:bCs/>
          <w:sz w:val="28"/>
          <w:szCs w:val="28"/>
        </w:rPr>
      </w:pPr>
    </w:p>
    <w:p w14:paraId="4713D31A" w14:textId="77777777" w:rsidR="003712EA" w:rsidRDefault="003712EA">
      <w:pPr>
        <w:widowControl w:val="0"/>
        <w:autoSpaceDE w:val="0"/>
        <w:autoSpaceDN w:val="0"/>
        <w:adjustRightInd w:val="0"/>
      </w:pPr>
    </w:p>
    <w:sectPr w:rsidR="003712EA">
      <w:pgSz w:w="12240" w:h="15840"/>
      <w:pgMar w:top="1134" w:right="850" w:bottom="1134" w:left="1701"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64BA87" w14:textId="77777777" w:rsidR="00B102E5" w:rsidRDefault="00B102E5">
      <w:r>
        <w:separator/>
      </w:r>
    </w:p>
  </w:endnote>
  <w:endnote w:type="continuationSeparator" w:id="0">
    <w:p w14:paraId="7F271EC4" w14:textId="77777777" w:rsidR="00B102E5" w:rsidRDefault="00B102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imes New Roman CYR">
    <w:altName w:val="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Arial CYR">
    <w:altName w:val="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541E3C" w14:textId="77777777" w:rsidR="00B102E5" w:rsidRDefault="00B102E5">
      <w:r>
        <w:separator/>
      </w:r>
    </w:p>
  </w:footnote>
  <w:footnote w:type="continuationSeparator" w:id="0">
    <w:p w14:paraId="0A6C30AB" w14:textId="77777777" w:rsidR="00B102E5" w:rsidRDefault="00B102E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708"/>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3A4E"/>
    <w:rsid w:val="00053A4E"/>
    <w:rsid w:val="003712EA"/>
    <w:rsid w:val="00381DDB"/>
    <w:rsid w:val="00B102E5"/>
    <w:rsid w:val="00BE61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E51004B"/>
  <w14:defaultImageDpi w14:val="0"/>
  <w15:docId w15:val="{85ACAEEC-D3A1-4F23-8447-E5CC81C4D2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40" w:lineRule="auto"/>
    </w:pPr>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677"/>
        <w:tab w:val="right" w:pos="9355"/>
      </w:tabs>
    </w:pPr>
  </w:style>
  <w:style w:type="character" w:customStyle="1" w:styleId="a4">
    <w:name w:val="Верхний колонтитул Знак"/>
    <w:basedOn w:val="a0"/>
    <w:link w:val="a3"/>
    <w:uiPriority w:val="99"/>
    <w:semiHidden/>
    <w:rPr>
      <w:rFonts w:ascii="Times New Roman" w:hAnsi="Times New Roman" w:cs="Times New Roman"/>
      <w:sz w:val="24"/>
      <w:szCs w:val="24"/>
    </w:rPr>
  </w:style>
  <w:style w:type="paragraph" w:styleId="a5">
    <w:name w:val="footer"/>
    <w:basedOn w:val="a"/>
    <w:link w:val="a6"/>
    <w:uiPriority w:val="99"/>
    <w:pPr>
      <w:tabs>
        <w:tab w:val="center" w:pos="4677"/>
        <w:tab w:val="right" w:pos="9355"/>
      </w:tabs>
    </w:pPr>
  </w:style>
  <w:style w:type="character" w:customStyle="1" w:styleId="a6">
    <w:name w:val="Нижний колонтитул Знак"/>
    <w:basedOn w:val="a0"/>
    <w:link w:val="a5"/>
    <w:uiPriority w:val="99"/>
    <w:semiHidden/>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13409</Words>
  <Characters>76434</Characters>
  <Application>Microsoft Office Word</Application>
  <DocSecurity>0</DocSecurity>
  <Lines>636</Lines>
  <Paragraphs>179</Paragraphs>
  <ScaleCrop>false</ScaleCrop>
  <Company>cc</Company>
  <LinksUpToDate>false</LinksUpToDate>
  <CharactersWithSpaces>89664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dc:title>
  <dc:subject/>
  <dc:creator>koshara</dc:creator>
  <cp:keywords/>
  <dc:description/>
  <cp:lastModifiedBy>Igor</cp:lastModifiedBy>
  <cp:revision>4</cp:revision>
  <dcterms:created xsi:type="dcterms:W3CDTF">2025-03-28T07:07:00Z</dcterms:created>
  <dcterms:modified xsi:type="dcterms:W3CDTF">2025-03-28T07:07:00Z</dcterms:modified>
</cp:coreProperties>
</file>