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0AD8" w14:textId="77777777" w:rsidR="00AB1791" w:rsidRPr="001D31FA" w:rsidRDefault="00AB1791" w:rsidP="001D31FA">
      <w:pPr>
        <w:spacing w:line="360" w:lineRule="auto"/>
        <w:ind w:firstLine="709"/>
        <w:jc w:val="center"/>
        <w:rPr>
          <w:sz w:val="28"/>
          <w:szCs w:val="28"/>
        </w:rPr>
      </w:pPr>
      <w:r w:rsidRPr="001D31FA">
        <w:rPr>
          <w:sz w:val="28"/>
          <w:szCs w:val="28"/>
        </w:rPr>
        <w:t>Министерств</w:t>
      </w:r>
      <w:r w:rsidR="001D31FA">
        <w:rPr>
          <w:sz w:val="28"/>
          <w:szCs w:val="28"/>
        </w:rPr>
        <w:t>о</w:t>
      </w:r>
      <w:r w:rsidRPr="001D31FA">
        <w:rPr>
          <w:sz w:val="28"/>
          <w:szCs w:val="28"/>
        </w:rPr>
        <w:t xml:space="preserve"> образования и науки</w:t>
      </w:r>
    </w:p>
    <w:p w14:paraId="644BE000" w14:textId="77777777" w:rsidR="001D31FA" w:rsidRDefault="001D31FA" w:rsidP="001D31F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Украинский</w:t>
      </w:r>
      <w:r w:rsidR="00AB1791" w:rsidRPr="001D31F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ый </w:t>
      </w:r>
    </w:p>
    <w:p w14:paraId="4DDD508B" w14:textId="77777777" w:rsidR="00AB1791" w:rsidRPr="001D31FA" w:rsidRDefault="00AB1791" w:rsidP="001D31FA">
      <w:pPr>
        <w:spacing w:line="360" w:lineRule="auto"/>
        <w:ind w:firstLine="709"/>
        <w:jc w:val="center"/>
        <w:rPr>
          <w:sz w:val="28"/>
          <w:szCs w:val="28"/>
        </w:rPr>
      </w:pPr>
      <w:r w:rsidRPr="001D31FA">
        <w:rPr>
          <w:sz w:val="28"/>
          <w:szCs w:val="28"/>
        </w:rPr>
        <w:t>Химико-Технологическ</w:t>
      </w:r>
      <w:r w:rsidR="001D31FA">
        <w:rPr>
          <w:sz w:val="28"/>
          <w:szCs w:val="28"/>
        </w:rPr>
        <w:t>ий</w:t>
      </w:r>
      <w:r w:rsidRPr="001D31FA">
        <w:rPr>
          <w:sz w:val="28"/>
          <w:szCs w:val="28"/>
        </w:rPr>
        <w:t xml:space="preserve"> Университет</w:t>
      </w:r>
    </w:p>
    <w:p w14:paraId="3E67B798" w14:textId="77777777" w:rsidR="001D31FA" w:rsidRDefault="001D31FA" w:rsidP="001D31F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FB068E" w14:textId="77777777" w:rsidR="00AB1791" w:rsidRPr="001D31FA" w:rsidRDefault="00AB1791" w:rsidP="001D31FA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Кафедра ТОФТ</w:t>
      </w:r>
    </w:p>
    <w:p w14:paraId="5837423D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4F108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F95B4" w14:textId="77777777" w:rsidR="00AB1791" w:rsidRPr="001D31FA" w:rsidRDefault="00AB1791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3AECD0C" w14:textId="77777777" w:rsidR="001D31FA" w:rsidRDefault="001D31FA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FCF0BF" w14:textId="77777777" w:rsidR="001D31FA" w:rsidRDefault="001D31FA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9ACA063" w14:textId="77777777" w:rsidR="001D31FA" w:rsidRDefault="001D31FA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E91B701" w14:textId="77777777" w:rsidR="001D31FA" w:rsidRDefault="001D31FA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7266E50" w14:textId="77777777" w:rsidR="00AB1791" w:rsidRPr="001D31FA" w:rsidRDefault="00AB1791" w:rsidP="001D31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1FA">
        <w:rPr>
          <w:b/>
          <w:sz w:val="28"/>
          <w:szCs w:val="28"/>
        </w:rPr>
        <w:t>Реферат</w:t>
      </w:r>
    </w:p>
    <w:p w14:paraId="1862E1CF" w14:textId="77777777" w:rsidR="00AB1791" w:rsidRPr="001D31FA" w:rsidRDefault="00AB1791" w:rsidP="001D31FA">
      <w:pPr>
        <w:spacing w:line="360" w:lineRule="auto"/>
        <w:ind w:firstLine="709"/>
        <w:jc w:val="center"/>
        <w:rPr>
          <w:sz w:val="28"/>
          <w:szCs w:val="28"/>
        </w:rPr>
      </w:pPr>
      <w:r w:rsidRPr="001D31FA">
        <w:rPr>
          <w:sz w:val="28"/>
          <w:szCs w:val="28"/>
        </w:rPr>
        <w:t>На тему: Кора крушины</w:t>
      </w:r>
    </w:p>
    <w:p w14:paraId="247D87A9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7ECA207A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2B4CF077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41B1E0B8" w14:textId="77777777" w:rsidR="00AB1791" w:rsidRPr="001D31FA" w:rsidRDefault="00AB1791" w:rsidP="001D31FA">
      <w:pPr>
        <w:spacing w:line="360" w:lineRule="auto"/>
        <w:ind w:firstLine="6096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Выполнил:</w:t>
      </w:r>
    </w:p>
    <w:p w14:paraId="6006C45D" w14:textId="77777777" w:rsidR="00AB1791" w:rsidRPr="001D31FA" w:rsidRDefault="00AB1791" w:rsidP="001D31FA">
      <w:pPr>
        <w:spacing w:line="360" w:lineRule="auto"/>
        <w:ind w:firstLine="6096"/>
        <w:jc w:val="both"/>
        <w:rPr>
          <w:sz w:val="28"/>
          <w:szCs w:val="28"/>
        </w:rPr>
      </w:pPr>
      <w:r w:rsidRPr="001D31FA">
        <w:rPr>
          <w:sz w:val="28"/>
          <w:szCs w:val="28"/>
        </w:rPr>
        <w:t xml:space="preserve">Студент группы 4 – Ф – 74 </w:t>
      </w:r>
    </w:p>
    <w:p w14:paraId="7EA81599" w14:textId="77777777" w:rsidR="00AB1791" w:rsidRPr="001D31FA" w:rsidRDefault="00AB1791" w:rsidP="001D31FA">
      <w:pPr>
        <w:spacing w:line="360" w:lineRule="auto"/>
        <w:ind w:firstLine="6096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Гасанов Э.Г.</w:t>
      </w:r>
    </w:p>
    <w:p w14:paraId="11518B6A" w14:textId="77777777" w:rsidR="00AB1791" w:rsidRPr="001D31FA" w:rsidRDefault="00AB1791" w:rsidP="001D31FA">
      <w:pPr>
        <w:spacing w:line="360" w:lineRule="auto"/>
        <w:ind w:firstLine="6096"/>
        <w:jc w:val="both"/>
        <w:rPr>
          <w:sz w:val="28"/>
          <w:szCs w:val="28"/>
        </w:rPr>
      </w:pPr>
    </w:p>
    <w:p w14:paraId="005E2CAA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37E4305A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481FC82F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064F92FC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35C69435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1E3073BF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43D52C98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641CA4A0" w14:textId="77777777" w:rsidR="00AB1791" w:rsidRPr="001D31FA" w:rsidRDefault="00AB1791" w:rsidP="001D31FA">
      <w:pPr>
        <w:spacing w:line="360" w:lineRule="auto"/>
        <w:ind w:firstLine="709"/>
        <w:jc w:val="center"/>
        <w:rPr>
          <w:sz w:val="28"/>
          <w:szCs w:val="28"/>
        </w:rPr>
      </w:pPr>
      <w:r w:rsidRPr="001D31FA">
        <w:rPr>
          <w:sz w:val="28"/>
          <w:szCs w:val="28"/>
        </w:rPr>
        <w:t>г. Днепропетровск</w:t>
      </w:r>
      <w:r w:rsidR="00862426">
        <w:rPr>
          <w:sz w:val="28"/>
          <w:szCs w:val="28"/>
        </w:rPr>
        <w:t xml:space="preserve"> </w:t>
      </w:r>
      <w:r w:rsidRPr="001D31FA">
        <w:rPr>
          <w:sz w:val="28"/>
          <w:szCs w:val="28"/>
        </w:rPr>
        <w:t>2009</w:t>
      </w:r>
    </w:p>
    <w:p w14:paraId="39E46D0F" w14:textId="77777777" w:rsidR="001D31FA" w:rsidRPr="001D31FA" w:rsidRDefault="001D31FA" w:rsidP="001D31F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1D31FA">
        <w:rPr>
          <w:sz w:val="28"/>
          <w:szCs w:val="28"/>
        </w:rPr>
        <w:br w:type="page"/>
      </w:r>
    </w:p>
    <w:p w14:paraId="0B38B79D" w14:textId="77777777" w:rsidR="00AB1791" w:rsidRPr="001D31FA" w:rsidRDefault="00AB1791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31FA">
        <w:rPr>
          <w:b/>
          <w:sz w:val="28"/>
          <w:szCs w:val="28"/>
        </w:rPr>
        <w:lastRenderedPageBreak/>
        <w:t>План:</w:t>
      </w:r>
    </w:p>
    <w:p w14:paraId="19E8A960" w14:textId="77777777" w:rsidR="00AB1791" w:rsidRPr="001D31FA" w:rsidRDefault="00AB1791" w:rsidP="001D31FA">
      <w:pPr>
        <w:spacing w:line="360" w:lineRule="auto"/>
        <w:ind w:firstLine="709"/>
        <w:jc w:val="both"/>
        <w:rPr>
          <w:sz w:val="28"/>
          <w:szCs w:val="28"/>
        </w:rPr>
      </w:pPr>
    </w:p>
    <w:p w14:paraId="0DB68937" w14:textId="77777777" w:rsidR="001D31FA" w:rsidRPr="001D31FA" w:rsidRDefault="00AB1791" w:rsidP="001D31FA">
      <w:pPr>
        <w:spacing w:line="360" w:lineRule="auto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Введение.</w:t>
      </w:r>
    </w:p>
    <w:p w14:paraId="2EBAC571" w14:textId="77777777" w:rsidR="00AB1791" w:rsidRPr="001D31FA" w:rsidRDefault="006E466A" w:rsidP="001D31FA">
      <w:pPr>
        <w:spacing w:line="360" w:lineRule="auto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Описание морфологии коры крушины.</w:t>
      </w:r>
    </w:p>
    <w:p w14:paraId="4E355E4F" w14:textId="77777777" w:rsidR="00AB1791" w:rsidRPr="001D31FA" w:rsidRDefault="00AB1791" w:rsidP="001D31FA">
      <w:pPr>
        <w:spacing w:line="360" w:lineRule="auto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Содержание главных веществ в растении.</w:t>
      </w:r>
    </w:p>
    <w:p w14:paraId="706FE9DE" w14:textId="77777777" w:rsidR="00AB1791" w:rsidRPr="001D31FA" w:rsidRDefault="00AB1791" w:rsidP="001D31FA">
      <w:pPr>
        <w:spacing w:line="360" w:lineRule="auto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Растворители.</w:t>
      </w:r>
    </w:p>
    <w:p w14:paraId="106BDC71" w14:textId="77777777" w:rsidR="00AB1791" w:rsidRPr="001D31FA" w:rsidRDefault="00AB1791" w:rsidP="001D31FA">
      <w:pPr>
        <w:spacing w:line="360" w:lineRule="auto"/>
        <w:jc w:val="both"/>
        <w:rPr>
          <w:sz w:val="28"/>
          <w:szCs w:val="28"/>
        </w:rPr>
      </w:pPr>
      <w:r w:rsidRPr="001D31FA">
        <w:rPr>
          <w:sz w:val="28"/>
          <w:szCs w:val="28"/>
        </w:rPr>
        <w:t>Математически</w:t>
      </w:r>
      <w:r w:rsidR="006E466A" w:rsidRPr="001D31FA">
        <w:rPr>
          <w:sz w:val="28"/>
          <w:szCs w:val="28"/>
        </w:rPr>
        <w:t>й баланс для</w:t>
      </w:r>
      <w:r w:rsidR="00862426">
        <w:rPr>
          <w:sz w:val="28"/>
          <w:szCs w:val="28"/>
        </w:rPr>
        <w:t xml:space="preserve"> </w:t>
      </w:r>
      <w:r w:rsidR="006E466A" w:rsidRPr="001D31FA">
        <w:rPr>
          <w:sz w:val="28"/>
          <w:szCs w:val="28"/>
        </w:rPr>
        <w:t>настойки крушины</w:t>
      </w:r>
      <w:r w:rsidRPr="001D31FA">
        <w:rPr>
          <w:sz w:val="28"/>
          <w:szCs w:val="28"/>
        </w:rPr>
        <w:t>.</w:t>
      </w:r>
    </w:p>
    <w:p w14:paraId="14F49905" w14:textId="77777777" w:rsidR="001D31FA" w:rsidRPr="001D31FA" w:rsidRDefault="001D31FA" w:rsidP="001D31FA">
      <w:pPr>
        <w:spacing w:line="360" w:lineRule="auto"/>
        <w:ind w:firstLine="709"/>
        <w:jc w:val="both"/>
        <w:rPr>
          <w:sz w:val="28"/>
          <w:szCs w:val="28"/>
        </w:rPr>
      </w:pPr>
      <w:r w:rsidRPr="001D31FA">
        <w:rPr>
          <w:sz w:val="28"/>
          <w:szCs w:val="28"/>
        </w:rPr>
        <w:br w:type="page"/>
      </w:r>
    </w:p>
    <w:p w14:paraId="069F109D" w14:textId="77777777" w:rsidR="00AB1791" w:rsidRPr="001D31FA" w:rsidRDefault="00AB1791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31FA">
        <w:rPr>
          <w:b/>
          <w:sz w:val="28"/>
          <w:szCs w:val="28"/>
        </w:rPr>
        <w:lastRenderedPageBreak/>
        <w:t>Введение</w:t>
      </w:r>
    </w:p>
    <w:p w14:paraId="1F4D0891" w14:textId="77777777" w:rsidR="00AB1791" w:rsidRPr="001D31FA" w:rsidRDefault="00AB1791" w:rsidP="001D31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94E589F" w14:textId="77777777" w:rsidR="00667A3E" w:rsidRPr="001D31FA" w:rsidRDefault="00667A3E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Крушина известна издавна. Согласно библейским легендам, ее использовали для плетения тернового венка Иисусу, поэтому она символизирует смирение, чистоту и непорочность. Считали, что подвешенная на двери и окне крушина предотвращает чары колдунов и демонов.</w:t>
      </w:r>
    </w:p>
    <w:p w14:paraId="7DAAC392" w14:textId="77777777" w:rsidR="00667A3E" w:rsidRPr="001D31FA" w:rsidRDefault="00667A3E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Как лечебное средство крушина давно известна в Индии и Китае. В медицине раннего средневековья крушину применяли довольно редко. Известно, что с лечебной целью ее использовали англосаксы еще до завоевания Британских островов норманами. Валлийский врач Myddafai («Meddygon Myddavai») в ХIII ст. назначал сок плодов крушины, сваренный с медом, как легкий слабительный напиток. Одно из первых упоминаний о крушине как слабительном средстве встречается в 1305 г. в работе итальянского природоисследователя и врача из Болоньи Petrus de Crescentiis (1230-1320) «Opua Ruralium Commodorum Libri XII». Как о слабительном средстве о ней упоминается в средневековом чешском травнике Р. A. Matthioli и T. Hajek (1554), причем указывается, что ее следует применять после однолетнего хранения в сухом месте. Крушину рекомендовали также при водянке, а свежей корой, смоченной в уксусе, лечили паршу, протирали лицо и прикладывали к «червивым зубам». Сироп из крушины, содержащий для ароматизации добавки плодов аниса, корицы и мускатных орехов, появился в Лондонской фармакопее издания 1650 г. В XVII-XVIII ст. кору крушины довольно широко применили как слабительное средство (заменитель очень дорогого «заморского» ревеня), особенно среди бедных слоев населения. S. Kneipp назначал с этой целью кору, плоды, а также крушинное вино. Кроме того, кору крушины использовали при чесотке, заболеваниях печени, водянке, для лечения язв и как глистогонное средство. Из ветвей крушины получали уголь, который использовали для приготовления пороха для огнестрельного оружия. Крупным поставщиком </w:t>
      </w:r>
      <w:r w:rsidRPr="001D31FA">
        <w:rPr>
          <w:rFonts w:ascii="Times New Roman" w:hAnsi="Times New Roman"/>
          <w:sz w:val="28"/>
          <w:szCs w:val="28"/>
        </w:rPr>
        <w:lastRenderedPageBreak/>
        <w:t>коры крушины была Россия. Так, до 1914 г. здесь ежегодно заготовляли не менее 3 тысяч пудов коры крушины для внутренних потребностей и экспорта.</w:t>
      </w:r>
    </w:p>
    <w:p w14:paraId="1B1DA2E4" w14:textId="77777777" w:rsidR="00667A3E" w:rsidRPr="001D31FA" w:rsidRDefault="00667A3E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В народной медицине кору крушины применяют как слабительное средство, а также при заболеваниях печени, водянке, геморрое, подагре, горячке. Крепким отваром коры рекомендуют омывать кожу при чесотке, а отвар плодов используют для компрессов и промываний при фурункулезе и высыпаниях на коже. Порошок плодов крушины ольховидной употребляют внутрь при анемии, поносе, гельминтозах, водянке и обильных менструациях. Старинная народная медицина рекомендовала лист крушины при раке наружных половых органов.</w:t>
      </w:r>
    </w:p>
    <w:p w14:paraId="5AFEB934" w14:textId="77777777" w:rsidR="00667A3E" w:rsidRPr="001D31FA" w:rsidRDefault="00667A3E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Крушина Пурша в прошлом была хорошо известна жителям Центральной и Северной Америки. Индейские племена, которые населяли современную Калифорнию и Мексику, считали кору крушины ценнейшим универсальным лекарством. Отвар из коры употребляли как противовоспалительное и противолихорадочное средство при малярии и как очищающее средство при заболеваниях органов пищеварительного тракта и печени. Кору также использовали при желчных камнях и других заболеваниях желчевыделительной системы. Испанские завоеватели в ХVI столетии привезли кору крушины Пурша в Европу. Лечебные свойства коры настолько поражали тогдашних миссионеров, что ее назвали cascara sagrada — в переводе с испанского означает «святая кора». Однако в Европе вместо дорогостоящей коры каскары использовали дешевую кору крушины ольховидной. Вместе с тем кора крушины Пурша в ХIХ ст. была одним из популярнейших лекарств в США и входила вместе с корнями подофила в состав различных пилюль и спиртово-водных экстрактов для лечения заболеваний органов пищеварения. Следует отметить, что в 1915 году русский ботаник М. Голенкина приводила данные о том, что в России еще в ХIХ ст. кора крушины Пурша ценилась выше, чем кора крушины ломкой, поскольку она меньше раздражала кишечник. В связи с популярностью коры </w:t>
      </w:r>
      <w:r w:rsidRPr="001D31FA">
        <w:rPr>
          <w:rFonts w:ascii="Times New Roman" w:hAnsi="Times New Roman"/>
          <w:sz w:val="28"/>
          <w:szCs w:val="28"/>
        </w:rPr>
        <w:lastRenderedPageBreak/>
        <w:t>каскары ее цена в те времена увеличилась в 5 раз, садовникам и ботаникам России было предложено разводить крушину Пурша как ценную культуру.</w:t>
      </w:r>
    </w:p>
    <w:p w14:paraId="7913D874" w14:textId="77777777" w:rsidR="00AB1791" w:rsidRPr="001D31FA" w:rsidRDefault="00667A3E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Кору и плоды крушины даурской Rhamnus davurica Pall применяют в народной медицине как слабительное и мочегонное средство, а также при опухолях. Высокие дозы препаратов коры использовали как рвотное средство, а препараты древесины — для остановки кровотечений.</w:t>
      </w:r>
    </w:p>
    <w:p w14:paraId="0963CECF" w14:textId="77777777" w:rsidR="001D31FA" w:rsidRDefault="001D31FA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550187A1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lastRenderedPageBreak/>
        <w:t xml:space="preserve">Морфология </w:t>
      </w:r>
      <w:r w:rsidR="00F163FD" w:rsidRPr="001D31FA">
        <w:rPr>
          <w:rFonts w:ascii="Times New Roman" w:hAnsi="Times New Roman"/>
          <w:b/>
          <w:sz w:val="28"/>
          <w:szCs w:val="28"/>
        </w:rPr>
        <w:t>Крушины ломкой</w:t>
      </w:r>
    </w:p>
    <w:p w14:paraId="36BD20AD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9B69FD" w14:textId="77777777" w:rsidR="00AB1791" w:rsidRPr="001D31FA" w:rsidRDefault="00644A35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A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D6D3A2" wp14:editId="1181AC6B">
            <wp:extent cx="2667000" cy="2476500"/>
            <wp:effectExtent l="0" t="0" r="0" b="0"/>
            <wp:docPr id="1" name="Рисунок 101" descr="C:\Documents and Settings\Admin\Рабочий стол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C:\Documents and Settings\Admin\Рабочий стол\4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B9EC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125041" w14:textId="77777777" w:rsidR="00E3774A" w:rsidRPr="001D31FA" w:rsidRDefault="00E3774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Кустарник или небольшое дерево высотой до 3-5 м. Молодые побеги очередные, красно-бурые или серовато-коричневые, с многочисленными светлыми чечевичками, иногда с сероватым налётом. Почки очередные, обнажённые, без чешуек, состоят из свёрнутых молодых листочков, покрытых рыжеватыми волосками (1). Верхушечные почки длиной 5-7 мм, боковые — более мелкие и обычно прижатые к побегу. Листовой рубец округлый, с 3 следами (2). Сердцевина рыжевато-белая, древесина рассеянно-поровая с желтовато-красным блестящим ядром.</w:t>
      </w:r>
    </w:p>
    <w:p w14:paraId="059D85F7" w14:textId="77777777" w:rsidR="00E3774A" w:rsidRPr="001D31FA" w:rsidRDefault="00E3774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Листья очередные или косо-супротивные, эллиптические, длиной 4-10 см, на коротких черешках до 1,5 см длиной. Края цельные (1). Листовые пластины имеют 7-10 пар слегка изогнутых и почти параллельных жилок (2), сверху темно-зеленые, голые или снизу по жилкам с рыжеватыми волосками.</w:t>
      </w:r>
    </w:p>
    <w:p w14:paraId="0728F8A0" w14:textId="77777777" w:rsidR="00E3774A" w:rsidRPr="001D31FA" w:rsidRDefault="00E3774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Цветки обоеполые (редко однополые), правильные, 5-членные, колокольчатые (3), длиной 2-3,5 мм, расположены по 2-10 в пазушных пучках, в нижней части побега. Околоцветник двойной. Цветоножки до 10 мм длиной. Чашечка с клиновидно-треугольными долями, снаружи зеленая, внутри беловатая. Лепестки мелкие, короче чашелистиков, внутри беловатые, с 5 тычинками с короткими нитями. Завязь 3-гнездная, столбик прямой, с головчатым рыльцем. Цветет в мае.</w:t>
      </w:r>
    </w:p>
    <w:p w14:paraId="49D6C5D3" w14:textId="77777777" w:rsidR="00E3774A" w:rsidRPr="001D31FA" w:rsidRDefault="00E3774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lastRenderedPageBreak/>
        <w:t>Плод — шаровидная сочная костянка (4) диаметром 8-10 мм, вначале красная, при созревании фиолетово-черная, с 3 округло-треугольными, гладкими, желтовато-зелеными косточками. Плоды созревают в августе.</w:t>
      </w:r>
    </w:p>
    <w:p w14:paraId="4F70163B" w14:textId="77777777" w:rsidR="00E3774A" w:rsidRPr="001D31FA" w:rsidRDefault="00E3774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Ареал крушины ломкой охватывает лесную и лесостепную зоны Европы, Западной Сибири (достигая предгорий Саян), север Малой Азии. Встречается также в Крыму, на Кавказе, в Западной Сибири и северных районах Средней Азии. Растет повсеместно по лесам, зарослям кустарников, лесным опушкам и склонам. Хорошо развивается на вырубках, а в лесах образует разреженный подлесок. Обживает залежи, куда плоды ее заносятся потребляющими их дроздами, снегирями, свиристелями, мелкими грызунами. Крушина развивает поросль от пня, и размножается также корневыми отпрысками. </w:t>
      </w:r>
    </w:p>
    <w:p w14:paraId="1A11A276" w14:textId="77777777" w:rsidR="00AB1791" w:rsidRPr="001D31FA" w:rsidRDefault="00E3774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Хозяйственное значение. Используется для изготовления лучших сортов охотничьего пороха, получаемого при сгорании древесины из беззольного угля. Древесина мягкая, легко колется, используется для токарных работ и выработки фанеры. Кора и плоды обладает слабительными и рвотными свойствами и применяется в медицине. Незрелые плоды и кора являются сырьем для желтой краски, а из зрелых плодов изготовляют зеленую краску для хлопковых тканей и фиолетовую для шерстяных. Разводится в городах и поселках как декоративный кустарник, хорошо переносящий нечистоты воздуха.</w:t>
      </w:r>
    </w:p>
    <w:p w14:paraId="31925838" w14:textId="77777777" w:rsidR="00716F09" w:rsidRPr="001D31FA" w:rsidRDefault="00716F09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4F1D88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t>Содержание главных веществ в растении</w:t>
      </w:r>
    </w:p>
    <w:p w14:paraId="342CC54C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99B4C0" w14:textId="77777777" w:rsidR="00AB1791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D31FA">
        <w:rPr>
          <w:rFonts w:ascii="Times New Roman" w:hAnsi="Times New Roman"/>
          <w:bCs/>
          <w:sz w:val="28"/>
          <w:szCs w:val="28"/>
          <w:lang w:eastAsia="ru-RU"/>
        </w:rPr>
        <w:t>В коре, листьях, почках и плодах крушины ольховидной содержатся антрагликозиды — производные метилоксиантрахинонов разной степени восстановления, которые обусловливают основное фармакологическое действие растения. Больше всего их в коре (от 2-4 до 8%). Основными антрагликозидами крушины являются биозиды глюкофрангулин А (6α-L-рамнозил-8β-D-глюкозид франгула-эмодина) и глюкофрангулин В (6α-D-</w:t>
      </w:r>
      <w:r w:rsidRPr="001D31FA">
        <w:rPr>
          <w:rFonts w:ascii="Times New Roman" w:hAnsi="Times New Roman"/>
          <w:bCs/>
          <w:sz w:val="28"/>
          <w:szCs w:val="28"/>
          <w:lang w:eastAsia="ru-RU"/>
        </w:rPr>
        <w:lastRenderedPageBreak/>
        <w:t>апиофуранозил-8β-D-глюкозид франгула-эмодина), и монозиды франгулин А и франгулин В. Кроме них в коре крушины ольховидной в меньших количествах выявлен эмодин-8-О-β-генциобиозид, гликозиды фисциона и хризофанола.</w:t>
      </w:r>
    </w:p>
    <w:p w14:paraId="07B7EFD0" w14:textId="77777777" w:rsidR="00641BCB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677ABAC" w14:textId="77777777" w:rsidR="00641BCB" w:rsidRPr="001D31FA" w:rsidRDefault="00644A35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A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C0520C" wp14:editId="0B1873A6">
            <wp:extent cx="5067300" cy="2771775"/>
            <wp:effectExtent l="0" t="0" r="0" b="0"/>
            <wp:docPr id="2" name="Рисунок 102" descr="C:\Documents and Settings\Admin\Рабочий стол\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C:\Documents and Settings\Admin\Рабочий стол\А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A64D" w14:textId="77777777" w:rsidR="001D31FA" w:rsidRDefault="001D31FA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59004" w14:textId="77777777" w:rsidR="00641BCB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В свежей коре крушины антроновые гликозиды содержатся в восстановленном виде — франгулярозиды А и В (антранолглюкофрангулины).</w:t>
      </w:r>
    </w:p>
    <w:p w14:paraId="0782E490" w14:textId="77777777" w:rsidR="00641BCB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Они обладают раздражающими и рвотными свойствами. Вместе с тем эти соединения являются лабильными и способны к автоокислению даже кислородом воздуха. Поэтому кору крушины применяют после хранения в течение 1 года или процесс окисления ускоряют нагреванием при 110°С в течение 1 часа. Сначала франгулярозиды превращаются в гюкофрангулины А и В. Дале под влиянием ферментов от глюкофрангулинов отщепляется молекула глюкозы, таким образом биозиды превращаются в монозиды франгулин А и франгулин В. В кислой среде они гидролизируются с высвобождением франгула-эмодина и рамнозы (франгулин А) или апиозы (франгулин В). Ведь в коре крушины, используемой в медицине, могут одновременно содержаться глюкофрангулины, франгулины и франгула-эмодин.</w:t>
      </w:r>
    </w:p>
    <w:p w14:paraId="43872C7F" w14:textId="77777777" w:rsidR="00641BCB" w:rsidRPr="001D31FA" w:rsidRDefault="00644A35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A35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196040" wp14:editId="1C8E52E4">
            <wp:extent cx="4095750" cy="4686300"/>
            <wp:effectExtent l="0" t="0" r="0" b="0"/>
            <wp:docPr id="3" name="Рисунок 106" descr="C:\Documents and Settings\Admin\Рабочий стол\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C:\Documents and Settings\Admin\Рабочий стол\А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E937" w14:textId="77777777" w:rsidR="007852E3" w:rsidRPr="001D31FA" w:rsidRDefault="007852E3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79BE18" w14:textId="77777777" w:rsidR="00641BCB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Кроме франгула-эмодина (1,6,8-тригидрокси-3-метилантрахинона, или реум-эмодина) в коре крушины ольховидной выявлены другие антроновые агликоны: хризофановая кислота (хризофанол или 1,8-дигидрокси-3-метилантрахинон), алоэ-эмодин, фисцион (реохризидин или 1,8-дигидрокси-3-метил-6-метоксиантрахинон), а также пальмидин С — гетеродиантрон франгула-эмодина и хризофанола.</w:t>
      </w:r>
    </w:p>
    <w:p w14:paraId="747E73C2" w14:textId="77777777" w:rsidR="00641BCB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Наряду с антроновыми соединениями в коре крушины содержится значительное количество дубильных веществ (10,4%), пептидные алкалоиды франгуланины (0,15%) — производные р-гидроксистирилоамина франганина, органические кислоты (в частности, яблочная), тритерпеновые гликозиды, сапонины, горечи, смолистые вещества, флавоноиды (ксанторамин и рамнетин), следы эфирного масла, крахмал, пектины, разные сахара. В гидролизате коры найден 1,8-дигидрокси-2-ацетилнафтален.</w:t>
      </w:r>
    </w:p>
    <w:p w14:paraId="322BDFE6" w14:textId="77777777" w:rsidR="00DD4198" w:rsidRPr="001D31FA" w:rsidRDefault="00641BCB" w:rsidP="001D31FA">
      <w:pPr>
        <w:pStyle w:val="a3"/>
        <w:tabs>
          <w:tab w:val="left" w:pos="72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lastRenderedPageBreak/>
        <w:t>В листьях и плодах крушины выявлены алкалоиды и аскорбиновая кислота (до 2%). Содержание алкалоидов в листьях составляет 0,17%, в плодах — 0,04%. В плодах крушины содержится флавоновый краситель рамнетин — 7-метиловый эфир кверцетина.</w:t>
      </w:r>
      <w:r w:rsidR="00DD4198" w:rsidRPr="001D31FA">
        <w:rPr>
          <w:rFonts w:ascii="Times New Roman" w:hAnsi="Times New Roman"/>
          <w:bCs/>
          <w:noProof/>
          <w:sz w:val="28"/>
          <w:szCs w:val="28"/>
        </w:rPr>
        <w:t>В коре крушины имеретинской Rhamnus imeretina Booth. найдены антрагликозиды такой же структуры, как и в коре крушины ольховидной.</w:t>
      </w:r>
      <w:r w:rsidR="00DD4198" w:rsidRPr="001D31FA">
        <w:rPr>
          <w:rFonts w:ascii="Times New Roman" w:hAnsi="Times New Roman"/>
          <w:sz w:val="28"/>
          <w:szCs w:val="28"/>
        </w:rPr>
        <w:t xml:space="preserve"> </w:t>
      </w:r>
      <w:r w:rsidR="00DD4198" w:rsidRPr="001D31FA">
        <w:rPr>
          <w:rFonts w:ascii="Times New Roman" w:hAnsi="Times New Roman"/>
          <w:bCs/>
          <w:noProof/>
          <w:sz w:val="28"/>
          <w:szCs w:val="28"/>
        </w:rPr>
        <w:t>В коре крушины Пурша Rhamnus purshianus DeCandolle. содержится 6-9% антроновых соединений нескольких типов: 10-20% О-гликозидов эмодина и 80-90% С-гликозидов: барбалоин (или алоин — С10-гликозид алоэ-эмодин антрона) и деоксибарбалоин (хризалоин). Кроме того, в ней содержатся соединения, которые являются одновременно О- и С-гликозидами — каскарозиды А, В, С и D. Каскарозиды А и В являются оптическими изомерами барбалоина, а каскарозиды С и D — оптическими изомерами хризалоина.</w:t>
      </w:r>
    </w:p>
    <w:p w14:paraId="58394F4C" w14:textId="77777777" w:rsidR="00DD4198" w:rsidRPr="001D31FA" w:rsidRDefault="00DD4198" w:rsidP="001D31F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14:paraId="29A40129" w14:textId="77777777" w:rsidR="00AB1791" w:rsidRPr="001D31FA" w:rsidRDefault="00AB1791" w:rsidP="001D31FA">
      <w:pPr>
        <w:pStyle w:val="a3"/>
        <w:tabs>
          <w:tab w:val="left" w:pos="279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t>Растворители</w:t>
      </w:r>
    </w:p>
    <w:p w14:paraId="13CD409D" w14:textId="77777777" w:rsidR="00AB1791" w:rsidRPr="001D31FA" w:rsidRDefault="00AB1791" w:rsidP="001D31FA">
      <w:pPr>
        <w:pStyle w:val="a3"/>
        <w:tabs>
          <w:tab w:val="left" w:pos="279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347BC9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t xml:space="preserve">Гликозиды </w:t>
      </w:r>
      <w:r w:rsidRPr="001D31FA">
        <w:rPr>
          <w:rFonts w:ascii="Times New Roman" w:hAnsi="Times New Roman"/>
          <w:sz w:val="28"/>
          <w:szCs w:val="28"/>
        </w:rPr>
        <w:t>- группа углеводсодержащих веществ, образующихся при реакции конденсации циклических моно- и олигосахаридов со спиртами, фенолами, тиолами и аминами, широко представленных в живых организмах, особенно в растениях. Синтезировано также множество гликозидов, не имеющих природных аналогов. Для гликозидов характерна способность к гидролизу (т.е. расщеплению в реакции с водой) с образованием одного или нескольких остатков сахаров и вещества неуглеводной природы, так называемого агликона. Гидролиз осуществляется в теплой воде в присутствии специфических ферментов или при кипячении с разбавленными кислотами. Некоторые типы гликозидов гидролизуются также при нагревании с разбавленными растворами щелочей.</w:t>
      </w:r>
      <w:r w:rsidR="00F42F88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 xml:space="preserve">Иногда ошибочно этот класс называют глюкозидами, но глюкозидами являются лишь те из гликозидов, при гидролизе которых освобождается только глюкоза (декстроглюкоза, или декстроза) в качестве единственного сахарного </w:t>
      </w:r>
      <w:r w:rsidRPr="001D31FA">
        <w:rPr>
          <w:rFonts w:ascii="Times New Roman" w:hAnsi="Times New Roman"/>
          <w:sz w:val="28"/>
          <w:szCs w:val="28"/>
        </w:rPr>
        <w:lastRenderedPageBreak/>
        <w:t>компонента. Названия природных гликозидов имеют суффикс -ин, а корень производится от научного или народного названия растения или растительного продукта.</w:t>
      </w:r>
    </w:p>
    <w:p w14:paraId="2C7DA311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Гликозиды проявляют нейтральные или слабокислотные свойства</w:t>
      </w:r>
      <w:r w:rsidRPr="001D31FA">
        <w:rPr>
          <w:rFonts w:ascii="Times New Roman" w:hAnsi="Times New Roman"/>
          <w:b/>
          <w:sz w:val="28"/>
          <w:szCs w:val="28"/>
        </w:rPr>
        <w:t>. Как растворитель в основном используют</w:t>
      </w:r>
      <w:r w:rsidRPr="001D31FA">
        <w:rPr>
          <w:rFonts w:ascii="Times New Roman" w:hAnsi="Times New Roman"/>
          <w:sz w:val="28"/>
          <w:szCs w:val="28"/>
        </w:rPr>
        <w:t>: воду и разбавленном водном спирте и могут экстрагироваться.</w:t>
      </w:r>
      <w:r w:rsidR="00862426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При экстракции нужно позаботиться об инактивации или разрушении ферментов, чтобы предупредить гидролиз гликозидов. Этого можно достичь, применяя горячие растворители. Для исключения возможности кислотного гидролиза поддерживают нейтральную реакцию, например, прибавляя мел.</w:t>
      </w:r>
    </w:p>
    <w:p w14:paraId="6AE57CDE" w14:textId="77777777" w:rsidR="00522B8A" w:rsidRPr="001D31FA" w:rsidRDefault="00522B8A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t xml:space="preserve">Дубильные вещества. </w:t>
      </w:r>
      <w:r w:rsidRPr="001D31FA">
        <w:rPr>
          <w:rFonts w:ascii="Times New Roman" w:hAnsi="Times New Roman"/>
          <w:sz w:val="28"/>
          <w:szCs w:val="28"/>
        </w:rPr>
        <w:t>Как растворитель в основном используют:</w:t>
      </w:r>
      <w:r w:rsidR="00862426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 xml:space="preserve">бензол, вода, метилацетат ,70-% этиловый спирт который выступает как экстрагент. Также можно использовать менее или более концентрированный спирт и воду в качестве экстрагента. При этом для лучшей экстрагирования дубильных веществ и ее производных, смесь нагревают в случаи спирта до температуры кипения и так повторяют процесс несколько раз. Также можна использовать: изопропиловый эфир—уксусная кислота (96:4), этиловый эфир—бензол—этанол—уксусная кислота (40:50:2:0,2) </w:t>
      </w:r>
    </w:p>
    <w:p w14:paraId="00F44B9C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t>Фенольные гликозиды и иридоидные</w:t>
      </w:r>
      <w:r w:rsidRPr="001D31FA">
        <w:rPr>
          <w:rFonts w:ascii="Times New Roman" w:hAnsi="Times New Roman"/>
          <w:sz w:val="28"/>
          <w:szCs w:val="28"/>
        </w:rPr>
        <w:t>, при гидролизе которых образуются различные типы фенолов: арбутин (образуется гидрохинон), салицин (орто-гидроксибензиловый спирт), хелицин и спиреин (салициловый альдегид), геин (эвгенол) и т.д.[2]</w:t>
      </w:r>
    </w:p>
    <w:p w14:paraId="370555FF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b/>
          <w:bCs/>
          <w:sz w:val="28"/>
          <w:szCs w:val="28"/>
        </w:rPr>
        <w:t>Производные</w:t>
      </w:r>
      <w:r w:rsidRP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b/>
          <w:bCs/>
          <w:sz w:val="28"/>
          <w:szCs w:val="28"/>
        </w:rPr>
        <w:t>кофейной</w:t>
      </w:r>
      <w:r w:rsidRP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b/>
          <w:bCs/>
          <w:sz w:val="28"/>
          <w:szCs w:val="28"/>
        </w:rPr>
        <w:t>кислоты и фенольные кислоты.</w:t>
      </w:r>
      <w:r w:rsidRPr="001D31FA">
        <w:rPr>
          <w:rFonts w:ascii="Times New Roman" w:hAnsi="Times New Roman"/>
          <w:b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Как растворитель в основном используют:</w:t>
      </w:r>
      <w:r w:rsidR="00862426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бензол, вода, метилацетат ,70-% этиловый спирт который выступает как экстрагент. Также можно использовать менее или более концентрированный спирт и воду в качестве экстрагента. При этом для лучшей экстрагирования кофейной кислоты и ее производных, смесь нагревают в случаи спирта до температуры кипения и так повторяют процесс несколько раз. В случаи с воду нагревают и добавляют натрий гидрокарбонат</w:t>
      </w:r>
      <w:r w:rsidR="00862426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 xml:space="preserve">для лучшей растворимости. </w:t>
      </w:r>
    </w:p>
    <w:p w14:paraId="62C0E590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1FA">
        <w:rPr>
          <w:rFonts w:ascii="Times New Roman" w:hAnsi="Times New Roman"/>
          <w:b/>
          <w:bCs/>
          <w:sz w:val="28"/>
          <w:szCs w:val="28"/>
        </w:rPr>
        <w:lastRenderedPageBreak/>
        <w:t xml:space="preserve">Липиды - </w:t>
      </w:r>
      <w:r w:rsidRPr="001D31FA">
        <w:rPr>
          <w:rFonts w:ascii="Times New Roman" w:hAnsi="Times New Roman"/>
          <w:bCs/>
          <w:sz w:val="28"/>
          <w:szCs w:val="28"/>
        </w:rPr>
        <w:t>большая группа веществ биологического происхождения, хорошо растворимых в органических растворителях, таких, как метанол, ацетон, хлороформ и бензол. В то же время эти вещества нерастворимы или мало растворимы в воде. Слабая растворимость связана с недостаточным содержанием в молекулах липидов атомов с поляризующейся электронной оболочкой</w:t>
      </w:r>
      <w:r w:rsidRPr="001D31F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1D31FA">
        <w:rPr>
          <w:rFonts w:ascii="Times New Roman" w:hAnsi="Times New Roman"/>
          <w:bCs/>
          <w:sz w:val="28"/>
          <w:szCs w:val="28"/>
        </w:rPr>
        <w:t>таких, как О, N, S или P. Также в качаетсве растворителей используют такие смеси как:</w:t>
      </w:r>
    </w:p>
    <w:p w14:paraId="1D33A705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bCs/>
          <w:sz w:val="28"/>
          <w:szCs w:val="28"/>
        </w:rPr>
        <w:t>1.</w:t>
      </w:r>
      <w:r w:rsidRPr="001D31FA">
        <w:rPr>
          <w:rFonts w:ascii="Times New Roman" w:hAnsi="Times New Roman"/>
          <w:sz w:val="28"/>
          <w:szCs w:val="28"/>
        </w:rPr>
        <w:t>гептан—бензол (9:1)</w:t>
      </w:r>
    </w:p>
    <w:p w14:paraId="619B3F42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2.петролейный эфир—этиловый эфир—уксусная кислота (90:10:1) </w:t>
      </w:r>
    </w:p>
    <w:p w14:paraId="1BD6BC04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3.петролейный эфир—этиловый эфир—уксусная кислота (80:20:1) </w:t>
      </w:r>
    </w:p>
    <w:p w14:paraId="17F7B4A8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4.петролейный эфир—этиловый эфир—уксусная кислота (70:30:1) </w:t>
      </w:r>
    </w:p>
    <w:p w14:paraId="14DA4449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5.изопропиловый эфир—уксусная кислота (96:4)</w:t>
      </w:r>
      <w:r w:rsidR="00862426">
        <w:rPr>
          <w:rFonts w:ascii="Times New Roman" w:hAnsi="Times New Roman"/>
          <w:sz w:val="28"/>
          <w:szCs w:val="28"/>
        </w:rPr>
        <w:t xml:space="preserve"> </w:t>
      </w:r>
    </w:p>
    <w:p w14:paraId="147A614A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 xml:space="preserve">6.этиловый эфир—бензол—этанол—уксусная кислота (40:50:2:0,2) </w:t>
      </w:r>
    </w:p>
    <w:p w14:paraId="35F31346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7.гептан—изопропиловый эфир—уксусная кислота (60:40:4)</w:t>
      </w:r>
    </w:p>
    <w:p w14:paraId="49373188" w14:textId="77777777" w:rsidR="00AB1791" w:rsidRPr="001D31FA" w:rsidRDefault="00AB1791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b/>
          <w:bCs/>
          <w:sz w:val="28"/>
          <w:szCs w:val="28"/>
        </w:rPr>
        <w:t>Органические</w:t>
      </w:r>
      <w:r w:rsidRP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b/>
          <w:bCs/>
          <w:sz w:val="28"/>
          <w:szCs w:val="28"/>
        </w:rPr>
        <w:t>кислоты</w:t>
      </w:r>
      <w:r w:rsidRP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bCs/>
          <w:sz w:val="28"/>
          <w:szCs w:val="28"/>
        </w:rPr>
        <w:t>(иначе, карбоновые кислоты) – органические соединения, содержащие карбоксильную группу СООН. По количеству этих групп различают одно-, двух- и многоосновные кислоты. Могут содержать Hal, а также группы NH2, С=О, ОН (соответственно галогенкарбоновые кислоты, аминокислоты, альдегидо- и кетокислоты, оксикислоты). Алифатические кислоты, у которых число атомов С в молекуле больше 6, относят к высшим жирным кислотам. [3]</w:t>
      </w:r>
    </w:p>
    <w:p w14:paraId="657404B9" w14:textId="77777777" w:rsidR="001D31FA" w:rsidRDefault="001D31FA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2EE610A3" w14:textId="77777777" w:rsidR="00AB1791" w:rsidRPr="001D31FA" w:rsidRDefault="00231D0E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1FA">
        <w:rPr>
          <w:rFonts w:ascii="Times New Roman" w:hAnsi="Times New Roman"/>
          <w:b/>
          <w:sz w:val="28"/>
          <w:szCs w:val="28"/>
        </w:rPr>
        <w:lastRenderedPageBreak/>
        <w:t>С</w:t>
      </w:r>
      <w:r w:rsidR="00AB1791" w:rsidRPr="001D31FA">
        <w:rPr>
          <w:rFonts w:ascii="Times New Roman" w:hAnsi="Times New Roman"/>
          <w:b/>
          <w:sz w:val="28"/>
          <w:szCs w:val="28"/>
        </w:rPr>
        <w:t>писок используемой литературы:</w:t>
      </w:r>
    </w:p>
    <w:p w14:paraId="4B19187A" w14:textId="77777777" w:rsidR="007716C5" w:rsidRPr="001D31FA" w:rsidRDefault="007716C5" w:rsidP="001D31F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CE34E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1.</w:t>
      </w:r>
      <w:r w:rsid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Антонишин Б. В. Применение масла аира и настойки софоры японской в комплексной терапии больных с дистрофически-воспалительной формой пародонтоза // Терапевтич. стоматология: Респ. межвед. сб.— К., 1982.— Вып. 17.— С. 66–69.</w:t>
      </w:r>
    </w:p>
    <w:p w14:paraId="7B38D8C9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2.</w:t>
      </w:r>
      <w:r w:rsid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Белова Л. Ф., Алибеков С. Д., Багинская А. И., Соколов С. Я., Покровская Г. В. Азарон и его биологические свойства // Фармакол. токсикол.— 1985.— Т. 48, № 6.— С. 17–20.</w:t>
      </w:r>
    </w:p>
    <w:p w14:paraId="4EE192BA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3.</w:t>
      </w:r>
      <w:r w:rsid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Данилевский Н. Ф., Антонишин Б. В. Антимикробная активность настойки софоры японской и эфирного масла аира тростникового // Микробиол. журн.— 1982.— Т. 44, № 5.— С. 80–82.</w:t>
      </w:r>
    </w:p>
    <w:p w14:paraId="3EC6BF37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</w:rPr>
        <w:t>4.</w:t>
      </w:r>
      <w:r w:rsidR="001D31FA">
        <w:rPr>
          <w:rFonts w:ascii="Times New Roman" w:hAnsi="Times New Roman"/>
          <w:sz w:val="28"/>
          <w:szCs w:val="28"/>
        </w:rPr>
        <w:t xml:space="preserve"> </w:t>
      </w:r>
      <w:r w:rsidRPr="001D31FA">
        <w:rPr>
          <w:rFonts w:ascii="Times New Roman" w:hAnsi="Times New Roman"/>
          <w:sz w:val="28"/>
          <w:szCs w:val="28"/>
        </w:rPr>
        <w:t>Погорелова О. В. Аир как лекарственное сырье // Хим.-фарм. журн.— 1977.— Т. 11, № 9.— С. 90–94.</w:t>
      </w:r>
    </w:p>
    <w:p w14:paraId="69A26C0E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5.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Abel G. Chromosome-damaging effect of b-asaron on human lymphocytes // Planta Med.— 1987.— Vol. 53, № 3.—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251–253.</w:t>
      </w:r>
    </w:p>
    <w:p w14:paraId="17185571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6.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Chamorro G., Salazar M., Tamariz J., Diaz F., Labarrios F. Dominant lethal study of a-asarone in male and female mice after sub-chronic treatment // Phytother. Res.— 1999.— Vol. 13, № 4.—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308–311.</w:t>
      </w:r>
    </w:p>
    <w:p w14:paraId="1B92894C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7.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Chamorro G., Salazar M., Salazar S., Mendoza T. Pharmacology and toxicology of Guatteria gaumeri and a-asarone // Rev. Invest. Clin.— 1993.— Vol. 45, № 6.—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597–604.</w:t>
      </w:r>
    </w:p>
    <w:p w14:paraId="5FA9F9C1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8.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Chen J. J. Status epilepticus treated by a-asarone: Report of 18 cases // J. Tradit. Chin. Med.— 1984.— Vol. 4, № 3.—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217–218.</w:t>
      </w:r>
    </w:p>
    <w:p w14:paraId="16DF5674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9.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Dhalla N. S., Bhattacharya I. C. Further studies on neuropharmacological actions of Acorus oil // Arch. Int. Pharmacodyn. Ther.— 1968.— Vol. 172, № 2.—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356–365.</w:t>
      </w:r>
    </w:p>
    <w:p w14:paraId="110464DA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10.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Chamorro G., Garduno L., Martinez E., Madrigal E., Tamariz J., Salazar M. Dominant lethal study of a-asarone in male mice // Toxicol. Lett.— 1998.— Vol. 99, № 2.—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71–77.</w:t>
      </w:r>
    </w:p>
    <w:p w14:paraId="709DC853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lastRenderedPageBreak/>
        <w:t>11.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Garduno L., Salazar M., Salazar S., Morelos M. E., Labarrios F., Tamariz J., Chamorro G. A. Hypolipidaemic activity of a-asarone in mice // J. Ethnopharmacol.— 1997.— Vol. 55, № 2.—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161–163.</w:t>
      </w:r>
    </w:p>
    <w:p w14:paraId="701AFCC7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12.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Goggelmann W., Schimmer O. Mutagenicity testing of b-asarone and commercial calamus drugs with Salmonella typhimurium // Mutat. Res.— 1983.— Vol. 121, № 3-4.—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191–194.</w:t>
      </w:r>
    </w:p>
    <w:p w14:paraId="56605C65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13.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Hasheminejad G., Caldwell J. Genotoxicity of the alkenylbenzenes a- and b-asarone, myristicin and elimicin as determined by the UDS assay in cultured rat hepatocytes // Food Chem. Toxicol.— 1994.— Vol. 32, № 3.—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223–231.</w:t>
      </w:r>
    </w:p>
    <w:p w14:paraId="49C58381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14.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Hernandez A., Lopez M. L., Chamorro G., Mendoza-Figueroa T. Inhibition of lipid synthesis and secretion in long-term cultures of adult rat hepatocytes by a-asarone // Planta Med.— 1993.— Vol. 59, № 2.—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121–124.</w:t>
      </w:r>
    </w:p>
    <w:p w14:paraId="3952CC86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15.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Hu B. Y., Ji Y. Y. Research on the anticarcinogenic activation of Acorus calamus: Anticarcinogenic activation of </w:t>
      </w:r>
      <w:r w:rsidRPr="001D31FA">
        <w:rPr>
          <w:rFonts w:ascii="Times New Roman" w:hAnsi="Times New Roman"/>
          <w:sz w:val="28"/>
          <w:szCs w:val="28"/>
        </w:rPr>
        <w:t>α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-asarone on human carcinoma cells // Chung Hsi Chieh Ho Tsa Chih Chinese — J. Mod. Devel. Tradit. Med.— 1986.— Vol. 6, № 8.— P. 480–483, 454. </w:t>
      </w:r>
    </w:p>
    <w:p w14:paraId="387CF04B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16.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>Kováciková L. Nový pohlad na obsahové látky puskvorca obycajného // Nase liecivé rastliny.— 1983.— Vol. 20, № 4.— S. 108–109</w:t>
      </w:r>
    </w:p>
    <w:p w14:paraId="2C1B4F41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17.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Liao J. F., Huang S. Y., Jan Y. M., Yu L. L., Chen C. F. Central inhibitory effects of water extract of Acori graminei rhizoma in mice // J. Ethnopharmacol.— 1998.— Vol. 61, № 3.—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185–193.</w:t>
      </w:r>
    </w:p>
    <w:p w14:paraId="2EBC3A92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18.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Lopez M. L., Hernandez A., Chamorro G., Mendoza-Figueroa T. a-Asarone toxicity in long-term cultures of adult rat hepatocytes // Planta Med.— 1993.— Vol. 59, № 2.—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15–20.</w:t>
      </w:r>
    </w:p>
    <w:p w14:paraId="061FB13C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19.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>Maj J., Malec D., Lastowski Z. Wlasciwosci farmakologiczne krajowego tataraku (Acorus calamus L.). 3. Dzialanie spazmolityczne olejku eterycznego // Acta Poloniae Pharm.— 1966.— Vol. 23, № 5.— S. 477–482.</w:t>
      </w:r>
    </w:p>
    <w:p w14:paraId="08DEF523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20.</w:t>
      </w:r>
      <w:r w:rsidR="001D31FA" w:rsidRPr="001D31F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D31FA">
        <w:rPr>
          <w:rFonts w:ascii="Times New Roman" w:hAnsi="Times New Roman"/>
          <w:sz w:val="28"/>
          <w:szCs w:val="28"/>
          <w:lang w:val="en-US"/>
        </w:rPr>
        <w:t xml:space="preserve">Martis G., Rao A., Karanti K. S. Neuropharmacological activity of Acorus calamus Linn. // Fitoterapia.— 1991.— Vol. 62, № 4.—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331–337.</w:t>
      </w:r>
    </w:p>
    <w:p w14:paraId="6C6EE4E0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lastRenderedPageBreak/>
        <w:t>21.Menon M. K., Dandiya P. C. The mechanism of the tranquillizing action of asarone from Acorus calamus Linn. // J. Pharm. Pharmacol.— 1967.— Vol. 19, № 3.— P. 170–175.</w:t>
      </w:r>
    </w:p>
    <w:p w14:paraId="754F692C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22.Panchal G. M., Venkatakrishna-Bhatt H., Doctor R. B., Vajpayee S. Pharmacology of Acorus calamus L. // Ind. J. Exp. Biol.— 1989.— Vol. 27, № 6.— P. 561–567.</w:t>
      </w:r>
    </w:p>
    <w:p w14:paraId="0282AA4F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 xml:space="preserve">23.Poplawski J., Lozowicka B., Dubis A. T., Lachowska B., Witkowski S., Siluk D., Petrusewicz J., Kaliszan R., Cybulski J., Strzalkowska M., Chilmonczyk Z. Synthesis and hypolipidemic and antiplatelet activities of a-asarone isomers in humans (in vitro), mice (in vivo), and rats (in vivo) // J. Med. Chem.— 2000.— Vol. 43, № 20.—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3671–3676.</w:t>
      </w:r>
    </w:p>
    <w:p w14:paraId="69CC4CC6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 xml:space="preserve">24.Rubio-Poo C., Lemini C., Garcia-Mondragon J., Zavala E., Silva G., Mendoza-Patino N., Mandoki J. J. The anticoagulant effect of b-asarone in the mouse and the rat // Proc. West. Pharmacol. Soc.— 1991.— Vol. 34.—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107–112.</w:t>
      </w:r>
    </w:p>
    <w:p w14:paraId="5DAA2AFC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 xml:space="preserve">25.Salazar M., Salazar S., Ulloa V., Mendoza T., Pages N., Chamoro G. Teratogenic action of a-asarone in the mouse // J. Toxicol. Clin. Exp.— 1992.— Vol. 12, № 3.—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149–154.</w:t>
      </w:r>
    </w:p>
    <w:p w14:paraId="643FFB55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 xml:space="preserve">26.Shoba F. G., Thomas M. Study of antidiarrhoeal activity of four medicinal plants in castor-oil induced diarrhoea // J. Ethnopharmacol.— 2001.— Vol. 76, № 1.— </w:t>
      </w:r>
      <w:r w:rsidRPr="001D31FA">
        <w:rPr>
          <w:rFonts w:ascii="Times New Roman" w:hAnsi="Times New Roman"/>
          <w:sz w:val="28"/>
          <w:szCs w:val="28"/>
        </w:rPr>
        <w:t>Р</w:t>
      </w:r>
      <w:r w:rsidRPr="001D31FA">
        <w:rPr>
          <w:rFonts w:ascii="Times New Roman" w:hAnsi="Times New Roman"/>
          <w:sz w:val="28"/>
          <w:szCs w:val="28"/>
          <w:lang w:val="en-US"/>
        </w:rPr>
        <w:t>. 73-76.</w:t>
      </w:r>
    </w:p>
    <w:p w14:paraId="0599DA67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27Sugimoto N., Goto Y., Akao N., Kiuchi F., Kondo K., Tsuda Y. Mobility inhibition and nematocidal activity of asarone and related phenylpropanoids on second-stage larvae of Toxocara canis // Biol. Pharm. Bull.— 1995.— Vol. 18, № 4.— P. 605–609.</w:t>
      </w:r>
    </w:p>
    <w:p w14:paraId="7A5C51D2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28.Vohora S. B., Shah S. A., Dandiya P. C. Central nervous system studies on an ethanol extract of Acorus calamus rhizomes // J. Ethnopharmacol.— 1990.— Vol. 28, № 1.— P. 53–62.</w:t>
      </w:r>
    </w:p>
    <w:p w14:paraId="42BBCC2A" w14:textId="77777777" w:rsidR="007716C5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t>29.Vohora S. B., Shah S. A., Sharma K. N. Antibacterial, antipyretic, analgetic antiinflammatory studies on an ethanol extract on Acorus calamus Linn. // Ann. Nat. Acad. Med. Sci.— 1989.— Vol. 25, № 1.— P. 13–20.</w:t>
      </w:r>
    </w:p>
    <w:p w14:paraId="3994503C" w14:textId="77777777" w:rsidR="00AB1791" w:rsidRPr="001D31FA" w:rsidRDefault="007716C5" w:rsidP="001D31F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D31FA">
        <w:rPr>
          <w:rFonts w:ascii="Times New Roman" w:hAnsi="Times New Roman"/>
          <w:sz w:val="28"/>
          <w:szCs w:val="28"/>
          <w:lang w:val="en-US"/>
        </w:rPr>
        <w:lastRenderedPageBreak/>
        <w:t xml:space="preserve">30.Wiseman R. W., Miller E. C., Miller J. A., Liem A. Structure-activity studies of the hepatocarcinogenicities of alkenylbenzene derivatives related to estragole and safrole on administration to preweanling male (C57BL/6J x C3H/HeJ) F1 mice // Cancer Res.— 1987.— </w:t>
      </w:r>
      <w:r w:rsidRPr="001D31FA">
        <w:rPr>
          <w:rFonts w:ascii="Times New Roman" w:hAnsi="Times New Roman"/>
          <w:sz w:val="28"/>
          <w:szCs w:val="28"/>
        </w:rPr>
        <w:t>Vol. 47, № 9.— Р. 2275–2283.</w:t>
      </w:r>
    </w:p>
    <w:sectPr w:rsidR="00AB1791" w:rsidRPr="001D31FA" w:rsidSect="001D31F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91"/>
    <w:rsid w:val="001D31FA"/>
    <w:rsid w:val="00231D0E"/>
    <w:rsid w:val="00263F59"/>
    <w:rsid w:val="002B1EC7"/>
    <w:rsid w:val="00457738"/>
    <w:rsid w:val="00522B8A"/>
    <w:rsid w:val="006137C6"/>
    <w:rsid w:val="00641BCB"/>
    <w:rsid w:val="00644002"/>
    <w:rsid w:val="00644A35"/>
    <w:rsid w:val="00667A3E"/>
    <w:rsid w:val="006E466A"/>
    <w:rsid w:val="00716F09"/>
    <w:rsid w:val="007716C5"/>
    <w:rsid w:val="007852E3"/>
    <w:rsid w:val="00862426"/>
    <w:rsid w:val="00AB1791"/>
    <w:rsid w:val="00CD2343"/>
    <w:rsid w:val="00D345E9"/>
    <w:rsid w:val="00DD4198"/>
    <w:rsid w:val="00E126D4"/>
    <w:rsid w:val="00E3774A"/>
    <w:rsid w:val="00EC47D1"/>
    <w:rsid w:val="00F163FD"/>
    <w:rsid w:val="00F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32050"/>
  <w14:defaultImageDpi w14:val="0"/>
  <w15:docId w15:val="{25CEA8C5-2F73-4D4B-B2F2-3986671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79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791"/>
    <w:pPr>
      <w:spacing w:after="0" w:line="240" w:lineRule="auto"/>
    </w:pPr>
    <w:rPr>
      <w:rFonts w:ascii="Calibri" w:hAnsi="Calibri" w:cs="Times New Roman"/>
    </w:rPr>
  </w:style>
  <w:style w:type="table" w:styleId="a4">
    <w:name w:val="Table Grid"/>
    <w:basedOn w:val="a1"/>
    <w:uiPriority w:val="59"/>
    <w:rsid w:val="00AB179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77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3774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3011</Words>
  <Characters>17167</Characters>
  <Application>Microsoft Office Word</Application>
  <DocSecurity>0</DocSecurity>
  <Lines>143</Lines>
  <Paragraphs>40</Paragraphs>
  <ScaleCrop>false</ScaleCrop>
  <Company>Microsoft</Company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2025-03-26T18:03:00Z</dcterms:created>
  <dcterms:modified xsi:type="dcterms:W3CDTF">2025-03-26T18:03:00Z</dcterms:modified>
</cp:coreProperties>
</file>