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7AE0" w14:textId="77777777" w:rsidR="00296BA7" w:rsidRPr="00AA56D2" w:rsidRDefault="00296BA7" w:rsidP="00C51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МІНІСТЕРСТВО ОХОРОНИ ЗДОРОВ'Я УКРАЇНИ</w:t>
      </w:r>
    </w:p>
    <w:p w14:paraId="5E63E526" w14:textId="77777777" w:rsidR="00296BA7" w:rsidRPr="00AA56D2" w:rsidRDefault="00296BA7" w:rsidP="00C51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ЛУБЕНСЬКЕ МЕДИЧНЕ УЧИЛИЩЕ</w:t>
      </w:r>
    </w:p>
    <w:p w14:paraId="395AD3B9" w14:textId="77777777" w:rsidR="00296BA7" w:rsidRPr="00AA56D2" w:rsidRDefault="00296BA7" w:rsidP="00C51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792FC7" w14:textId="77777777" w:rsidR="00296BA7" w:rsidRPr="00AA56D2" w:rsidRDefault="00296BA7" w:rsidP="00C51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2AE1C1" w14:textId="77777777" w:rsidR="00C5127D" w:rsidRPr="00AA56D2" w:rsidRDefault="00C5127D" w:rsidP="00C51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23515A" w14:textId="77777777" w:rsidR="00C5127D" w:rsidRPr="00AA56D2" w:rsidRDefault="00C5127D" w:rsidP="00C51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DF4B1ED" w14:textId="77777777" w:rsidR="00C5127D" w:rsidRPr="00AA56D2" w:rsidRDefault="00C5127D" w:rsidP="00C51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5ABD36" w14:textId="77777777" w:rsidR="00C5127D" w:rsidRPr="00AA56D2" w:rsidRDefault="00C5127D" w:rsidP="00C51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198F4B" w14:textId="77777777" w:rsidR="00C5127D" w:rsidRPr="00AA56D2" w:rsidRDefault="00C5127D" w:rsidP="00C51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A9AFF72" w14:textId="77777777" w:rsidR="00C5127D" w:rsidRPr="00AA56D2" w:rsidRDefault="00C5127D" w:rsidP="00C51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469207" w14:textId="77777777" w:rsidR="00C5127D" w:rsidRPr="00AA56D2" w:rsidRDefault="00C5127D" w:rsidP="00C51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5CF9AD" w14:textId="77777777" w:rsidR="00C5127D" w:rsidRPr="00AA56D2" w:rsidRDefault="00C5127D" w:rsidP="00C51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E3213C" w14:textId="77777777" w:rsidR="00296BA7" w:rsidRPr="00AA56D2" w:rsidRDefault="00296BA7" w:rsidP="00C51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7EEE44" w14:textId="77777777" w:rsidR="00296BA7" w:rsidRPr="00AA56D2" w:rsidRDefault="00296BA7" w:rsidP="00C512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РЕФЕРАТ</w:t>
      </w:r>
    </w:p>
    <w:p w14:paraId="128756BC" w14:textId="77777777" w:rsidR="00296BA7" w:rsidRPr="00AA56D2" w:rsidRDefault="00296BA7" w:rsidP="00C512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ПЕДІАТРІЇ</w:t>
      </w:r>
    </w:p>
    <w:p w14:paraId="6D172E54" w14:textId="77777777" w:rsidR="00296BA7" w:rsidRPr="00AA56D2" w:rsidRDefault="00296BA7" w:rsidP="00C5127D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НА ТЕМУ:</w:t>
      </w:r>
      <w:r w:rsidRPr="00AA56D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Лейкози та лімфоми в дітей. Гемолітичні анемії</w:t>
      </w:r>
    </w:p>
    <w:p w14:paraId="2D594A06" w14:textId="77777777" w:rsidR="00296BA7" w:rsidRPr="00AA56D2" w:rsidRDefault="00296BA7" w:rsidP="00C512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79853F" w14:textId="77777777" w:rsidR="00296BA7" w:rsidRPr="00AA56D2" w:rsidRDefault="00296BA7" w:rsidP="00C5127D">
      <w:pPr>
        <w:shd w:val="clear" w:color="auto" w:fill="FFFFFF"/>
        <w:tabs>
          <w:tab w:val="left" w:pos="54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1F99D27" w14:textId="77777777" w:rsidR="00296BA7" w:rsidRPr="00AA56D2" w:rsidRDefault="00296BA7" w:rsidP="00C512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0E9DC9" w14:textId="77777777" w:rsidR="00C5127D" w:rsidRPr="00AA56D2" w:rsidRDefault="00C5127D" w:rsidP="00C5127D">
      <w:pPr>
        <w:tabs>
          <w:tab w:val="left" w:pos="5449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BC7FFD6" w14:textId="77777777" w:rsidR="00296BA7" w:rsidRPr="00AA56D2" w:rsidRDefault="00296BA7" w:rsidP="00C5127D">
      <w:pPr>
        <w:tabs>
          <w:tab w:val="left" w:pos="769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Виконав: студент групи Ф-31</w:t>
      </w:r>
    </w:p>
    <w:p w14:paraId="22AE8A16" w14:textId="77777777" w:rsidR="00296BA7" w:rsidRPr="00AA56D2" w:rsidRDefault="00296BA7" w:rsidP="00C5127D">
      <w:pPr>
        <w:tabs>
          <w:tab w:val="left" w:pos="7035"/>
          <w:tab w:val="left" w:pos="86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Момот Євген</w:t>
      </w:r>
    </w:p>
    <w:p w14:paraId="1CF44390" w14:textId="77777777" w:rsidR="00296BA7" w:rsidRPr="00AA56D2" w:rsidRDefault="00296BA7" w:rsidP="00C5127D">
      <w:pPr>
        <w:tabs>
          <w:tab w:val="left" w:pos="7035"/>
          <w:tab w:val="left" w:pos="86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D0AF6C" w14:textId="77777777" w:rsidR="00C5127D" w:rsidRPr="00AA56D2" w:rsidRDefault="00C5127D" w:rsidP="00C5127D">
      <w:pPr>
        <w:tabs>
          <w:tab w:val="left" w:pos="7035"/>
          <w:tab w:val="left" w:pos="86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DE6A059" w14:textId="77777777" w:rsidR="00C5127D" w:rsidRPr="00AA56D2" w:rsidRDefault="00C5127D" w:rsidP="00C5127D">
      <w:pPr>
        <w:tabs>
          <w:tab w:val="left" w:pos="7035"/>
          <w:tab w:val="left" w:pos="86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A22F34" w14:textId="77777777" w:rsidR="00C5127D" w:rsidRPr="00AA56D2" w:rsidRDefault="00C5127D" w:rsidP="00C5127D">
      <w:pPr>
        <w:tabs>
          <w:tab w:val="left" w:pos="7035"/>
          <w:tab w:val="left" w:pos="867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FF9B28F" w14:textId="77777777" w:rsidR="00296BA7" w:rsidRPr="00AA56D2" w:rsidRDefault="00296BA7" w:rsidP="00C5127D">
      <w:pPr>
        <w:tabs>
          <w:tab w:val="left" w:pos="620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943FB87" w14:textId="77777777" w:rsidR="00296BA7" w:rsidRPr="00AA56D2" w:rsidRDefault="00296BA7" w:rsidP="00C5127D">
      <w:pPr>
        <w:tabs>
          <w:tab w:val="left" w:pos="620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155352" w14:textId="77777777" w:rsidR="00296BA7" w:rsidRPr="00AA56D2" w:rsidRDefault="00296BA7" w:rsidP="00C51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Лубни 2009</w:t>
      </w:r>
    </w:p>
    <w:p w14:paraId="6D2A2C21" w14:textId="77777777" w:rsidR="00296BA7" w:rsidRPr="00AA56D2" w:rsidRDefault="00C5127D" w:rsidP="00B040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page"/>
      </w:r>
      <w:r w:rsidR="00296BA7" w:rsidRPr="00AA56D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Лейкози та лімфоми в дітей</w:t>
      </w:r>
    </w:p>
    <w:p w14:paraId="05EBE8CD" w14:textId="77777777" w:rsidR="00F7665D" w:rsidRPr="00AA56D2" w:rsidRDefault="00F7665D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464EA8DC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i/>
          <w:iCs/>
          <w:sz w:val="28"/>
          <w:szCs w:val="28"/>
          <w:lang w:val="uk-UA"/>
        </w:rPr>
        <w:t>ФАБ-класифікація гострих лейкозів у дітей</w:t>
      </w:r>
    </w:p>
    <w:p w14:paraId="52B0D617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(Франція, Америка, Британія)</w:t>
      </w:r>
    </w:p>
    <w:p w14:paraId="651205D9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i/>
          <w:iCs/>
          <w:sz w:val="28"/>
          <w:szCs w:val="28"/>
          <w:lang w:val="uk-UA"/>
        </w:rPr>
        <w:t>Лімфоїдні варіанти:</w:t>
      </w:r>
    </w:p>
    <w:p w14:paraId="7F773955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A56D2">
        <w:rPr>
          <w:rFonts w:ascii="Times New Roman" w:hAnsi="Times New Roman" w:cs="Times New Roman"/>
          <w:sz w:val="28"/>
          <w:szCs w:val="28"/>
        </w:rPr>
        <w:t xml:space="preserve">1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В- і Т-лінійний тип (мікроформи бластних клітин становлять більше ніж 90 %);</w:t>
      </w:r>
    </w:p>
    <w:p w14:paraId="1BDF7A7A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A56D2">
        <w:rPr>
          <w:rFonts w:ascii="Times New Roman" w:hAnsi="Times New Roman" w:cs="Times New Roman"/>
          <w:sz w:val="28"/>
          <w:szCs w:val="28"/>
        </w:rPr>
        <w:t xml:space="preserve">2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В- і Т-лінійний тип (мезоформи бластних клітин становлять більше ніж 50 % );</w:t>
      </w:r>
    </w:p>
    <w:p w14:paraId="676A52E4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A56D2">
        <w:rPr>
          <w:rFonts w:ascii="Times New Roman" w:hAnsi="Times New Roman" w:cs="Times New Roman"/>
          <w:sz w:val="28"/>
          <w:szCs w:val="28"/>
        </w:rPr>
        <w:t xml:space="preserve">3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В-лінійний тип лімфоми Беркітта (великі гомогенні клітини з ядерцями, вакуолями в цитоплазмі).</w:t>
      </w:r>
    </w:p>
    <w:p w14:paraId="74FAD3FC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Мієлоїдні варіанти:</w:t>
      </w:r>
    </w:p>
    <w:p w14:paraId="55A35E9C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М0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мієлобластний з мінімальним диференціюванням;</w:t>
      </w:r>
    </w:p>
    <w:p w14:paraId="77716E72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МІ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мієлобластний без визрівання;</w:t>
      </w:r>
    </w:p>
    <w:p w14:paraId="55A6FB35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М2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мієлобластний з визріванням;</w:t>
      </w:r>
    </w:p>
    <w:p w14:paraId="01FFFA66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МЗ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промієлоцитарний;</w:t>
      </w:r>
    </w:p>
    <w:p w14:paraId="5435BBDF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М4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мієломоноцитарний;</w:t>
      </w:r>
    </w:p>
    <w:p w14:paraId="2C754949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М5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моноцитарний;</w:t>
      </w:r>
    </w:p>
    <w:p w14:paraId="2A8935E2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М6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еритролейкемія (еритромієлоз);</w:t>
      </w:r>
    </w:p>
    <w:p w14:paraId="6CE4FA10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М7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мегакаріоцитарний.</w:t>
      </w:r>
    </w:p>
    <w:p w14:paraId="275A2549" w14:textId="77777777" w:rsidR="00F7665D" w:rsidRPr="00AA56D2" w:rsidRDefault="00F7665D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552388" w14:textId="43B8A85F" w:rsidR="00296BA7" w:rsidRPr="00AA56D2" w:rsidRDefault="00172B9B" w:rsidP="00B040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AFFE95" wp14:editId="02C11113">
            <wp:extent cx="4380865" cy="1626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0F339" w14:textId="1A47AA4C" w:rsidR="00296BA7" w:rsidRPr="00AA56D2" w:rsidRDefault="00F7665D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i/>
          <w:iCs/>
          <w:sz w:val="28"/>
          <w:szCs w:val="28"/>
          <w:lang w:val="uk-UA"/>
        </w:rPr>
        <w:br w:type="page"/>
      </w:r>
      <w:r w:rsidR="00172B9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6C65CBE" wp14:editId="0F2BB190">
                <wp:simplePos x="0" y="0"/>
                <wp:positionH relativeFrom="margin">
                  <wp:posOffset>-1972310</wp:posOffset>
                </wp:positionH>
                <wp:positionV relativeFrom="paragraph">
                  <wp:posOffset>5215255</wp:posOffset>
                </wp:positionV>
                <wp:extent cx="0" cy="1374775"/>
                <wp:effectExtent l="12700" t="10795" r="635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47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0EAE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5.3pt,410.65pt" to="-155.3pt,5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" o:allowincell="f" strokeweight=".5pt">
                <w10:wrap anchorx="margin"/>
              </v:line>
            </w:pict>
          </mc:Fallback>
        </mc:AlternateContent>
      </w:r>
      <w:r w:rsidR="00296BA7" w:rsidRPr="00AA56D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Принципи терапії гострих лейкозів у дітей</w:t>
      </w:r>
    </w:p>
    <w:p w14:paraId="27BF8AE1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Терапія гострих лейкозів у всьому світі проводиться за сучасними протоколами лікування. Прикладом може бути німецький протокол для лікування гострого лімфобластного лейкозу 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BFM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-2002 (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BFM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: Берлін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Франкфурт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Мюнстер), який застосовують в Українському республіканському дитячому гематологічному центрі. Основним принципом лікування є інтенсивна поліхіміотерапія.</w:t>
      </w:r>
    </w:p>
    <w:p w14:paraId="7A3FA3EA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Перша фаза лікування (індукція ремісії) направлена на ерадикацію лейкемічних клітин. У першій фазі І протоколу застосовують преднізолон, вінкристин, рубоміцин, 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-аспарагіназу, у другій фазі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циклофос-фан, цитозар, 6-меркаптопурин. Кожні 2</w:t>
      </w:r>
      <w:r w:rsidRPr="00AA56D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тиж ендолюмбально вводять метотрексат для профілактики нейролейкозу. Через 2 тиж після І протоколу проводять М-протокол, який передбачає введення високих доз метотрексату на фоні 6-меркаптопурину. Через 2 тиж після М-прото-колу проводять 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56D2">
        <w:rPr>
          <w:rFonts w:ascii="Times New Roman" w:hAnsi="Times New Roman" w:cs="Times New Roman"/>
          <w:sz w:val="28"/>
          <w:szCs w:val="28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протокол, при проведенні якого застосовують декса-метазон, вінкристин, адріаміцин, 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-аспарагіназу, цитозар, тіогуанін.</w:t>
      </w:r>
    </w:p>
    <w:p w14:paraId="76804177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На фоні проведення інтенсивної поліхіміотерапії обов'язковою є супроводжувальне лікування, до якого входить дезінтоксикаційна, за показаннями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гемозамісна, гемостатична, гепато- та кардіопротек-торна, антибактеріальна, протигрибкова, деконтамінаційна та симптоматична терапія.</w:t>
      </w:r>
    </w:p>
    <w:p w14:paraId="315C5D01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Після закінчення основного курсу поліхіміотерапії дитина отримує підтримуючу терапію впродовж 2 років.</w:t>
      </w:r>
    </w:p>
    <w:p w14:paraId="3F68C30F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i/>
          <w:iCs/>
          <w:sz w:val="28"/>
          <w:szCs w:val="28"/>
          <w:lang w:val="uk-UA"/>
        </w:rPr>
        <w:t>План обстеження хворого на лімфому Ходжкіна (лімфогранулематоз)</w:t>
      </w:r>
    </w:p>
    <w:p w14:paraId="310FEC2B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При появі у хворого безпричинного збільшення одного або групи лімфатичних вузлів, які не мають тенденції до регресії протягом 2 тиж, безболісні, не спаяні між собою і з прилеглими тканинами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у цих випадках хворий потребує спеціального обстеження. Необхідно зробити аналіз периферичної крові, в якій виявляють лейкоцитоз, помірний зсув вліво, помірну еозинофілію, абсолютну лімфопенію, збільшену ІПОЕ. Далі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проводять біопсію репрезентативних лімфатичних вузлів або уражених тканин. При масивній пухлині середостіння з можливим виникненням загрозливих для життя розладів дихання біопсія лімфатичних вузлів проводиться під локальною анестезією або після попереднього лікування кортикостероїдами.</w:t>
      </w:r>
    </w:p>
    <w:p w14:paraId="4AE3FFAB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Дослідження тканин проводиться цитологічно (відбитки пухлин), гістологічно, імуногістологічно. Рекомендовано підтвердження гістологічного діагнозу референтною лабораторією.</w:t>
      </w:r>
    </w:p>
    <w:p w14:paraId="27D418FE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Для визначення стадії процесу, яка обумовлює обсяг хіміотерапії, необхідно провести такі дослідження:</w:t>
      </w:r>
    </w:p>
    <w:p w14:paraId="0ECF81E6" w14:textId="77777777" w:rsidR="00296BA7" w:rsidRPr="00AA56D2" w:rsidRDefault="00F7665D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96BA7"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ретельне обстеження з обов'язковим документуванням усіх лімфатичних вузлів, які пальпуються, відносно їхньої точної локалізації і розмірів у сантиметрах, розмірів печінки та селезінки, дослідження зони носоглотки (Вальдейєрового кільця);</w:t>
      </w:r>
    </w:p>
    <w:p w14:paraId="49B6FBD1" w14:textId="77777777" w:rsidR="00296BA7" w:rsidRPr="00AA56D2" w:rsidRDefault="00296BA7" w:rsidP="00B040C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сонографія всіх периферичних лімфатичних вузлів (у тому числі шийних, надключичних, пахвових, пахвинних), середостіння і живота (печінки, селезінки, парааортальні, ілеоцекальні лімфатичні вузли);</w:t>
      </w:r>
    </w:p>
    <w:p w14:paraId="0BE761A9" w14:textId="77777777" w:rsidR="00296BA7" w:rsidRPr="00AA56D2" w:rsidRDefault="00296BA7" w:rsidP="00B040C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рентгенологічне дослідження грудної клітки у 2 проекціях;</w:t>
      </w:r>
    </w:p>
    <w:p w14:paraId="469A56FA" w14:textId="77777777" w:rsidR="00296BA7" w:rsidRPr="00AA56D2" w:rsidRDefault="00296BA7" w:rsidP="00B040C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комп'ютерна томографія грудної клітки;</w:t>
      </w:r>
    </w:p>
    <w:p w14:paraId="2A0792B5" w14:textId="77777777" w:rsidR="00296BA7" w:rsidRPr="00AA56D2" w:rsidRDefault="00296BA7" w:rsidP="00B040C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комп'ютерна або ядерно-магнітна томографія всіх клінічно або сонографічно зареєстрованих уражених ділянок як основа для планування променевої терапії та оцінки терапевтичної відповіді;</w:t>
      </w:r>
    </w:p>
    <w:p w14:paraId="7F93F414" w14:textId="77777777" w:rsidR="00296BA7" w:rsidRPr="00AA56D2" w:rsidRDefault="00296BA7" w:rsidP="00B040C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лабораторні: загальний аналіз крові, коагулограма, визначення рівня АЛаТ, АСаТ, гамма-глютамілтрансферази, лужної фосфатази, лактатдегідрогенази, креатиніну сироватки;</w:t>
      </w:r>
    </w:p>
    <w:p w14:paraId="6A07AAA9" w14:textId="77777777" w:rsidR="00296BA7" w:rsidRPr="00AA56D2" w:rsidRDefault="00296BA7" w:rsidP="00B040C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серологічні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діагностика вірусів (Епштейна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Барр, цитомега-ловірусу, герпес-комплексу, ВІЛ), токсоплазмозу, кандидозу, аспергільозу;</w:t>
      </w:r>
    </w:p>
    <w:p w14:paraId="432AF7ED" w14:textId="77777777" w:rsidR="00296BA7" w:rsidRPr="00AA56D2" w:rsidRDefault="00296BA7" w:rsidP="00B040C3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електрокардіографія, ехокардіографія.</w:t>
      </w:r>
    </w:p>
    <w:p w14:paraId="62761377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Визначення клінічної стадії процесу</w:t>
      </w:r>
    </w:p>
    <w:p w14:paraId="66D5AA4C" w14:textId="77777777" w:rsidR="00296BA7" w:rsidRPr="00AA56D2" w:rsidRDefault="00296BA7" w:rsidP="00B040C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Збільшення однієї або двох суміжних груп лімфатичних вузлів.</w:t>
      </w:r>
    </w:p>
    <w:p w14:paraId="2DF31F4B" w14:textId="77777777" w:rsidR="00296BA7" w:rsidRPr="00AA56D2" w:rsidRDefault="00296BA7" w:rsidP="00B040C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lastRenderedPageBreak/>
        <w:t>Збільшення двох або більше груп лімфатичних вузлів з одного боку діафрагми.</w:t>
      </w:r>
    </w:p>
    <w:p w14:paraId="6304597C" w14:textId="77777777" w:rsidR="00296BA7" w:rsidRPr="00AA56D2" w:rsidRDefault="00296BA7" w:rsidP="00B040C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Збільшення лімфатичних вузлів по обидва боки від діафрагми.</w:t>
      </w:r>
    </w:p>
    <w:p w14:paraId="38E9D0B3" w14:textId="77777777" w:rsidR="00296BA7" w:rsidRPr="00AA56D2" w:rsidRDefault="00296BA7" w:rsidP="00B040C3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Залучення в патологічний процес, крім лімфатичних структур, нелімфоїдних органів.</w:t>
      </w:r>
    </w:p>
    <w:p w14:paraId="7CF83705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Залежно від відсутності (А) або наявності (В) ознак інтоксикації (лихоманка, пітливість, особливо вночі, втрата маси тіла, шкірний свербіж) кожна стадія поділяється на ці дві підгрупи.</w:t>
      </w:r>
    </w:p>
    <w:p w14:paraId="5963AC68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Принципи терапії лімфоми Ходжкіна та неходжкінських лімфом</w:t>
      </w:r>
    </w:p>
    <w:p w14:paraId="5FD9F9B5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Лікування пацієнтів із хворобою Ходжкіна проводять методами хіміотерапії та променевої терапії. Обсяг поліхіміотерапії залежить від клінічної стадії процесу. Прикладом може бути 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DAL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-90 (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Deutshe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Arbeitsgemeinschaf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Leukamief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orsehung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Hodgkin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'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disease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). При І та І1А клінічних стадіях дівчатка отримують 2 курси терапії за схемою ОРРА (онковін (вінкристин), прокарбазин, преднізолон, адріаміцин) та променеву терапію. При ПВ та ПІА стадіях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2 курси за протоколом ОРРА та 2 курси за протоколом СОРР (циклофосфан, онковін, преднізолон, прокарбазин) та променеву терапію. При ШВ та 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A56D2">
        <w:rPr>
          <w:rFonts w:ascii="Times New Roman" w:hAnsi="Times New Roman" w:cs="Times New Roman"/>
          <w:sz w:val="28"/>
          <w:szCs w:val="28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стадіях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2 курси ОРРЛ та 4 курси СОРР і променеву терапію. Хлопчики при І та ПА стадіях отримують терапію за схемою ОЕРА (онковін, етопозид, преднізолон, ад« ріаміцин). Прокарбазин при цій стадії не використовують у зв'язку з його негативним впливом на сперматогенез. При ПВ, ПІА, ШВ та 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A56D2">
        <w:rPr>
          <w:rFonts w:ascii="Times New Roman" w:hAnsi="Times New Roman" w:cs="Times New Roman"/>
          <w:sz w:val="28"/>
          <w:szCs w:val="28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стадіях терапію проводять так, як і в дівчат. Після курсів поліхіміотерапії обов'язково проводять променеву терапію.</w:t>
      </w:r>
    </w:p>
    <w:p w14:paraId="484D6C1F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Неходжкінські лімфоми в дітей мають генералізований характер Пв« ребігу захворювання, часто процес ускладнюється лейкемізацією, урв«женням центральної нервової системи, тому у всіх випадках застосовують курси інтенсивної поліхіміотерапії, а також супроводжувальну та симптоматичну терапію.</w:t>
      </w:r>
    </w:p>
    <w:p w14:paraId="5D39B328" w14:textId="77777777" w:rsidR="00296BA7" w:rsidRPr="00AA56D2" w:rsidRDefault="00F7665D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i/>
          <w:iCs/>
          <w:sz w:val="28"/>
          <w:szCs w:val="28"/>
          <w:lang w:val="uk-UA"/>
        </w:rPr>
        <w:br w:type="page"/>
      </w:r>
      <w:r w:rsidR="00296BA7" w:rsidRPr="00AA56D2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Лімфаденопатїі в дітей</w:t>
      </w:r>
    </w:p>
    <w:p w14:paraId="099AF3D4" w14:textId="77777777" w:rsidR="00296BA7" w:rsidRPr="00AA56D2" w:rsidRDefault="00296BA7" w:rsidP="00B040C3">
      <w:pPr>
        <w:shd w:val="clear" w:color="auto" w:fill="FFFFFF"/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Інфекційні:</w:t>
      </w:r>
    </w:p>
    <w:p w14:paraId="1888CDE1" w14:textId="77777777" w:rsidR="00296BA7" w:rsidRPr="00AA56D2" w:rsidRDefault="00296BA7" w:rsidP="00B040C3">
      <w:pPr>
        <w:shd w:val="clear" w:color="auto" w:fill="FFFFFF"/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бактеріальні: стрептокок, стафілокок, мікобактерії, бруцельоз,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туляремія, сифіліс;</w:t>
      </w:r>
    </w:p>
    <w:p w14:paraId="534EFD9D" w14:textId="77777777" w:rsidR="00296BA7" w:rsidRPr="00AA56D2" w:rsidRDefault="00296BA7" w:rsidP="00B040C3">
      <w:pPr>
        <w:shd w:val="clear" w:color="auto" w:fill="FFFFFF"/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вірусні: особливо Епштейна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-Барр, аденовіруси, цитомегалові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руси, ВІЛ, вітряна віспа;</w:t>
      </w:r>
    </w:p>
    <w:p w14:paraId="186457D0" w14:textId="77777777" w:rsidR="00296BA7" w:rsidRPr="00AA56D2" w:rsidRDefault="00296BA7" w:rsidP="00B040C3">
      <w:pPr>
        <w:shd w:val="clear" w:color="auto" w:fill="FFFFFF"/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грибкові: гістоплазмоз;</w:t>
      </w:r>
    </w:p>
    <w:p w14:paraId="5C898FFE" w14:textId="77777777" w:rsidR="00296BA7" w:rsidRPr="00AA56D2" w:rsidRDefault="00296BA7" w:rsidP="00B040C3">
      <w:pPr>
        <w:shd w:val="clear" w:color="auto" w:fill="FFFFFF"/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протозойні: токсоплазмоз, малярія, хвороба котячої подряпини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(хламідії).</w:t>
      </w:r>
    </w:p>
    <w:p w14:paraId="2465DD6A" w14:textId="77777777" w:rsidR="00296BA7" w:rsidRPr="00AA56D2" w:rsidRDefault="00296BA7" w:rsidP="00B040C3">
      <w:pPr>
        <w:shd w:val="clear" w:color="auto" w:fill="FFFFFF"/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Аутоімунні захворювання: ревматоїдний артрит, системний червоний вовчак, сироваткова хвороба, аутоімунна гемолітична анемія.</w:t>
      </w:r>
    </w:p>
    <w:p w14:paraId="72EBF2B0" w14:textId="77777777" w:rsidR="00296BA7" w:rsidRPr="00AA56D2" w:rsidRDefault="00296BA7" w:rsidP="00B040C3">
      <w:pPr>
        <w:shd w:val="clear" w:color="auto" w:fill="FFFFFF"/>
        <w:tabs>
          <w:tab w:val="left" w:pos="5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Хвороби накопичення: хвороба Гоше, хвороба Німанна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Піка.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4. Реакції на медикаменти: фенітоїн та ін.</w:t>
      </w:r>
    </w:p>
    <w:p w14:paraId="60CA3934" w14:textId="77777777" w:rsidR="00296BA7" w:rsidRPr="00AA56D2" w:rsidRDefault="00296BA7" w:rsidP="00B040C3">
      <w:pPr>
        <w:shd w:val="clear" w:color="auto" w:fill="FFFFFF"/>
        <w:tabs>
          <w:tab w:val="left" w:pos="49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Злоякісні:</w:t>
      </w:r>
    </w:p>
    <w:p w14:paraId="4901760D" w14:textId="77777777" w:rsidR="00296BA7" w:rsidRPr="00AA56D2" w:rsidRDefault="00296BA7" w:rsidP="00B040C3">
      <w:pPr>
        <w:shd w:val="clear" w:color="auto" w:fill="FFFFFF"/>
        <w:tabs>
          <w:tab w:val="left" w:pos="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лімфоми, лейкемії;</w:t>
      </w:r>
    </w:p>
    <w:p w14:paraId="581ABBB8" w14:textId="77777777" w:rsidR="00296BA7" w:rsidRPr="00AA56D2" w:rsidRDefault="00296BA7" w:rsidP="00B040C3">
      <w:pPr>
        <w:shd w:val="clear" w:color="auto" w:fill="FFFFFF"/>
        <w:tabs>
          <w:tab w:val="left" w:pos="5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метастази нейробластоми, рабдоміосаркоми, раку щитоподібної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залози.</w:t>
      </w:r>
    </w:p>
    <w:p w14:paraId="14A06A5F" w14:textId="77777777" w:rsidR="00296BA7" w:rsidRPr="00AA56D2" w:rsidRDefault="00296BA7" w:rsidP="00B040C3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Гістіоцитози: лангергансо-кліти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нний гістіоцитоз, сімейний ерит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рофагоцитарний лімфогістіоцитоз, злоякісний гістіоцитоз з масивною лімфаденопатією.</w:t>
      </w:r>
    </w:p>
    <w:p w14:paraId="691D80E5" w14:textId="77777777" w:rsidR="00296BA7" w:rsidRPr="00AA56D2" w:rsidRDefault="00296BA7" w:rsidP="00B040C3">
      <w:pPr>
        <w:widowControl w:val="0"/>
        <w:numPr>
          <w:ilvl w:val="0"/>
          <w:numId w:val="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Різні: саркоїдоз, хвороба Кавасакі.</w:t>
      </w:r>
    </w:p>
    <w:p w14:paraId="2BE6CED9" w14:textId="77777777" w:rsidR="00F7665D" w:rsidRPr="00AA56D2" w:rsidRDefault="00F7665D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9A25C2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Гемолітичні анемії</w:t>
      </w:r>
    </w:p>
    <w:p w14:paraId="44A775E4" w14:textId="77777777" w:rsidR="00F7665D" w:rsidRPr="00AA56D2" w:rsidRDefault="00F7665D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676293AD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Класифікація гемолітичних анемій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(за Л.І. Ідельсоном, 1975)</w:t>
      </w:r>
    </w:p>
    <w:p w14:paraId="4BC84A9C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i/>
          <w:iCs/>
          <w:sz w:val="28"/>
          <w:szCs w:val="28"/>
          <w:lang w:val="uk-UA"/>
        </w:rPr>
        <w:t>Спадкові гемолітичні анемії.</w:t>
      </w:r>
    </w:p>
    <w:p w14:paraId="5DE318B0" w14:textId="77777777" w:rsidR="00296BA7" w:rsidRPr="00AA56D2" w:rsidRDefault="00296BA7" w:rsidP="00B040C3">
      <w:pPr>
        <w:shd w:val="clear" w:color="auto" w:fill="FFFFFF"/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Спадкові гемолітичні анемії, пов'язані з порушенням мембрани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еритроцитів:</w:t>
      </w:r>
    </w:p>
    <w:p w14:paraId="6C3705DB" w14:textId="77777777" w:rsidR="00296BA7" w:rsidRPr="00AA56D2" w:rsidRDefault="00296BA7" w:rsidP="00B040C3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Спадковий мікросфероцитоз.</w:t>
      </w:r>
    </w:p>
    <w:p w14:paraId="15E88E4F" w14:textId="77777777" w:rsidR="00296BA7" w:rsidRPr="00AA56D2" w:rsidRDefault="00296BA7" w:rsidP="00B040C3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Спадковий еліптоцитоз.</w:t>
      </w:r>
    </w:p>
    <w:p w14:paraId="15A827F8" w14:textId="77777777" w:rsidR="00296BA7" w:rsidRPr="00AA56D2" w:rsidRDefault="00296BA7" w:rsidP="00B040C3">
      <w:pPr>
        <w:widowControl w:val="0"/>
        <w:numPr>
          <w:ilvl w:val="0"/>
          <w:numId w:val="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lastRenderedPageBreak/>
        <w:t>Спадковий стоматоцитоз.</w:t>
      </w:r>
    </w:p>
    <w:p w14:paraId="6F122291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Б. Гемолітичні анемії, обумовлені порушенням структури ліпідів мембрани еритроцитів:</w:t>
      </w:r>
    </w:p>
    <w:p w14:paraId="25C50DD6" w14:textId="77777777" w:rsidR="00296BA7" w:rsidRPr="00AA56D2" w:rsidRDefault="00296BA7" w:rsidP="00B040C3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Спадковий акантоцитоз.</w:t>
      </w:r>
    </w:p>
    <w:p w14:paraId="13B099A5" w14:textId="77777777" w:rsidR="00296BA7" w:rsidRPr="00AA56D2" w:rsidRDefault="00296BA7" w:rsidP="00B040C3">
      <w:pPr>
        <w:widowControl w:val="0"/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Спадкова гемолітична анемія, обумовлена дефіцитом активності лецитин-холестерин-ацетилтрансферази та ін.</w:t>
      </w:r>
    </w:p>
    <w:p w14:paraId="79030CAE" w14:textId="77777777" w:rsidR="00296BA7" w:rsidRPr="00AA56D2" w:rsidRDefault="00296BA7" w:rsidP="00B040C3">
      <w:pPr>
        <w:shd w:val="clear" w:color="auto" w:fill="FFFFFF"/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Спадкові гемолітичні анемії, пов'язані з порушенням активності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ферментів еритроцитів:</w:t>
      </w:r>
    </w:p>
    <w:p w14:paraId="050A62D4" w14:textId="77777777" w:rsidR="00296BA7" w:rsidRPr="00AA56D2" w:rsidRDefault="00296BA7" w:rsidP="00B040C3">
      <w:pPr>
        <w:shd w:val="clear" w:color="auto" w:fill="FFFFFF"/>
        <w:tabs>
          <w:tab w:val="left" w:pos="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Спадкові гемолітичні анемії, пов'язані з порушенням активності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ферментів пентозофосфатного циклу:</w:t>
      </w:r>
    </w:p>
    <w:p w14:paraId="7A7E1CFA" w14:textId="77777777" w:rsidR="00296BA7" w:rsidRPr="00AA56D2" w:rsidRDefault="00296BA7" w:rsidP="00B040C3">
      <w:pPr>
        <w:shd w:val="clear" w:color="auto" w:fill="FFFFFF"/>
        <w:tabs>
          <w:tab w:val="left" w:pos="7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а) дефіцит активності глюкозо-6-фосфатдегідрогенази;</w:t>
      </w:r>
    </w:p>
    <w:p w14:paraId="532AAB57" w14:textId="77777777" w:rsidR="00296BA7" w:rsidRPr="00AA56D2" w:rsidRDefault="00296BA7" w:rsidP="00B040C3">
      <w:pPr>
        <w:shd w:val="clear" w:color="auto" w:fill="FFFFFF"/>
        <w:tabs>
          <w:tab w:val="left" w:pos="7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б) дефіцит активності 6-фосфоглюконатдегідрогенази.</w:t>
      </w:r>
    </w:p>
    <w:p w14:paraId="26FC00A6" w14:textId="77777777" w:rsidR="00296BA7" w:rsidRPr="00AA56D2" w:rsidRDefault="00296BA7" w:rsidP="00B040C3">
      <w:pPr>
        <w:shd w:val="clear" w:color="auto" w:fill="FFFFFF"/>
        <w:tabs>
          <w:tab w:val="left" w:pos="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Гемолітичні анемії, пов'язані з порушенням активності ферментів гліколізу:</w:t>
      </w:r>
    </w:p>
    <w:p w14:paraId="2CB1A431" w14:textId="77777777" w:rsidR="00296BA7" w:rsidRPr="00AA56D2" w:rsidRDefault="00296BA7" w:rsidP="00B040C3">
      <w:pPr>
        <w:shd w:val="clear" w:color="auto" w:fill="FFFFFF"/>
        <w:tabs>
          <w:tab w:val="left" w:pos="7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а) дефіцит активності піруваткінази;</w:t>
      </w:r>
    </w:p>
    <w:p w14:paraId="35F4B502" w14:textId="77777777" w:rsidR="00296BA7" w:rsidRPr="00AA56D2" w:rsidRDefault="00296BA7" w:rsidP="00B040C3">
      <w:pPr>
        <w:shd w:val="clear" w:color="auto" w:fill="FFFFFF"/>
        <w:tabs>
          <w:tab w:val="left" w:pos="76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б) дефіцит активності гексокінази та ін.</w:t>
      </w:r>
    </w:p>
    <w:p w14:paraId="07D0D2F7" w14:textId="77777777" w:rsidR="00296BA7" w:rsidRPr="00AA56D2" w:rsidRDefault="00296BA7" w:rsidP="00B040C3">
      <w:pPr>
        <w:shd w:val="clear" w:color="auto" w:fill="FFFFFF"/>
        <w:tabs>
          <w:tab w:val="left" w:pos="4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Гемолітичні анемії, обумовлені дефіцитом активності ферменті глютатіонового циклу:</w:t>
      </w:r>
    </w:p>
    <w:p w14:paraId="7139FAE9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а) дефіцит активності синтетази глютатіону;</w:t>
      </w:r>
    </w:p>
    <w:p w14:paraId="585BAACA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б) дефіцит активності редуктази глютатіону та ін.</w:t>
      </w:r>
    </w:p>
    <w:p w14:paraId="4FB3E1D2" w14:textId="77777777" w:rsidR="00296BA7" w:rsidRPr="00AA56D2" w:rsidRDefault="00296BA7" w:rsidP="00B040C3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Гемолітичні анемії, обумовлені порушенням обміну порфіринів.</w:t>
      </w:r>
    </w:p>
    <w:p w14:paraId="42EB1858" w14:textId="77777777" w:rsidR="00296BA7" w:rsidRPr="00AA56D2" w:rsidRDefault="00296BA7" w:rsidP="00B040C3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Спадкові гемолітичні анемії, обумовлені порушенням метаболізму нуклеотидів:</w:t>
      </w:r>
    </w:p>
    <w:p w14:paraId="5011C6C1" w14:textId="77777777" w:rsidR="00296BA7" w:rsidRPr="00AA56D2" w:rsidRDefault="00296BA7" w:rsidP="00B040C3">
      <w:pPr>
        <w:shd w:val="clear" w:color="auto" w:fill="FFFFFF"/>
        <w:tabs>
          <w:tab w:val="left" w:pos="7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дефіцит активності аденілаткінази;</w:t>
      </w:r>
    </w:p>
    <w:p w14:paraId="5502AB56" w14:textId="77777777" w:rsidR="00296BA7" w:rsidRPr="00AA56D2" w:rsidRDefault="00296BA7" w:rsidP="00B040C3">
      <w:pPr>
        <w:shd w:val="clear" w:color="auto" w:fill="FFFFFF"/>
        <w:tabs>
          <w:tab w:val="left" w:pos="78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гіперактивність аденозиндезамінази та ін.</w:t>
      </w:r>
    </w:p>
    <w:p w14:paraId="6273D82F" w14:textId="77777777" w:rsidR="00296BA7" w:rsidRPr="00AA56D2" w:rsidRDefault="00296BA7" w:rsidP="00B040C3">
      <w:pPr>
        <w:shd w:val="clear" w:color="auto" w:fill="FFFFFF"/>
        <w:tabs>
          <w:tab w:val="left" w:pos="5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Спадкові гемолітичні анемії, пов'язані з порушенням структури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або синтезу гемоглобіну:</w:t>
      </w:r>
    </w:p>
    <w:p w14:paraId="11396A07" w14:textId="77777777" w:rsidR="00296BA7" w:rsidRPr="00AA56D2" w:rsidRDefault="00296BA7" w:rsidP="00B040C3">
      <w:pPr>
        <w:shd w:val="clear" w:color="auto" w:fill="FFFFFF"/>
        <w:tabs>
          <w:tab w:val="left" w:pos="7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гемолітичні анемії, пов'язані з порушенням синтезу ланцюгів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глобіну:</w:t>
      </w:r>
    </w:p>
    <w:p w14:paraId="62A5580C" w14:textId="77777777" w:rsidR="00296BA7" w:rsidRPr="00AA56D2" w:rsidRDefault="00296BA7" w:rsidP="00B040C3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альфа-таласемія;</w:t>
      </w:r>
    </w:p>
    <w:p w14:paraId="7C2FA577" w14:textId="77777777" w:rsidR="00296BA7" w:rsidRPr="00AA56D2" w:rsidRDefault="00296BA7" w:rsidP="00B040C3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lastRenderedPageBreak/>
        <w:t>бета-таласеміятаін.;</w:t>
      </w:r>
    </w:p>
    <w:p w14:paraId="4AEBAFA7" w14:textId="77777777" w:rsidR="00296BA7" w:rsidRPr="00AA56D2" w:rsidRDefault="00296BA7" w:rsidP="00B040C3">
      <w:pPr>
        <w:shd w:val="clear" w:color="auto" w:fill="FFFFFF"/>
        <w:tabs>
          <w:tab w:val="left" w:pos="7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анемії, пов'язані з порушенням структури ланцюгів глобіну:</w:t>
      </w:r>
    </w:p>
    <w:p w14:paraId="4EBE8963" w14:textId="77777777" w:rsidR="00296BA7" w:rsidRPr="00AA56D2" w:rsidRDefault="00296BA7" w:rsidP="00B040C3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анемії, обумовлені носійством стабільних аномальних гемоглобінів 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56D2">
        <w:rPr>
          <w:rFonts w:ascii="Times New Roman" w:hAnsi="Times New Roman" w:cs="Times New Roman"/>
          <w:sz w:val="28"/>
          <w:szCs w:val="28"/>
        </w:rPr>
        <w:t xml:space="preserve">, 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A56D2">
        <w:rPr>
          <w:rFonts w:ascii="Times New Roman" w:hAnsi="Times New Roman" w:cs="Times New Roman"/>
          <w:sz w:val="28"/>
          <w:szCs w:val="28"/>
        </w:rPr>
        <w:t xml:space="preserve">, </w:t>
      </w:r>
      <w:r w:rsidRPr="00AA56D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A56D2">
        <w:rPr>
          <w:rFonts w:ascii="Times New Roman" w:hAnsi="Times New Roman" w:cs="Times New Roman"/>
          <w:sz w:val="28"/>
          <w:szCs w:val="28"/>
        </w:rPr>
        <w:t xml:space="preserve">,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Е та ін.;</w:t>
      </w:r>
    </w:p>
    <w:p w14:paraId="7EA96E22" w14:textId="77777777" w:rsidR="00296BA7" w:rsidRPr="00AA56D2" w:rsidRDefault="00296BA7" w:rsidP="00B040C3">
      <w:pPr>
        <w:widowControl w:val="0"/>
        <w:numPr>
          <w:ilvl w:val="0"/>
          <w:numId w:val="7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анемії, обумовлені носійством нестабільних аномальних гемоглобінів.</w:t>
      </w:r>
    </w:p>
    <w:p w14:paraId="44F30005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AA56D2">
        <w:rPr>
          <w:rFonts w:ascii="Times New Roman" w:hAnsi="Times New Roman" w:cs="Times New Roman"/>
          <w:i/>
          <w:iCs/>
          <w:sz w:val="28"/>
          <w:szCs w:val="28"/>
          <w:lang w:val="uk-UA"/>
        </w:rPr>
        <w:t>. Набуті гемолітичні анемії.</w:t>
      </w:r>
    </w:p>
    <w:p w14:paraId="3954886C" w14:textId="77777777" w:rsidR="00296BA7" w:rsidRPr="00AA56D2" w:rsidRDefault="00296BA7" w:rsidP="00B040C3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A.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Ізоімунні гемолітичні анемії.</w:t>
      </w:r>
    </w:p>
    <w:p w14:paraId="7B027172" w14:textId="77777777" w:rsidR="00296BA7" w:rsidRPr="00AA56D2" w:rsidRDefault="00296BA7" w:rsidP="00B040C3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Гемолітична хвороба новонароджених.</w:t>
      </w:r>
    </w:p>
    <w:p w14:paraId="27C716EE" w14:textId="77777777" w:rsidR="00296BA7" w:rsidRPr="00AA56D2" w:rsidRDefault="00296BA7" w:rsidP="00B040C3">
      <w:pPr>
        <w:widowControl w:val="0"/>
        <w:numPr>
          <w:ilvl w:val="0"/>
          <w:numId w:val="8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Посттрансфузійні гемолітичні анемії. Б. Аутоімунні гемолітичні анемії.</w:t>
      </w:r>
    </w:p>
    <w:p w14:paraId="1BC76D53" w14:textId="77777777" w:rsidR="00296BA7" w:rsidRPr="00AA56D2" w:rsidRDefault="00296BA7" w:rsidP="00B040C3">
      <w:pPr>
        <w:widowControl w:val="0"/>
        <w:numPr>
          <w:ilvl w:val="0"/>
          <w:numId w:val="9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Анемії, пов'язані з неповними тепловими антитілами (ідіопатичні, симптоматичні у хворих на лейкемію, мієлофіброз, лімфогранулематоз та ін.).</w:t>
      </w:r>
    </w:p>
    <w:p w14:paraId="4CB9B9DB" w14:textId="77777777" w:rsidR="00296BA7" w:rsidRPr="00AA56D2" w:rsidRDefault="00296BA7" w:rsidP="00B040C3">
      <w:pPr>
        <w:widowControl w:val="0"/>
        <w:numPr>
          <w:ilvl w:val="0"/>
          <w:numId w:val="9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Анемії, пов'язані з тепловими гемолізинами.</w:t>
      </w:r>
    </w:p>
    <w:p w14:paraId="0C1BE2F3" w14:textId="77777777" w:rsidR="00296BA7" w:rsidRPr="00AA56D2" w:rsidRDefault="00296BA7" w:rsidP="00B040C3">
      <w:pPr>
        <w:widowControl w:val="0"/>
        <w:numPr>
          <w:ilvl w:val="0"/>
          <w:numId w:val="9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Анемії, пов'язані з холодовими аглютинінами.</w:t>
      </w:r>
    </w:p>
    <w:p w14:paraId="24DE3655" w14:textId="77777777" w:rsidR="00296BA7" w:rsidRPr="00AA56D2" w:rsidRDefault="00296BA7" w:rsidP="00B040C3">
      <w:pPr>
        <w:widowControl w:val="0"/>
        <w:numPr>
          <w:ilvl w:val="0"/>
          <w:numId w:val="9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Анемії, пов'язані з двофазними холодовими гемолізинами типу Доната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Ландштейнера (пароксизмальна холодова гемоглобінурія) та ін.</w:t>
      </w:r>
    </w:p>
    <w:p w14:paraId="7BD71B3D" w14:textId="77777777" w:rsidR="00296BA7" w:rsidRPr="00AA56D2" w:rsidRDefault="00296BA7" w:rsidP="00B040C3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B.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ab/>
        <w:t>Гемолітичні анемії, пов'язані з механічним пошкодженням обо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лонки еритроцитів і анемії внаслідок зіткнення з протезом клапанів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серця (маршова гемоглобінурія та ін.).</w:t>
      </w:r>
    </w:p>
    <w:p w14:paraId="063CF47E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Г. Гемолітичні анемії, пов'язані зі зміною структури мембран еритроцитів (пароксизмальна нічна гемоглобінурія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хвороба Маркіа-фави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Мікелі).</w:t>
      </w:r>
    </w:p>
    <w:p w14:paraId="6B7C26AA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Д. Гемолітичні анемії, обумовлені хімічним пошкодженням еритроцитів (при отруєнні кислотами, свинцем та іншими важкими металами).</w:t>
      </w:r>
    </w:p>
    <w:p w14:paraId="14E43DFF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Е. Гемолітичні анемії, обумовлені нестачею вітамінів (наприклад вітаміну Е).</w:t>
      </w:r>
    </w:p>
    <w:p w14:paraId="132B2B64" w14:textId="77777777" w:rsidR="00F7665D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Є. Гемолітичні анемії, обумовлені порушенням еритроцитів паразитом (малярія).</w:t>
      </w:r>
    </w:p>
    <w:p w14:paraId="7A2C674D" w14:textId="762F0C96" w:rsidR="00296BA7" w:rsidRPr="00AA56D2" w:rsidRDefault="00F7665D" w:rsidP="00F7665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172B9B" w:rsidRPr="00AA56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E0AADC" wp14:editId="752060D0">
            <wp:extent cx="4391025" cy="4104005"/>
            <wp:effectExtent l="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3FC39" w14:textId="77777777" w:rsidR="00F7665D" w:rsidRPr="00AA56D2" w:rsidRDefault="00F7665D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FC4F1" w14:textId="77777777" w:rsidR="00F7665D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Важливе значення для проведення адекватної патогенетично обґрунтованої терапії та прогнозу життя дитини має своєчасна діагностика гемолітичних анемій. Такі загально-клінічні ознаки як жовтяниця, збільшення розмірів печінки та селезінки, зміна кольору сечі притаманні як гемолітичним анеміям, так і вірусному гепатиту. Тому ретельне збирання анамнезу захворювання, дослідження фізико-хімічних та ферментативних властивостей еритроцитів, активності амінотрансфераз сироватки крові та проведення диференціального зіставлення отриманих даних дозволить встановити наявність вірусного гепатиту або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стан кризу та тип ге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молітичної анемії.</w:t>
      </w:r>
    </w:p>
    <w:p w14:paraId="28E307CD" w14:textId="6C7830E5" w:rsidR="00296BA7" w:rsidRPr="00AA56D2" w:rsidRDefault="00F7665D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172B9B" w:rsidRPr="00AA56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07787D" wp14:editId="7B7FAF62">
            <wp:extent cx="4401820" cy="6751955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675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F0A6E" w14:textId="77777777" w:rsidR="00F7665D" w:rsidRPr="00AA56D2" w:rsidRDefault="00F7665D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5E2FF853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i/>
          <w:iCs/>
          <w:sz w:val="28"/>
          <w:szCs w:val="28"/>
          <w:lang w:val="uk-UA"/>
        </w:rPr>
        <w:t>Основні принципи лікування гемолітичних анемій</w:t>
      </w:r>
    </w:p>
    <w:p w14:paraId="7156643D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При лікуванні деяких форм гемолітичних анемій (аутоімунні гемолітичні анемії з неповними тепловими антитілами або тепловими аглютинінами) методом вибору є спленектомія. Тяжкі гемолітичні кризи, часті рецидиви протягом року, спленомегалія, постійне застосування преднізолону протягом більше ніж 5 міс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це показання до проведення спленектомії. Внаслідок цього заходу відбувається усунення місця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lastRenderedPageBreak/>
        <w:t>руйнування еритроцитів і утворення ан</w:t>
      </w:r>
      <w:r w:rsidR="00301B1C" w:rsidRPr="00AA56D2">
        <w:rPr>
          <w:rFonts w:ascii="Times New Roman" w:hAnsi="Times New Roman" w:cs="Times New Roman"/>
          <w:sz w:val="28"/>
          <w:szCs w:val="28"/>
          <w:lang w:val="uk-UA"/>
        </w:rPr>
        <w:t>титіл (при ауто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імунній гемолітичній анемії), а також ліквідується причина гем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оди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люції, зменшується ОЦК. Спленектомія застосовується не тільки при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ідіоматичних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, але й при симптоматичних формах аутоімунної гемолітичної анемії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при хронічному активному гепатиті, якщо активність гепатиту невелика, а ознаки підвищеного гемолізу значні; при хронічному лімфолейкозі, якщо хворий постійно приймає преднізолон у зв'язку з гемолітичними кризами; при системному червоному вовчаку та ін. Ефективність спленектомії при гемолізинових формах аутоімунної гемолітичної анемії менша, ніж при аглютин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іно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вих формах. Повна ремісія практично не досягається, проте стан хворих поліпшується, гемолітичні кризи стають менш тяжкими. При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автоімунній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гемолітичній анемії з повними холодовими аглютинінами спленекто</w:t>
      </w:r>
      <w:r w:rsidR="00301B1C" w:rsidRPr="00AA56D2">
        <w:rPr>
          <w:rFonts w:ascii="Times New Roman" w:hAnsi="Times New Roman" w:cs="Times New Roman"/>
          <w:sz w:val="28"/>
          <w:szCs w:val="28"/>
          <w:lang w:val="uk-UA"/>
        </w:rPr>
        <w:t>мія не ефективна.</w:t>
      </w:r>
    </w:p>
    <w:p w14:paraId="1A505B11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Важливе місце займає замісна терапія за допомогою трансфузії еритроцитарної маси, тромбоконц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ентрату. При частих гемотрансфу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зіях необхідно проводити контроль за вмістом феритину в сироватці крові. Якщо рівень його перевищує 500 нг/мл, з метою запобігання гемосидерозу органів застосовують десфералотерапію.</w:t>
      </w:r>
    </w:p>
    <w:p w14:paraId="17C26C07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При гемолітичних кризах терапія повинна бути спрямована на швидке зменшення концентрації білірубіну (плазмаферез, фенобарбітал; галстена). Застосовуються заходи профілактики та лікування синдрому дисемінованого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внутрішньо-судинного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згортання крові (гепарин, потім курантил).</w:t>
      </w:r>
    </w:p>
    <w:p w14:paraId="18B6FBA6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пластичних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кризах для стимуляції кровотворення застосовують кортикостероїди (у дозі 1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1,5 мг на 1 кг маси тіла на добу), вітаміни В</w:t>
      </w:r>
      <w:r w:rsidRPr="00AA56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12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>, Е до збільшення кількості еритроцитів.</w:t>
      </w:r>
    </w:p>
    <w:p w14:paraId="3EE0BE23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При вазооклюзійних кризах для ліквідації больового синдрому призначають анальгетики, для поліпшення реологічних властивостей крові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ноотропіл, трентал.</w:t>
      </w:r>
    </w:p>
    <w:p w14:paraId="4EEB0C59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У комплексному лікуванні гемолітичних анемій передбачається застосування вітамінів (В</w:t>
      </w:r>
      <w:r w:rsidRPr="00AA56D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, С, Е, В ) та мікроелементів (препарати цинку при 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lastRenderedPageBreak/>
        <w:t>терапії таласемії та серпоподібно-клітинної анемії). При супутніх бактеріальних інфекціях призначають антибіотики широкого спектра дії.</w:t>
      </w:r>
    </w:p>
    <w:p w14:paraId="2A457EB0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Особливий підхід потрібен при терапії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автоімунних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гемолітичних анемій. На відміну від інших гемолітичних анемій, у даному випадку застосовують насамперед кортикостероїди та цитостатичні препарати (циклофосфан). Крім того, проводять плазмаферез (ефективний при аутоімунній гемолітичній анемії з повними холодовими аглютинінами). Після проведення спленектомії дуже важливо проводити профілактику легеневих та мезентеріальних тромбозів (за допомогою гепарину, курантилу або тренталу).</w:t>
      </w:r>
    </w:p>
    <w:p w14:paraId="4719DCEF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>У перші 6 міс після операції часто виникають тяжкі інфекції, які спричинюються в 50 % пневмококами. Тому до спленектомії рекомендують провести протипневмококову вакцинацію і в першому півріччі 1 раз на місяць вводити біцилін-5 у вікових дозах.</w:t>
      </w:r>
    </w:p>
    <w:p w14:paraId="463DA31A" w14:textId="77777777" w:rsidR="00296BA7" w:rsidRPr="00AA56D2" w:rsidRDefault="00F7665D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AA56D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Використана література</w:t>
      </w:r>
    </w:p>
    <w:p w14:paraId="45A6F3F6" w14:textId="77777777" w:rsidR="00296BA7" w:rsidRPr="00AA56D2" w:rsidRDefault="00296BA7" w:rsidP="00B040C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EA0434" w14:textId="77777777" w:rsidR="00296BA7" w:rsidRPr="00AA56D2" w:rsidRDefault="00296BA7" w:rsidP="00F7665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1. Педіатрія: Навч. посібник / О.В. Тяжка, О.П. Вінницька, Т.І. Лутай та ін.; За ред. проф. О.В. Тяжкої.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К.: Медицина, 2005. </w:t>
      </w:r>
      <w:r w:rsidR="00F7665D" w:rsidRPr="00AA56D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A56D2">
        <w:rPr>
          <w:rFonts w:ascii="Times New Roman" w:hAnsi="Times New Roman" w:cs="Times New Roman"/>
          <w:sz w:val="28"/>
          <w:szCs w:val="28"/>
          <w:lang w:val="uk-UA"/>
        </w:rPr>
        <w:t xml:space="preserve"> 552 с.</w:t>
      </w:r>
    </w:p>
    <w:sectPr w:rsidR="00296BA7" w:rsidRPr="00AA56D2" w:rsidSect="002F2CA0"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7063" w14:textId="77777777" w:rsidR="00D526E9" w:rsidRDefault="00D526E9" w:rsidP="00A55F7F">
      <w:pPr>
        <w:spacing w:after="0" w:line="240" w:lineRule="auto"/>
      </w:pPr>
      <w:r>
        <w:separator/>
      </w:r>
    </w:p>
  </w:endnote>
  <w:endnote w:type="continuationSeparator" w:id="0">
    <w:p w14:paraId="6BFACCCC" w14:textId="77777777" w:rsidR="00D526E9" w:rsidRDefault="00D526E9" w:rsidP="00A5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94E7" w14:textId="77777777" w:rsidR="00D526E9" w:rsidRDefault="00D526E9" w:rsidP="00A55F7F">
      <w:pPr>
        <w:spacing w:after="0" w:line="240" w:lineRule="auto"/>
      </w:pPr>
      <w:r>
        <w:separator/>
      </w:r>
    </w:p>
  </w:footnote>
  <w:footnote w:type="continuationSeparator" w:id="0">
    <w:p w14:paraId="2D0227E7" w14:textId="77777777" w:rsidR="00D526E9" w:rsidRDefault="00D526E9" w:rsidP="00A55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540B1B4"/>
    <w:lvl w:ilvl="0">
      <w:numFmt w:val="bullet"/>
      <w:lvlText w:val="*"/>
      <w:lvlJc w:val="left"/>
    </w:lvl>
  </w:abstractNum>
  <w:abstractNum w:abstractNumId="1" w15:restartNumberingAfterBreak="0">
    <w:nsid w:val="249407EA"/>
    <w:multiLevelType w:val="singleLevel"/>
    <w:tmpl w:val="A56CA02A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54D7CA8"/>
    <w:multiLevelType w:val="singleLevel"/>
    <w:tmpl w:val="04DE1D96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BD4F30"/>
    <w:multiLevelType w:val="singleLevel"/>
    <w:tmpl w:val="527A69B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A263F7A"/>
    <w:multiLevelType w:val="singleLevel"/>
    <w:tmpl w:val="C240A8AC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D677632"/>
    <w:multiLevelType w:val="singleLevel"/>
    <w:tmpl w:val="4AC03D8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5442DEB"/>
    <w:multiLevelType w:val="singleLevel"/>
    <w:tmpl w:val="7A60592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05832C5"/>
    <w:multiLevelType w:val="singleLevel"/>
    <w:tmpl w:val="F9B439E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7F"/>
    <w:rsid w:val="00002467"/>
    <w:rsid w:val="000036EF"/>
    <w:rsid w:val="00006525"/>
    <w:rsid w:val="00013C2D"/>
    <w:rsid w:val="00023350"/>
    <w:rsid w:val="00024860"/>
    <w:rsid w:val="00025404"/>
    <w:rsid w:val="000305E3"/>
    <w:rsid w:val="0003391B"/>
    <w:rsid w:val="00045BDC"/>
    <w:rsid w:val="00051629"/>
    <w:rsid w:val="000539A0"/>
    <w:rsid w:val="00053F1E"/>
    <w:rsid w:val="000552E5"/>
    <w:rsid w:val="00056729"/>
    <w:rsid w:val="00061119"/>
    <w:rsid w:val="0006603C"/>
    <w:rsid w:val="0007035A"/>
    <w:rsid w:val="00086978"/>
    <w:rsid w:val="00087996"/>
    <w:rsid w:val="000A6BC4"/>
    <w:rsid w:val="000B294F"/>
    <w:rsid w:val="000C500E"/>
    <w:rsid w:val="000D0591"/>
    <w:rsid w:val="000D1E2D"/>
    <w:rsid w:val="000D6C2C"/>
    <w:rsid w:val="000D6CD3"/>
    <w:rsid w:val="000E0A5D"/>
    <w:rsid w:val="001015BE"/>
    <w:rsid w:val="00101B8C"/>
    <w:rsid w:val="00101F3D"/>
    <w:rsid w:val="00114F68"/>
    <w:rsid w:val="00114FE1"/>
    <w:rsid w:val="001178FF"/>
    <w:rsid w:val="00120BC3"/>
    <w:rsid w:val="001212E1"/>
    <w:rsid w:val="0012139C"/>
    <w:rsid w:val="001217D8"/>
    <w:rsid w:val="00131583"/>
    <w:rsid w:val="00153CE4"/>
    <w:rsid w:val="001566C1"/>
    <w:rsid w:val="0016451D"/>
    <w:rsid w:val="001657C7"/>
    <w:rsid w:val="00171900"/>
    <w:rsid w:val="00172B9B"/>
    <w:rsid w:val="0017505B"/>
    <w:rsid w:val="00181DF0"/>
    <w:rsid w:val="00182ABF"/>
    <w:rsid w:val="001838E1"/>
    <w:rsid w:val="00184220"/>
    <w:rsid w:val="0018527A"/>
    <w:rsid w:val="0018710E"/>
    <w:rsid w:val="0019083B"/>
    <w:rsid w:val="001B3407"/>
    <w:rsid w:val="001C1A29"/>
    <w:rsid w:val="001C34EB"/>
    <w:rsid w:val="001C4E5D"/>
    <w:rsid w:val="001C5893"/>
    <w:rsid w:val="001C5DD1"/>
    <w:rsid w:val="001C7867"/>
    <w:rsid w:val="001D27AB"/>
    <w:rsid w:val="001D6860"/>
    <w:rsid w:val="001D7017"/>
    <w:rsid w:val="001E33EF"/>
    <w:rsid w:val="001E392C"/>
    <w:rsid w:val="001E6482"/>
    <w:rsid w:val="001F4187"/>
    <w:rsid w:val="001F59C3"/>
    <w:rsid w:val="001F5C3C"/>
    <w:rsid w:val="00200676"/>
    <w:rsid w:val="002022C4"/>
    <w:rsid w:val="002056A6"/>
    <w:rsid w:val="00206781"/>
    <w:rsid w:val="0020678D"/>
    <w:rsid w:val="00211DDE"/>
    <w:rsid w:val="002147A2"/>
    <w:rsid w:val="00216B79"/>
    <w:rsid w:val="00221055"/>
    <w:rsid w:val="00223BE1"/>
    <w:rsid w:val="00242515"/>
    <w:rsid w:val="0025177D"/>
    <w:rsid w:val="00253A9D"/>
    <w:rsid w:val="0025423E"/>
    <w:rsid w:val="00257052"/>
    <w:rsid w:val="002633E1"/>
    <w:rsid w:val="00263FD9"/>
    <w:rsid w:val="00271073"/>
    <w:rsid w:val="002756C7"/>
    <w:rsid w:val="00296BA7"/>
    <w:rsid w:val="002A6BED"/>
    <w:rsid w:val="002B509C"/>
    <w:rsid w:val="002C0C90"/>
    <w:rsid w:val="002D5C09"/>
    <w:rsid w:val="002E05FF"/>
    <w:rsid w:val="002F0227"/>
    <w:rsid w:val="002F2B97"/>
    <w:rsid w:val="002F2CA0"/>
    <w:rsid w:val="00301B1C"/>
    <w:rsid w:val="00302133"/>
    <w:rsid w:val="00317DD6"/>
    <w:rsid w:val="003218F9"/>
    <w:rsid w:val="00322167"/>
    <w:rsid w:val="00333939"/>
    <w:rsid w:val="00356997"/>
    <w:rsid w:val="00360053"/>
    <w:rsid w:val="003647B3"/>
    <w:rsid w:val="00366891"/>
    <w:rsid w:val="00366CAD"/>
    <w:rsid w:val="00376C6D"/>
    <w:rsid w:val="00380D15"/>
    <w:rsid w:val="00390052"/>
    <w:rsid w:val="003901C8"/>
    <w:rsid w:val="003965BC"/>
    <w:rsid w:val="00396935"/>
    <w:rsid w:val="003A3364"/>
    <w:rsid w:val="003A7A08"/>
    <w:rsid w:val="003B128F"/>
    <w:rsid w:val="003B28FC"/>
    <w:rsid w:val="003B68D4"/>
    <w:rsid w:val="003C7B40"/>
    <w:rsid w:val="003D3A9D"/>
    <w:rsid w:val="003E72A4"/>
    <w:rsid w:val="003E7CF1"/>
    <w:rsid w:val="003F2A46"/>
    <w:rsid w:val="003F73DE"/>
    <w:rsid w:val="003F7920"/>
    <w:rsid w:val="00402FAA"/>
    <w:rsid w:val="00403785"/>
    <w:rsid w:val="00415A72"/>
    <w:rsid w:val="0042355E"/>
    <w:rsid w:val="00427ED7"/>
    <w:rsid w:val="00447B76"/>
    <w:rsid w:val="00451FD7"/>
    <w:rsid w:val="00460A45"/>
    <w:rsid w:val="004615FC"/>
    <w:rsid w:val="00463FAD"/>
    <w:rsid w:val="00472B5C"/>
    <w:rsid w:val="0048401C"/>
    <w:rsid w:val="004A4767"/>
    <w:rsid w:val="004B2AB5"/>
    <w:rsid w:val="004B5CFF"/>
    <w:rsid w:val="004B6D45"/>
    <w:rsid w:val="004D20D1"/>
    <w:rsid w:val="004D7C33"/>
    <w:rsid w:val="004E25E0"/>
    <w:rsid w:val="004F0CC2"/>
    <w:rsid w:val="004F3C0C"/>
    <w:rsid w:val="004F6CEA"/>
    <w:rsid w:val="005010B3"/>
    <w:rsid w:val="005042C1"/>
    <w:rsid w:val="00511B5A"/>
    <w:rsid w:val="005166D6"/>
    <w:rsid w:val="005203FF"/>
    <w:rsid w:val="00520A3F"/>
    <w:rsid w:val="005211E8"/>
    <w:rsid w:val="005236DC"/>
    <w:rsid w:val="00526AAE"/>
    <w:rsid w:val="00536CBD"/>
    <w:rsid w:val="00537D64"/>
    <w:rsid w:val="00560EC6"/>
    <w:rsid w:val="0056279C"/>
    <w:rsid w:val="00562CE0"/>
    <w:rsid w:val="005631D2"/>
    <w:rsid w:val="00570EBE"/>
    <w:rsid w:val="0057621E"/>
    <w:rsid w:val="00581DBB"/>
    <w:rsid w:val="005827D8"/>
    <w:rsid w:val="00597038"/>
    <w:rsid w:val="005A02E7"/>
    <w:rsid w:val="005A06DE"/>
    <w:rsid w:val="005A51E9"/>
    <w:rsid w:val="005A7324"/>
    <w:rsid w:val="005A7FE0"/>
    <w:rsid w:val="005C2D6E"/>
    <w:rsid w:val="005D21A1"/>
    <w:rsid w:val="005D793C"/>
    <w:rsid w:val="005E36E5"/>
    <w:rsid w:val="005E3A3B"/>
    <w:rsid w:val="005F3CAE"/>
    <w:rsid w:val="0060091F"/>
    <w:rsid w:val="0060583A"/>
    <w:rsid w:val="00615FB5"/>
    <w:rsid w:val="00616AC6"/>
    <w:rsid w:val="00636073"/>
    <w:rsid w:val="00650E53"/>
    <w:rsid w:val="00655167"/>
    <w:rsid w:val="00661D5C"/>
    <w:rsid w:val="00662AD5"/>
    <w:rsid w:val="006810F7"/>
    <w:rsid w:val="006874C2"/>
    <w:rsid w:val="00693F85"/>
    <w:rsid w:val="0069475A"/>
    <w:rsid w:val="00696BD3"/>
    <w:rsid w:val="00696C30"/>
    <w:rsid w:val="006B0DE2"/>
    <w:rsid w:val="006C3477"/>
    <w:rsid w:val="006C4097"/>
    <w:rsid w:val="006C788B"/>
    <w:rsid w:val="006D5605"/>
    <w:rsid w:val="006D5834"/>
    <w:rsid w:val="006E1C28"/>
    <w:rsid w:val="006F193D"/>
    <w:rsid w:val="006F3A48"/>
    <w:rsid w:val="006F6D97"/>
    <w:rsid w:val="0070117D"/>
    <w:rsid w:val="00703BD4"/>
    <w:rsid w:val="0070623C"/>
    <w:rsid w:val="007065A6"/>
    <w:rsid w:val="0070741C"/>
    <w:rsid w:val="00710711"/>
    <w:rsid w:val="0071518D"/>
    <w:rsid w:val="0071755F"/>
    <w:rsid w:val="007200E8"/>
    <w:rsid w:val="00725778"/>
    <w:rsid w:val="00725FF5"/>
    <w:rsid w:val="00732A2F"/>
    <w:rsid w:val="00735E76"/>
    <w:rsid w:val="00746B55"/>
    <w:rsid w:val="007473BF"/>
    <w:rsid w:val="00756242"/>
    <w:rsid w:val="007640B0"/>
    <w:rsid w:val="007714AE"/>
    <w:rsid w:val="00775AEF"/>
    <w:rsid w:val="0078112C"/>
    <w:rsid w:val="00786B04"/>
    <w:rsid w:val="007902C2"/>
    <w:rsid w:val="007977F4"/>
    <w:rsid w:val="00797BD9"/>
    <w:rsid w:val="007A1DE0"/>
    <w:rsid w:val="007B06EA"/>
    <w:rsid w:val="007B3A98"/>
    <w:rsid w:val="007B7EE2"/>
    <w:rsid w:val="007E0922"/>
    <w:rsid w:val="007E130D"/>
    <w:rsid w:val="007E5BF4"/>
    <w:rsid w:val="00800C95"/>
    <w:rsid w:val="00801F30"/>
    <w:rsid w:val="008040A9"/>
    <w:rsid w:val="0080621F"/>
    <w:rsid w:val="00815F01"/>
    <w:rsid w:val="008254C0"/>
    <w:rsid w:val="00844B83"/>
    <w:rsid w:val="008457A5"/>
    <w:rsid w:val="008460FD"/>
    <w:rsid w:val="0085028F"/>
    <w:rsid w:val="008505DA"/>
    <w:rsid w:val="00860492"/>
    <w:rsid w:val="00861E18"/>
    <w:rsid w:val="0086398E"/>
    <w:rsid w:val="00871A9B"/>
    <w:rsid w:val="008735F6"/>
    <w:rsid w:val="008755DC"/>
    <w:rsid w:val="00877915"/>
    <w:rsid w:val="008831E6"/>
    <w:rsid w:val="008872EA"/>
    <w:rsid w:val="008902DF"/>
    <w:rsid w:val="00890748"/>
    <w:rsid w:val="00893E3A"/>
    <w:rsid w:val="008960D7"/>
    <w:rsid w:val="008B054F"/>
    <w:rsid w:val="008C0B0A"/>
    <w:rsid w:val="008C2436"/>
    <w:rsid w:val="008C2E60"/>
    <w:rsid w:val="008D5660"/>
    <w:rsid w:val="008E1C55"/>
    <w:rsid w:val="008E3B5D"/>
    <w:rsid w:val="008E765A"/>
    <w:rsid w:val="008E76A6"/>
    <w:rsid w:val="008E7FF4"/>
    <w:rsid w:val="008F22F4"/>
    <w:rsid w:val="00902D00"/>
    <w:rsid w:val="009111A3"/>
    <w:rsid w:val="009145F1"/>
    <w:rsid w:val="00916CFD"/>
    <w:rsid w:val="00917B15"/>
    <w:rsid w:val="009203E4"/>
    <w:rsid w:val="009259F9"/>
    <w:rsid w:val="00931DD5"/>
    <w:rsid w:val="009407FA"/>
    <w:rsid w:val="00941647"/>
    <w:rsid w:val="00945547"/>
    <w:rsid w:val="009630F6"/>
    <w:rsid w:val="00964E31"/>
    <w:rsid w:val="00971D3D"/>
    <w:rsid w:val="009810D7"/>
    <w:rsid w:val="00983DE2"/>
    <w:rsid w:val="00983FF3"/>
    <w:rsid w:val="00986B3E"/>
    <w:rsid w:val="00986DE5"/>
    <w:rsid w:val="00990C09"/>
    <w:rsid w:val="00994D13"/>
    <w:rsid w:val="00997D61"/>
    <w:rsid w:val="009A4A02"/>
    <w:rsid w:val="009B33A4"/>
    <w:rsid w:val="009C4FAC"/>
    <w:rsid w:val="009D1B48"/>
    <w:rsid w:val="009D4282"/>
    <w:rsid w:val="009E4682"/>
    <w:rsid w:val="009E6D37"/>
    <w:rsid w:val="009F4746"/>
    <w:rsid w:val="00A00218"/>
    <w:rsid w:val="00A01364"/>
    <w:rsid w:val="00A01D15"/>
    <w:rsid w:val="00A16557"/>
    <w:rsid w:val="00A24B94"/>
    <w:rsid w:val="00A26F37"/>
    <w:rsid w:val="00A32C85"/>
    <w:rsid w:val="00A55F7F"/>
    <w:rsid w:val="00A57E0D"/>
    <w:rsid w:val="00A61C76"/>
    <w:rsid w:val="00A63CC1"/>
    <w:rsid w:val="00A677E3"/>
    <w:rsid w:val="00A67BF1"/>
    <w:rsid w:val="00A733F0"/>
    <w:rsid w:val="00A84A66"/>
    <w:rsid w:val="00A90AB9"/>
    <w:rsid w:val="00A943E2"/>
    <w:rsid w:val="00AA0B60"/>
    <w:rsid w:val="00AA2375"/>
    <w:rsid w:val="00AA4783"/>
    <w:rsid w:val="00AA56D2"/>
    <w:rsid w:val="00AC4B2D"/>
    <w:rsid w:val="00AC4FCE"/>
    <w:rsid w:val="00AE0DF3"/>
    <w:rsid w:val="00AE2390"/>
    <w:rsid w:val="00AE33B9"/>
    <w:rsid w:val="00AE62AA"/>
    <w:rsid w:val="00AF358E"/>
    <w:rsid w:val="00B040C3"/>
    <w:rsid w:val="00B114D8"/>
    <w:rsid w:val="00B12022"/>
    <w:rsid w:val="00B221C2"/>
    <w:rsid w:val="00B23107"/>
    <w:rsid w:val="00B23E29"/>
    <w:rsid w:val="00B30060"/>
    <w:rsid w:val="00B32889"/>
    <w:rsid w:val="00B40CAE"/>
    <w:rsid w:val="00B44379"/>
    <w:rsid w:val="00B51316"/>
    <w:rsid w:val="00B718BC"/>
    <w:rsid w:val="00B96BB9"/>
    <w:rsid w:val="00B97CB5"/>
    <w:rsid w:val="00BA5673"/>
    <w:rsid w:val="00BB0CD3"/>
    <w:rsid w:val="00BB0F3F"/>
    <w:rsid w:val="00BB7B8C"/>
    <w:rsid w:val="00BC36C1"/>
    <w:rsid w:val="00BC499D"/>
    <w:rsid w:val="00BE0D3D"/>
    <w:rsid w:val="00BE2008"/>
    <w:rsid w:val="00BE68F1"/>
    <w:rsid w:val="00C00959"/>
    <w:rsid w:val="00C012F3"/>
    <w:rsid w:val="00C1110A"/>
    <w:rsid w:val="00C15CC4"/>
    <w:rsid w:val="00C166C7"/>
    <w:rsid w:val="00C16B81"/>
    <w:rsid w:val="00C30069"/>
    <w:rsid w:val="00C3063B"/>
    <w:rsid w:val="00C33A90"/>
    <w:rsid w:val="00C34D01"/>
    <w:rsid w:val="00C362DE"/>
    <w:rsid w:val="00C44330"/>
    <w:rsid w:val="00C450D1"/>
    <w:rsid w:val="00C5127D"/>
    <w:rsid w:val="00C52058"/>
    <w:rsid w:val="00C522AD"/>
    <w:rsid w:val="00C53F68"/>
    <w:rsid w:val="00C56C68"/>
    <w:rsid w:val="00C6208D"/>
    <w:rsid w:val="00C66436"/>
    <w:rsid w:val="00C73B43"/>
    <w:rsid w:val="00C75D65"/>
    <w:rsid w:val="00C77971"/>
    <w:rsid w:val="00C80470"/>
    <w:rsid w:val="00C80AEB"/>
    <w:rsid w:val="00C83591"/>
    <w:rsid w:val="00C83926"/>
    <w:rsid w:val="00C86CFB"/>
    <w:rsid w:val="00C90C02"/>
    <w:rsid w:val="00C952F5"/>
    <w:rsid w:val="00C95EA7"/>
    <w:rsid w:val="00CA0B2C"/>
    <w:rsid w:val="00CA0EB6"/>
    <w:rsid w:val="00CA1248"/>
    <w:rsid w:val="00CA49AD"/>
    <w:rsid w:val="00CB299A"/>
    <w:rsid w:val="00CD2022"/>
    <w:rsid w:val="00CD39C1"/>
    <w:rsid w:val="00CE5AAF"/>
    <w:rsid w:val="00CF7A15"/>
    <w:rsid w:val="00CF7DA1"/>
    <w:rsid w:val="00D04140"/>
    <w:rsid w:val="00D07B49"/>
    <w:rsid w:val="00D12715"/>
    <w:rsid w:val="00D15EC1"/>
    <w:rsid w:val="00D2737A"/>
    <w:rsid w:val="00D41903"/>
    <w:rsid w:val="00D43294"/>
    <w:rsid w:val="00D43C00"/>
    <w:rsid w:val="00D526E9"/>
    <w:rsid w:val="00D5322D"/>
    <w:rsid w:val="00D5404C"/>
    <w:rsid w:val="00D5416F"/>
    <w:rsid w:val="00D56831"/>
    <w:rsid w:val="00D56DC7"/>
    <w:rsid w:val="00D65575"/>
    <w:rsid w:val="00D65A49"/>
    <w:rsid w:val="00D6768C"/>
    <w:rsid w:val="00D71901"/>
    <w:rsid w:val="00D75575"/>
    <w:rsid w:val="00D76B2F"/>
    <w:rsid w:val="00D8173F"/>
    <w:rsid w:val="00D82BCB"/>
    <w:rsid w:val="00D8398C"/>
    <w:rsid w:val="00D84D36"/>
    <w:rsid w:val="00D86304"/>
    <w:rsid w:val="00D93735"/>
    <w:rsid w:val="00DA03CB"/>
    <w:rsid w:val="00DA5B8A"/>
    <w:rsid w:val="00DA718F"/>
    <w:rsid w:val="00DB257C"/>
    <w:rsid w:val="00DB25AD"/>
    <w:rsid w:val="00DB30F2"/>
    <w:rsid w:val="00DC10D3"/>
    <w:rsid w:val="00DC522B"/>
    <w:rsid w:val="00DC69EC"/>
    <w:rsid w:val="00DD41DC"/>
    <w:rsid w:val="00DE3FDF"/>
    <w:rsid w:val="00E00F4A"/>
    <w:rsid w:val="00E1142A"/>
    <w:rsid w:val="00E3033F"/>
    <w:rsid w:val="00E312A5"/>
    <w:rsid w:val="00E36465"/>
    <w:rsid w:val="00E41FA3"/>
    <w:rsid w:val="00E42AA9"/>
    <w:rsid w:val="00E46379"/>
    <w:rsid w:val="00E47BC8"/>
    <w:rsid w:val="00E51E0A"/>
    <w:rsid w:val="00E52EBE"/>
    <w:rsid w:val="00E5342E"/>
    <w:rsid w:val="00E6019C"/>
    <w:rsid w:val="00E74313"/>
    <w:rsid w:val="00E7568D"/>
    <w:rsid w:val="00E826DC"/>
    <w:rsid w:val="00E82B29"/>
    <w:rsid w:val="00E91248"/>
    <w:rsid w:val="00E94A22"/>
    <w:rsid w:val="00EA3D0C"/>
    <w:rsid w:val="00EA4DB4"/>
    <w:rsid w:val="00EB4E0F"/>
    <w:rsid w:val="00EB65DF"/>
    <w:rsid w:val="00EC0512"/>
    <w:rsid w:val="00EC0E9C"/>
    <w:rsid w:val="00EC50AC"/>
    <w:rsid w:val="00EC5AEE"/>
    <w:rsid w:val="00ED0519"/>
    <w:rsid w:val="00ED0547"/>
    <w:rsid w:val="00ED2E89"/>
    <w:rsid w:val="00ED4D2C"/>
    <w:rsid w:val="00EE3F31"/>
    <w:rsid w:val="00EE59DC"/>
    <w:rsid w:val="00EE7926"/>
    <w:rsid w:val="00F01E9C"/>
    <w:rsid w:val="00F04192"/>
    <w:rsid w:val="00F1528E"/>
    <w:rsid w:val="00F31EAF"/>
    <w:rsid w:val="00F34DDD"/>
    <w:rsid w:val="00F373A0"/>
    <w:rsid w:val="00F52C0E"/>
    <w:rsid w:val="00F66871"/>
    <w:rsid w:val="00F67632"/>
    <w:rsid w:val="00F73CCC"/>
    <w:rsid w:val="00F7665D"/>
    <w:rsid w:val="00F837B7"/>
    <w:rsid w:val="00F854D3"/>
    <w:rsid w:val="00F90749"/>
    <w:rsid w:val="00F9467A"/>
    <w:rsid w:val="00F9523D"/>
    <w:rsid w:val="00F95302"/>
    <w:rsid w:val="00F966B2"/>
    <w:rsid w:val="00FC2062"/>
    <w:rsid w:val="00FC25A1"/>
    <w:rsid w:val="00FC4D3D"/>
    <w:rsid w:val="00FC5FDB"/>
    <w:rsid w:val="00FC651D"/>
    <w:rsid w:val="00FD38CB"/>
    <w:rsid w:val="00FE3D1D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9D820"/>
  <w14:defaultImageDpi w14:val="0"/>
  <w15:docId w15:val="{E88A37CF-096A-45AF-BED1-AA99862C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F7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5F7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rsid w:val="00A55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5F7F"/>
  </w:style>
  <w:style w:type="paragraph" w:styleId="a7">
    <w:name w:val="Balloon Text"/>
    <w:basedOn w:val="a"/>
    <w:link w:val="a8"/>
    <w:uiPriority w:val="99"/>
    <w:semiHidden/>
    <w:rsid w:val="00A5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5F7F"/>
  </w:style>
  <w:style w:type="character" w:customStyle="1" w:styleId="a8">
    <w:name w:val="Текст выноски Знак"/>
    <w:basedOn w:val="a0"/>
    <w:link w:val="a7"/>
    <w:uiPriority w:val="99"/>
    <w:semiHidden/>
    <w:locked/>
    <w:rsid w:val="00A55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2073</Words>
  <Characters>11822</Characters>
  <Application>Microsoft Office Word</Application>
  <DocSecurity>0</DocSecurity>
  <Lines>98</Lines>
  <Paragraphs>27</Paragraphs>
  <ScaleCrop>false</ScaleCrop>
  <Company>Microsoft</Company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ОХОРОНИ ЗДОРОВ'Я УКРАЇНИ</dc:title>
  <dc:subject/>
  <dc:creator>Admin</dc:creator>
  <cp:keywords/>
  <dc:description/>
  <cp:lastModifiedBy>Igor</cp:lastModifiedBy>
  <cp:revision>3</cp:revision>
  <dcterms:created xsi:type="dcterms:W3CDTF">2025-03-22T00:01:00Z</dcterms:created>
  <dcterms:modified xsi:type="dcterms:W3CDTF">2025-03-22T00:01:00Z</dcterms:modified>
</cp:coreProperties>
</file>