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Особливості взаємозв’язку типу прив’язаності та взаємостосунків у подружній підсистемі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Анотації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статті розкрито основні підходи щодо інтерпретації типу прив’язаності у дорослих. Висвітлено основні дослідження почуття прив’язаності у ром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античних стосунках. Розглянуто результати емпіричного дослідження взаємозв’язку типу прив’язаності та взаємостосунків подружжя.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Ключові слова: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прив’язаність, тип прив’язаності, надійна прив’язаність, тривожно-амбівалентна прив’язаність, уникаюча прив’язані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сть, боязлива прив’язаність, почуття.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 xml:space="preserve">статье раскрыты основные подходы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 </w:t>
      </w:r>
      <w:r>
        <w:rPr>
          <w:rFonts w:ascii="Times New Roman CYR" w:hAnsi="Times New Roman CYR" w:cs="Times New Roman CYR"/>
          <w:sz w:val="28"/>
          <w:szCs w:val="28"/>
        </w:rPr>
        <w:t xml:space="preserve">интерпретации типов привязанности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</w:t>
      </w:r>
      <w:r>
        <w:rPr>
          <w:rFonts w:ascii="Times New Roman CYR" w:hAnsi="Times New Roman CYR" w:cs="Times New Roman CYR"/>
          <w:sz w:val="28"/>
          <w:szCs w:val="28"/>
        </w:rPr>
        <w:t>взрослых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Освещены основные исследования чувства привязанности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романтических отношениях. Рассмотрены обобщенные результаты эмпирического исслед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ования взаимосвязи типов привязанности и взаимоотношений супругов.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Ключевые слова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привязанность, тип привязанности, надежная привязанность, тревожно-амбивалентная привязанность, избегающая привязанность, боязливая привязанность, чувство.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The article cover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 the main approaches to the interpretation of attachment in adults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Highlights the key research affection in romantic relationships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We consider the generalized results of the empirical study on the relationship of attachment and relationship of the spous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Keywords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affection, attachment style, secure attachment, anxious-ambivalent attachment, avoidant attachment, fearful attachment, a feeling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lastRenderedPageBreak/>
        <w:t>Актуальність дослідження.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Сімейні стосунки - це сфера життя, завдяки якій людина може розвиватись, самовдоско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налюватись. Для нормального соціального та емоційного розвитку людині необхідно відчувати підтримку значущої людини. Подружні стосунки можуть впливати на партнерів як конструктивно, так і деструктивно, проте так чи інакше вони відчувають почуття прив’язано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 один до одного. Прив’язаність може формувати гармонійні стосунки у подружній підсистемі, які будуються на довірі, емоційній близькості, розумінні, а може й заважати формуванню близьких та довірливих стосунків, що у свою чергу породжує конфліктні ситуац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ії, сварки та нерозуміння між подружжям. Вивчення почуття прив’язаності у дорослих викликає значний інтерес у сучасних дослідженнях сімейних стосунків. Перші дослідження почуття прив’язаності у дорослих були проведені у середині 1980-х років американськими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вченими С. Хэйзан та Ф. Шейвер, які застосовували теорію Дж. Боулбі у контексті романтичних стосунків. Вони стверджували, що емоційний зв’язок, що виникає між дорослими партнерами у романтичних стосунках, частково є проявом тієї ж мотиваційної системи -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ошуку прив’язаності, яка спочатку служила для встановлення емоційного зв’язку між дітьми та їх батьками. С. Хэйзан і Ф.Шейвер відзначили, що взаємини між дітьми та батьками, і стосунки між дорослими романтичними партнерами мають такі особливості: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відчува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 себе у безпеці, коли інший знаходиться поблизу і виявляє чуйність;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здатні здійснювати близький контакт;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відчувають себе невпевнено, коли партнер недоступний;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здатні ділитися відкриттями один з одним;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взаємно милуються один одним, рисами обличчя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демонструють взаємну захопленість один одним;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використовують ласкаві слова.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Пізніше з кінця 1980-хроків дослідники К. Бартоломью та Л. Горовітц запропонували чотиривимірну модель індивідуальних відмінностей прив’язаності у дорослих…. З 1990-х років дос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лідженнями прив’язаності дорослих займалися американські вчені М. Микулинсер, К. Бреннан, Р. Борнстейн, Н. Колінс, Б. Фіней, П. Крітендер, Дж. Холмс, Л. Кіркпатрік, М. Мейн, а також В. Ролс, Дж. Сімпсон та Е. Вотерс. У вітчизняній психології дослідження 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ного почуття у дорослих вивчається з 2000-х років такими вченими як, В.О. Анікіна, Е.О. Смирнова, Р. Радєва, С. Калмикова, М.А. Падун, Т.В. Казанцева, В.Н. Куніцина та ін.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сучасних психологічних дослідженнях, зважаючи на кризу інституту сім’ї, питання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ив’язаності у контексті подружніх стосунків досить нерозглянуте й важливе, адже гармонійність та взаєморозуміння між подружжям - запорука стабільного та прогресивного суспільства. Тому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метою статті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визначення взаємозв’язку типу прив’язаності та взаємосто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сунків у подружній підсистемі.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Досліджуючи визначення такого взаємозв’язку необхідно розпочати з короткого розгляду типів прив’язаності. Згідно з теоріями прив’язаності, типи прив’язаності відносно стабільні у часі, вважається, що сталість стилю батьківськ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взаємин у процесі розвитку дитини впливає на незмінність типу прив’язаності [10,11]. Якщо у дитинстві паттерн прив’язаності модифікується, то повинні мати місце відповідні зміни у якості дитячо-батьківської взаємодії. Дж. Боулбі стверджує можливість змі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 і у дорослості. Така зміна, з його точки зору, до якої ми також схиляємось, може відбутися під впливом нових емоційних стосунків та розвитку абстрактного мислення - поєднання цих подій дозволяє індивіду усвідомити і по-новому інтерпретувати значення мин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улого і досвіду сьогодення [2,3]. Виходячи з досліджень К. Бартоломью та Л. Горовітц у дорослості виділяють чотири типи прив’язаності: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Надійний тип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характерний відчуттям комфортності у близьких,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довірливих стосунках, люди з таким типом здатні з легкіст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створювати та підтримувати довготривалі емоційно близькі стосунки.</w:t>
      </w:r>
    </w:p>
    <w:p w:rsidR="00000000" w:rsidRDefault="00F00B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Тривожно-амбівалентний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співвідноситься з емоційними крайнощами від нав’язливого поглинання партнером до ревнощів та конфліктів.</w:t>
      </w:r>
    </w:p>
    <w:p w:rsidR="00000000" w:rsidRDefault="00F00B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Уникаючий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співвідноситься зі страхом близькості,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розуміння, відсутності підтримки у потрібний час та недовіри до партнера.</w:t>
      </w:r>
    </w:p>
    <w:p w:rsidR="00000000" w:rsidRDefault="00F00B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Боязливий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характеризується негативним ставленням як до себе, так і до партнера, незадоволенням взаємостосунками з партнером</w:t>
      </w:r>
      <w:r>
        <w:rPr>
          <w:rFonts w:ascii="Times New Roman CYR" w:hAnsi="Times New Roman CYR" w:cs="Times New Roman CYR"/>
          <w:sz w:val="28"/>
          <w:szCs w:val="28"/>
        </w:rPr>
        <w:t xml:space="preserve"> [9]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нашому дослідженні взаємозв’язку типу прив’язан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 та взаємостосунків у подружній підсистемі прийняло участь 30 подружніх пар (60 чоловік), віком від 20 до 50 років (20-30 років - 50%, 31-40 - 40%, 41-50 - 10%), з сімейним стажем від 1 до 25 років подружнього життя (1-5 років - 60%, 6-8 - 13.3%, 11-25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- 26.6%). У досліджені було використано комплекс теоретичних, емпіричних методів та методи статичної обробки даних. До теоретичних методів належать аналіз, синтез, узагальнення дослідних даних з обраної теми дослідження. До комплексу емпіричних методів 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ійшли: спостереження, бесіда та психодіагностичні методики. До комплексу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методів статичної обробки даних увійшли дисперсійний, порівняльний та кореляційний аналізи. При обробці даних використовувались комп’ютерні програми MS Excel; SPSS 17.0.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результаті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проведеного емпіричного дослідження було виявлено, що більшість респондентів (50%) мають надійний тип прив’язаності, у яких близькі стосунки пов’язані з переживанням щастя, дружби і довіри, вони ставляться до любовних почуттів як до стабільного, поступово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розвиваючогося і згасаючого явища. Такі люди скептично ставляться до романтичних історій, їм властиво більшою мірою контролювати свої емоції, однак вони не відкидають можливості міцного емоційного зв’язку. У близьких довірливих стосунках такі люди відчуваю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ть себе комфортно, вони проявляють велику ніжність і турботу до свого партнера, виправдано чекаючи від нього того ж самого, такі люди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створюють близькі стосунки і не бояться ні стати занадто залежними, ні втратити кохану людину. Вони здатні підтримувати 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ивалі міцні стосунки, що приносять задоволення. Боязливий тип прив’язаності притаманний 25% досліджуваним, тобто їх уявлення і про себе, і про партнера носять негативний характер, представники даного типу частіше схильні переживати незадоволеність романтич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ними стосунками та у складних, нестандартних ситуаціях такі люди частіше незадоволені взаємодією з партнером. 13.3% респондентів з уникаючим типом прив’язаності, що свідчить про їх страх близькості, емоційні злети і падіння, а також ревнощі. Представники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никаючого типу прив’язаності ставляться скептично до міцності романтичних стосунків і вважають, що достатньо рідко вдається знайти людину, у яку можна закохатися. Також можна відзначити такі риси характеру як невпевненість у собі, низьку самооцінку, вразли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вість, їх внутрішній страх того, що у важкій ситуації вони не знайдуть розуміння і підтримки з боку об’єкта прив’язаності, змушує проявляти стриманість, а часом і холодність в романтичних стосунках. Лише 10% досліджуваних становлять тривожно-амбівалентний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тип прив’язаності, який виражається у людей нав’язливим поглинанням коханою людиною, бажанням тісного зв’язку, емоційними крайнощами і ревнощами. Часом їм важко контролювати свої емоції та бажання. Для представників даного типу проблематичним є вибудовуван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довготривалих міцних стосунків з партнером, вони не дуже довіряють оточуючим, а тому часто ревниві і поводяться, як власники. Вони можуть регулярно сваритися з партнером і бурхливо, гнівно реагувати на всі обговорення конфліктних ситуацій, тому однією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найбільш серйозних проблем, що часто зустрічається у представників даного типу прив’язаності є ревнощі, що виходять з під контролю, людина постійно стурбована можливою втратою партнера і може навіть уявляти його зв’язок з іншими людьми. Наочно отримані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казники продемонстровано на рис. 1.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00B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0235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05375" cy="2390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0B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 1. Типи прив’язаності за методикою К. Бартоломью "Самооцінка генералізованого типу прив’язаності" (n = 60; %).</w:t>
      </w:r>
    </w:p>
    <w:p w:rsidR="00000000" w:rsidRDefault="00F00B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00B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результаті кореляційного аналізу отриманих результатів (за кое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фіцієнтом кореляції Пірсона r), нами виявлено, що надійний тип прив’язаності корелює з повагою до партнера (r = 290(*), тобто чим більш надійний тип прив’язаності, тим більше поваги до партнера. Така кореляція може пояснюватися тим, що люди з позитивним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глядом на себе та інших, які вважають себе гідними для близьких стосунків, а партнерів - чуйними та надійними, приймають свого партнер як особистість, поділяють його світогляд, інтереси, думки враховують і приймають їх. Також він корелює з довірою до партн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ера (r = 267(*), позитивна кореляція, свідчить про прямий зв’язок, тобто чим більш виражений надійний тип прив’язаності, тим більше довіри до партнера, такий взаємозв’язок зрозумілий, адже людині, яка впевнена у собі, має базову довіру до навколишнього сві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ту, легко будувати свої стосунки на довірі, такі люди у близьких довірливих стосунках відчувають себе комфортно, вони проявляють ніжність і турботу до свого партнера.</w:t>
      </w:r>
    </w:p>
    <w:p w:rsidR="00000000" w:rsidRDefault="00F00B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Наступним взаємозв’язком з даним типом прив’язаності є емоційна близькість до партнера (r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305(*), зв’язок також прямий, це свідчить про те, що людям з надійною прив’язаністю необхідний стійкий близький емоційний зв’язок, що служить для них джерелом впевненості і відновлення життєвої енергії. Також чим більш надійний тип прив’язаності, тим бі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льш легкі та комфортні стосунки (r = 342(**) та більш виражена взаємна підтримка (r = 276(*). Слід зауважити, що найбільш значима кореляція на рівні 0.01 з комфортністю та легкістю стосунків, це пояснюється тим, що надійно прив’язані люди, яким притаманна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впевненість у собі та партнері, відчувають себе комфортно у міцних емоційних стосунках. Наочно дані представлені на рис. 2.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подружжя партнер почуття прив’язаність</w:t>
      </w:r>
    </w:p>
    <w:p w:rsidR="00000000" w:rsidRDefault="00F00B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Щодо тривожно-амбівалентного типу прив’язаності, то він також корелює з довірою до партнера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емоційною близькістю, але у даному зв’язку кореляція зворотня (r = -,365(**) та r = -,345(**), тобто чим більш виражений тривожно-амбівалентний тип, тим менше довіри між подружжям та емоційної близькості, це пояснюється відсутністю базової довіри та нег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ативним представленням про себе, такі люди вважають, що вони не заслуговують на близькі стосунки.</w:t>
      </w:r>
    </w:p>
    <w:p w:rsidR="00000000" w:rsidRDefault="00F00B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23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00400" cy="2752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0B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 2. Взаємозв’язок надійного типу прив’язаності та взаємостосунків між подружжям (n = 60; %).</w:t>
      </w:r>
    </w:p>
    <w:p w:rsidR="00000000" w:rsidRDefault="00F00B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00B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прослідковується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значуща зворотня кореляція зі стабільністю стосунків (r = -,391(**), тобто більша вираженість даного типу свідчить про менш стабільні стосунки, це легко пояснити, адже тривожно-амбівалентний тип передбачає емоційні крайнощі партнера у стосунках, від нав’я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зливості до ревнощів та конфліктів. Наочно дані представлені на рис. 3</w:t>
      </w:r>
    </w:p>
    <w:p w:rsidR="00000000" w:rsidRDefault="00F00B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2354E">
      <w:pPr>
        <w:widowControl w:val="0"/>
        <w:tabs>
          <w:tab w:val="left" w:pos="1134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95650" cy="2505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 3. Взаємозв’язок тривожно-амбівалентного типу прив’язаності та взаємостосунків між подружжям (n = 60; %).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Аналізуючи уникаючий тип прив’язанос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ті, варто зазначити його значиму пряму кореляцію на рівні 0.01 з униканням близькості (r = 432(**), що свідчить про страх близьких стосунків, того, що у потрібний час партнера не буде поряд або він проявить нерозуміння, відсутність підтримки та недовіру,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юдям з таким типом прив’язаності притаманні такі риси характеру як невпевненість у собі, низька самооцінка, вразливість. Їх внутрішній страх того, що у важкій ситуації вони не знайдуть розуміння і підтримки з боку об’єкта прив’язаності, змушує проявляти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риманість, а часом і холодність в романтичних стосунках.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Такий тип прив’язаності як боязливий, корелює з єдністю цінностей (r = -,337(**), чим більш боязливий тип, тим менш єдині цінності у подружжя, це пояснюється не прийняттям як власного "Я", так і парт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нера, тому виникає супереч взаємоцінностей партнерів.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Підводячи підсумки дослідження, можна прийти до висновку, що типи прив’язаності важливим чином впливають на взаємостосунки між подружжям, адже саме вони визначають основу взаємин - довіру, емоційну близ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ькість між партнерами, взаємну підтримку та комфортність стосунків. Тому подальшою перспективою наших досліджень стануть розгляд таких аспектів як тип прив’язаності та взаєморозуміння між подружжям, а також взаємозв’язок прив’язаності та залежності від пар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тнера.</w:t>
      </w: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Список використаних джерел</w:t>
      </w:r>
    </w:p>
    <w:p w:rsidR="00000000" w:rsidRDefault="00F00BD6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00BD6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Аникина В.О. Изучение привязанности у взрослых. Эмоции и отношения человека на ранних этапах развития / В.О. Аникина // СПб: изд-во СПбГУ, 2007. - 283 с.</w:t>
      </w:r>
    </w:p>
    <w:p w:rsidR="00000000" w:rsidRDefault="00F00BD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Боулби Дж. Привязанность / Боулби Дж. // М.: Гардарики, 2003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- 477с.</w:t>
      </w:r>
    </w:p>
    <w:p w:rsidR="00000000" w:rsidRDefault="00F00BD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Боулби Дж. Создание и разрушение эмоциональных связей /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Боулби Дж. // М.: Академический проект, 2004. - 232с.</w:t>
      </w:r>
    </w:p>
    <w:p w:rsidR="00000000" w:rsidRDefault="00F00BD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Казанцева Т.В. Воспроизведение типов привязанности в отношениях с близкими людьми / Казанцева Т.В, Куницына В.Н // Вестник СПГУ, Се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рия 12, Вып. 1 Ч. II., 2009. - С. 3-8.</w:t>
      </w:r>
    </w:p>
    <w:p w:rsidR="00000000" w:rsidRDefault="00F00BD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Казанцева Т.В. Исследование психологической близости в теории привязанности. / Т.В. Казанцева // Вестник СПбГУ. Сер. 12. 2010. Вып. 4. - С.94-98.</w:t>
      </w:r>
    </w:p>
    <w:p w:rsidR="00000000" w:rsidRDefault="00F00BD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Кроник А.А. В главных ролях: Вы, Мы, Он, Ты, Я: Психология значимых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отношений / Кроник А.А., Кроник Е.А. // М.: Мысль, 1989. - 204 с.</w:t>
      </w:r>
    </w:p>
    <w:p w:rsidR="00000000" w:rsidRDefault="00F00BD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Николаева Л.А. Психологическая привязанность и конфликты в семье. Семья в современном мире / Л.А. Николаева // СПб.: изд-во СПбГУ, 2010. - 223 с.</w:t>
      </w:r>
    </w:p>
    <w:p w:rsidR="00000000" w:rsidRDefault="00F00BD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Скрипкина Т.П. Психология доверия. Учеб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пособие для студ. высш. пед. учеб. заведений. / Т.П. Скрипкина // М.: Издательский центр "Академия", 2000. - 264 с.</w:t>
      </w:r>
    </w:p>
    <w:p w:rsidR="00000000" w:rsidRDefault="00F00BD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Bartholomew K. Attachment styles among young adults: A test of a four-category model. / Bartholomew K., Horowitz, L. // Journal of Perso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nality and Social Psychology. - 1991, Vol. 61, No. 2. pp. 226-244.</w:t>
      </w:r>
    </w:p>
    <w:p w:rsidR="00000000" w:rsidRDefault="00F00BD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J. Davila Why Does Attachment Style Change? / J. Davila, D. Burge, C. Hammen // Journal of Personality and Social Psychology, October 1997. Vol. 73, No. 4. pp. 826-838.</w:t>
      </w:r>
    </w:p>
    <w:p w:rsidR="00F00BD6" w:rsidRDefault="00F00BD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P. Fonagy The ca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pacity for understanding mental states: The reflective self in parent and child and its significance for security of attachment / P. Fonagy, M. Steele, G. Moran, M. Steele, A. Higgitt // Infant Mental Health Journal. 1991. N.13. pp. 200-216.</w:t>
      </w:r>
    </w:p>
    <w:sectPr w:rsidR="00F00B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4E"/>
    <w:rsid w:val="0002354E"/>
    <w:rsid w:val="00F0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F5CA72-6A7C-440B-A2C6-26F23E20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2236</Words>
  <Characters>12746</Characters>
  <Application>Microsoft Office Word</Application>
  <DocSecurity>0</DocSecurity>
  <Lines>106</Lines>
  <Paragraphs>29</Paragraphs>
  <ScaleCrop>false</ScaleCrop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2025-03-31T10:25:00Z</dcterms:created>
  <dcterms:modified xsi:type="dcterms:W3CDTF">2025-03-31T10:25:00Z</dcterms:modified>
</cp:coreProperties>
</file>