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FF8" w:rsidRPr="00A4478F" w:rsidRDefault="00B80FF8" w:rsidP="00B80FF8"/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color w:val="0000FF"/>
        </w:rPr>
      </w:pPr>
      <w:r>
        <w:tab/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color w:val="0000FF"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E78D0">
        <w:rPr>
          <w:b/>
        </w:rPr>
        <w:t>МИНИСТЕРСТВО ЗДРАВООХРАНЕНИЯ</w:t>
      </w: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E78D0">
        <w:rPr>
          <w:b/>
        </w:rPr>
        <w:t>РОССИЙСКОЙ ФЕДЕР</w:t>
      </w:r>
      <w:r w:rsidRPr="002E78D0">
        <w:rPr>
          <w:b/>
        </w:rPr>
        <w:t>А</w:t>
      </w:r>
      <w:r w:rsidRPr="002E78D0">
        <w:rPr>
          <w:b/>
        </w:rPr>
        <w:t>ЦИИ</w:t>
      </w: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>
        <w:rPr>
          <w:b/>
        </w:rPr>
        <w:t>ГОУ ВПО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E78D0">
        <w:rPr>
          <w:b/>
        </w:rPr>
        <w:t>ПЕРМСКАЯ ГОСУДАРСТВЕННАЯ МЕДИЦИНСКАЯ АКАДЕМИЯ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>
        <w:rPr>
          <w:b/>
        </w:rPr>
        <w:t>КАФЕДРА ПСИХИАТРИИ</w:t>
      </w: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  <w:r>
        <w:rPr>
          <w:b/>
        </w:rPr>
        <w:t>МЕДИЦИНСКАЯ ПСИХОЛОГИЯ</w:t>
      </w: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B80FF8" w:rsidRPr="00A40D6B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Pr="0031388E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i/>
          <w:sz w:val="36"/>
          <w:szCs w:val="36"/>
        </w:rPr>
      </w:pPr>
      <w:r w:rsidRPr="0031388E">
        <w:rPr>
          <w:b/>
          <w:i/>
          <w:sz w:val="36"/>
          <w:szCs w:val="36"/>
        </w:rPr>
        <w:t xml:space="preserve">Р е </w:t>
      </w:r>
      <w:proofErr w:type="spellStart"/>
      <w:r w:rsidRPr="0031388E">
        <w:rPr>
          <w:b/>
          <w:i/>
          <w:sz w:val="36"/>
          <w:szCs w:val="36"/>
        </w:rPr>
        <w:t>ф</w:t>
      </w:r>
      <w:proofErr w:type="spellEnd"/>
      <w:r w:rsidRPr="0031388E">
        <w:rPr>
          <w:b/>
          <w:i/>
          <w:sz w:val="36"/>
          <w:szCs w:val="36"/>
        </w:rPr>
        <w:t xml:space="preserve"> е </w:t>
      </w:r>
      <w:proofErr w:type="spellStart"/>
      <w:r w:rsidRPr="0031388E">
        <w:rPr>
          <w:b/>
          <w:i/>
          <w:sz w:val="36"/>
          <w:szCs w:val="36"/>
        </w:rPr>
        <w:t>р</w:t>
      </w:r>
      <w:proofErr w:type="spellEnd"/>
      <w:r w:rsidRPr="0031388E">
        <w:rPr>
          <w:b/>
          <w:i/>
          <w:sz w:val="36"/>
          <w:szCs w:val="36"/>
        </w:rPr>
        <w:t xml:space="preserve"> а т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32"/>
          <w:szCs w:val="32"/>
        </w:rPr>
      </w:pPr>
      <w:r w:rsidRPr="002E78D0">
        <w:rPr>
          <w:b/>
          <w:sz w:val="32"/>
          <w:szCs w:val="32"/>
        </w:rPr>
        <w:t xml:space="preserve">Тема: </w:t>
      </w:r>
      <w:r w:rsidR="003F4F30">
        <w:rPr>
          <w:b/>
          <w:sz w:val="32"/>
          <w:szCs w:val="32"/>
        </w:rPr>
        <w:t>Психотерапия, основные методы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B80FF8" w:rsidRPr="006F3CE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D944B6" w:rsidRPr="006F3CE0" w:rsidRDefault="00D944B6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D944B6" w:rsidRPr="006F3CE0" w:rsidRDefault="00D944B6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D944B6" w:rsidRPr="006F3CE0" w:rsidRDefault="00D944B6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</w:p>
    <w:p w:rsidR="009B2D4F" w:rsidRDefault="00B80FF8" w:rsidP="006F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0"/>
        <w:jc w:val="center"/>
        <w:rPr>
          <w:sz w:val="28"/>
          <w:szCs w:val="28"/>
        </w:rPr>
      </w:pPr>
      <w:r w:rsidRPr="00A471A6">
        <w:rPr>
          <w:sz w:val="28"/>
          <w:szCs w:val="28"/>
        </w:rPr>
        <w:t>Реферат подготовил</w:t>
      </w:r>
    </w:p>
    <w:p w:rsidR="009B2D4F" w:rsidRDefault="009B2D4F" w:rsidP="006F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0"/>
        <w:jc w:val="center"/>
        <w:rPr>
          <w:sz w:val="28"/>
          <w:szCs w:val="28"/>
        </w:rPr>
      </w:pPr>
    </w:p>
    <w:p w:rsidR="009B2D4F" w:rsidRDefault="009B2D4F" w:rsidP="009B2D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подполковник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ставке </w:t>
      </w:r>
    </w:p>
    <w:p w:rsidR="00B80FF8" w:rsidRPr="00A471A6" w:rsidRDefault="009B2D4F" w:rsidP="009B2D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Овечкин Александр Васильевич</w:t>
      </w:r>
      <w:r w:rsidR="00B80FF8" w:rsidRPr="00A471A6">
        <w:rPr>
          <w:sz w:val="28"/>
          <w:szCs w:val="28"/>
        </w:rPr>
        <w:t xml:space="preserve"> </w:t>
      </w:r>
    </w:p>
    <w:p w:rsidR="00B80FF8" w:rsidRPr="00A471A6" w:rsidRDefault="00B80FF8" w:rsidP="006F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0"/>
        <w:jc w:val="center"/>
        <w:rPr>
          <w:sz w:val="28"/>
          <w:szCs w:val="28"/>
        </w:rPr>
      </w:pPr>
    </w:p>
    <w:p w:rsidR="00B80FF8" w:rsidRPr="00A471A6" w:rsidRDefault="00B80FF8" w:rsidP="006F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0"/>
        <w:jc w:val="center"/>
        <w:rPr>
          <w:sz w:val="28"/>
          <w:szCs w:val="28"/>
        </w:rPr>
      </w:pPr>
      <w:r w:rsidRPr="00A471A6">
        <w:rPr>
          <w:sz w:val="28"/>
          <w:szCs w:val="28"/>
        </w:rPr>
        <w:t>Реферат проверил:</w:t>
      </w:r>
    </w:p>
    <w:p w:rsidR="00B80FF8" w:rsidRPr="00A471A6" w:rsidRDefault="006F3CE0" w:rsidP="006F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80FF8" w:rsidRPr="00A471A6">
        <w:rPr>
          <w:sz w:val="28"/>
          <w:szCs w:val="28"/>
        </w:rPr>
        <w:t xml:space="preserve">реподаватель </w:t>
      </w:r>
      <w:r w:rsidR="00B80FF8">
        <w:rPr>
          <w:sz w:val="28"/>
          <w:szCs w:val="28"/>
        </w:rPr>
        <w:t>Деев М.Н.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6F3CE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D944B6" w:rsidRPr="006F3CE0" w:rsidRDefault="00D944B6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D944B6" w:rsidRPr="006F3CE0" w:rsidRDefault="00D944B6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>
        <w:rPr>
          <w:b/>
        </w:rPr>
        <w:t>г. ПЕРМЬ – 2003</w:t>
      </w:r>
      <w:r w:rsidRPr="002E78D0">
        <w:rPr>
          <w:b/>
        </w:rPr>
        <w:t xml:space="preserve"> г.</w:t>
      </w:r>
    </w:p>
    <w:p w:rsidR="00B80FF8" w:rsidRPr="002E78D0" w:rsidRDefault="00B80FF8" w:rsidP="00B80F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color w:val="0000FF"/>
        </w:rPr>
      </w:pPr>
    </w:p>
    <w:p w:rsidR="00B80FF8" w:rsidRDefault="00B80FF8" w:rsidP="00B80FF8">
      <w:pPr>
        <w:ind w:firstLine="709"/>
      </w:pPr>
    </w:p>
    <w:p w:rsidR="00B80FF8" w:rsidRDefault="00B80FF8" w:rsidP="00B80FF8">
      <w:pPr>
        <w:spacing w:line="360" w:lineRule="auto"/>
        <w:ind w:firstLine="720"/>
        <w:rPr>
          <w:bCs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Психотерап</w:t>
      </w:r>
      <w:r w:rsidRPr="001D1DC6">
        <w:rPr>
          <w:rStyle w:val="udar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(от </w:t>
      </w:r>
      <w:hyperlink r:id="rId6" w:history="1">
        <w:proofErr w:type="spellStart"/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психо</w:t>
        </w:r>
        <w:proofErr w:type="spellEnd"/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...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и греч.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therapéia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— лечение), система психических во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действий, направленных на лечение больного. Цель П. — устранить болезненные откл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нения, изм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нить отношение больного к себе, своему состоянию и окружающей среде. Возмо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ность оказывать влияние на психику человека была замечена ещё в древности. Формир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вание научной началось в 40-х гг. 19 в. (работы английского врача Дж.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Брэда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, который объяснил действенность психического влияния функциональными особенност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ми нер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ной системы человека). Теоретическое обоснование и практическая разработка специал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ных методов П. связаны с деятельностью Ж. М.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proofErr w:type="spellStart"/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Шарко</w:t>
        </w:r>
        <w:proofErr w:type="spellEnd"/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В. М. Бехтерева и многие др. Определенное влияние на развитие П. оказал метод </w:t>
      </w:r>
      <w:hyperlink r:id="rId8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психоанализа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, усиливший вним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ние к миру внутре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них человеческих переживаний, к той роли, которую они играют в происхождении и 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витии болезней; однако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фрейдизму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(а ранее — в 1-й половине19 в. — школе «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психиков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» рассматривавшей психические болезни как результат «гнета греха») присущ ирраци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нальный подход к пониманию природы психических заболеваний. П. в СССР основывае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ся на данных медицинской психологии и физиологии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высшей нервной деятельности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, кл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нико-экспериментальном методе исследования.</w:t>
      </w: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Различают общую и частную, или специальную, П. Под общей П. понимают ко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плекс психологических воздействий, укрепляющих силы больного в борьбе с заболеван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ем (взаимоотношения врача и больного, оптимальный психологический климат в учре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дении, исключающий психическую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травматизацию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proofErr w:type="spellStart"/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ятрогенные</w:t>
        </w:r>
        <w:proofErr w:type="spellEnd"/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заболевания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, предупр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ждение и своевременное устранение вторичных невротических насло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ний, которые могут вызываться основным заболеванием). Общая П. — необход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мый компонент лечебного процесса при всех формах заболеваний. Частная П. — метод лечения больных с так наз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ваемыми пограничными формами нервно-психических расстройств (</w:t>
      </w:r>
      <w:hyperlink r:id="rId10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неврозы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психопатии</w:t>
        </w:r>
      </w:hyperlink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 др.), использующий специальные способы психотерапевтического воздействия: раци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нальную (разъясняющую) П., </w:t>
      </w:r>
      <w:hyperlink r:id="rId12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внушение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в состоянии бодрствования и в </w:t>
      </w:r>
      <w:hyperlink r:id="rId13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гипнозе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, отвл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кающую П., </w:t>
      </w:r>
      <w:hyperlink r:id="rId14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аутогенную тренировку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, коллективную П. и др. (в сочетании с медикаменто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ным и др. методами лечения). П. неосуществима без положительного эмоционального контакта с бол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ным.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Внуш</w:t>
      </w:r>
      <w:r w:rsidRPr="00FC2DC0">
        <w:rPr>
          <w:rStyle w:val="udar"/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(медицинское), метод лечения, заключающийся в том, что врач убежд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ет больного, находящегося в бодрствующем состоянии или под </w:t>
      </w:r>
      <w:hyperlink r:id="rId15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гипнозом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, в благоприя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ном течении болезни, которой страдает больной, в благополучном её исходе (выздоровл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нии) и в возможности преодоления тех или иных проявлений этой болезни.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В. может служить самостоятельным методом или сочетаться с медикаментозными и др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гими методами лечения. Применяется при неврозах, некоторых формах психопатии, наркоманиях, неврозе внутренних органов и других заболеваниях. Эффект лечения В. 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висит от склада личности больного и особенностей его заболевания. Научные физиолог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ческие основы лечения В. в гипнотическом состоянии разработаны И. П. </w:t>
      </w:r>
      <w:hyperlink r:id="rId16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Павловым</w:t>
        </w:r>
      </w:hyperlink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 его шк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лой. Сущность метода состоит в том, что, используя зависимость работы внутренних органов и систем от функции центральной нервной системы, можно при нарушении фун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ции этих органов и систем добиваться В. известной их нормализации. Кроме того, В. возможно изменить отношение больного к своему заболеванию и тем или иным его пр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явлениям. Элементы В. содержатся в любом методе лечения — вера больного в благоприя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ный исход болезни, в назначения врача увеличивает эффективность и сокращает сроки лечения. Однако при большинстве заболеваний внутренних органов, органических боле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нях мозга, психозах и т.д. В. не может служить самостоятельным методом лечения, а вх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дит в комплекс лечения наряду с медикаментозным, физиотерапевтическим и другими м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тодами, применяемыми при том или ином заболевании.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Как особый метод психотерапии существует самовнушение; оно лежит также в 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нове некоторых других психотерапевтических методик,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например </w:t>
      </w:r>
      <w:hyperlink r:id="rId17" w:history="1"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аутогенной трен</w:t>
        </w:r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B80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ровки</w:t>
        </w:r>
      </w:hyperlink>
      <w:r w:rsidRPr="001D1DC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Лечение В., как и всяким другим методом, проводит только врач, который устана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ливает объём и показания к той или иной методике В.</w:t>
      </w: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В. может оказывать и отрицательное влияние на течение болезни. Разговоры окр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жающих о болезни и её проявлениях, детали описания заболеваний в медицинской лит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ратуре, 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осторожное употребление терминов и формулировок врачом могут порождать у больного мысли и тревоги о наличии у него симптомов тяжёлого и даже неизлечимого 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болевания (</w:t>
      </w:r>
      <w:r>
        <w:rPr>
          <w:rFonts w:ascii="Times New Roman" w:hAnsi="Times New Roman" w:cs="Times New Roman"/>
          <w:color w:val="auto"/>
          <w:sz w:val="24"/>
          <w:szCs w:val="24"/>
        </w:rPr>
        <w:t>такие, как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трогенные</w:t>
      </w:r>
      <w:proofErr w:type="spellEnd"/>
      <w:r w:rsidRPr="00B80FF8">
        <w:rPr>
          <w:rFonts w:ascii="Times New Roman" w:hAnsi="Times New Roman" w:cs="Times New Roman"/>
          <w:color w:val="auto"/>
          <w:sz w:val="24"/>
          <w:szCs w:val="24"/>
        </w:rPr>
        <w:t xml:space="preserve"> заболевания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). И положительное, и отрицательное вли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ние В. реализуется самовнушением — убеждённостью больного в действенности, правоте, точности сведений, полученных от врача, медицинского персонала, окружающих больн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го, из прочита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ной литературы и пр.</w:t>
      </w:r>
    </w:p>
    <w:p w:rsidR="00D944B6" w:rsidRDefault="00D944B6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D944B6" w:rsidRPr="00D944B6" w:rsidRDefault="00D944B6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FC2DC0" w:rsidRPr="00FC2DC0" w:rsidRDefault="00FC2DC0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Гипн</w:t>
      </w:r>
      <w:r w:rsidRPr="001D1DC6">
        <w:rPr>
          <w:rStyle w:val="udar"/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(от греч.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hypnos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— сон), особого рода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сноподобное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состояние человека и вы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ших животных. Г. известен с глубокой древности. Однако вплоть до середины 19 в. представления о Г. основывались на спиритуалистических допущениях особых «флю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дов» или магнетических волн — особых токов, якобы распространяемых гипнотизёром. В конце 19 в. работами русских учёных В. М. Бехтерева, О. О.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Мочутковского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А. А.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Тока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французских — Ш.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Рише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Н.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Бергейма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Ж.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Шарко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английского— Дж.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Брейда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швейцарского — А.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Фореля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начата научная разработка проблемы Г., установлено лече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ное значение Г., а также выяснена роль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внушения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как метода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психотерапии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. Работы И. П. Павлова и его учеников показали, что в основе Г. лежит процесс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торможения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, захват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вающий кору больших полушарий головного мозга. Торможение это носит дробный х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рактер, распространяясь на разных участках мозга на различную глуб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ну и захватывая разные участки головного мозга. Между заторможенными участками лежат бодрству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щие участки 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тивной деятельности коры и подкорковых образований. Эти участки — «сторож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вые пункты» — обеспечивают, в частности, возможность контакта («раппорта») больного с гипнотизирующим его врачом и возможность лечебного воздействия сл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вом (внушением) при изоляции других раздражений из внешнего и внутреннего мира больн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го, погруженного в гипнотическое состояние. Торможение при Г. сходно с торможением при физиологическом сне.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В состоянии бодрствования сила возбуждения корковых клеток соответствует силе раздражения. Различная глубина торможения в разных областях головного мозга сопр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жена с наличием в них фазовых состояний, переходных от сна к бодрствованию. Для ф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зовых состояний характерно изменение реакции клеток на воздействие раздражителя: при ура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нительной фазе слабые и сильные раздражители действуют одинаково (например, слово врача, произнесённое тихо или громко, вызывает одинаковый эффект). При более глубоком торможении наступает парадоксальная фаза, когда слабые раздражители (н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пример, слово) действуют одинаково или даже эффективнее, чем сильные (например, боль), кот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рые иногда даже совсем не вызывают реакции. Отсюда возможность целебного воздействия внушением словом в состо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нии Г.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У человека Г. достигается воздействием ритмичных, монотонных, большей частью слабых раздражений на органы осязания (поглаживание), слуха (тихая успокаива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щая музыка, монотонная речь врача) и длительного, ритмично-монотонного вли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ния на др. органы чувств. Эти ритмичные монотонные раздражители сопровождаются при Г. слове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ным внушением, создающим у больного представление об успокоенности, желании 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снуть, нарастающем чувстве тяжести в веках, оцепенении, засыпании и последующем 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лублении сна. Сочетанием этих раздражений и словесного внушения засыпания, сна обе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печ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вается возникновение в коре головного мозга более или менее распространённого и различного по глубине торможения, что проявляется в нарастающей сонливости (1-я ст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дия Г. — ощущение тяжести в теле, трудности открыть глаза, говорить, последовательно думать —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гипотаксия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). При продолжении сеанса появляется неглубокий сон со своеобра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ной оцепенелостью мышц, когда рука, нога и т.п. застывают в приданном врачом полож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нии (каталепсия). Понятия и явления, внушаемые при этом врачом, не только восприн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маются больным, но и хорошо запоминаются, усваиваются и воспроизводятся им в дал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нейшем. Возникающие при Г. повышенная внушаемость,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гипотаксия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, каталепсия, 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мнамбулизм характеризуются понятием гипнотизм.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В стадии глубокого Г. (сомнамбулизм) больной полностью отгорожен от каких-либо ощущений и представлений внешнего мира и собственного организма и сохраняет контакт только с врачом. После сеанса он не может сообщить, что было с ним во время Г., однако содержание внушенного врачом в последующем выполняет. Э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фект внушения и глубина (стадия) Г. не всегда равнозначны. Высокий эффект внушения возможен и в пе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вой стадии Г. и даже вне гипнотического состояния (внушение наяву). В сомнамбулич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ской фазе Г. условия восприятия и последующей реализации внушенного обычно наиб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лее благ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приятны.</w:t>
      </w: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Развивающийся во время Г. сон служит сам по себе целебным фактором (регуляция головным мозгом функции обмена веществ, внутренних органов, деятельности се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дечно-сосудистой и др. систем организма). Г. может применяться как самостоятельный вид 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чения или служить частью терапевтического комплекса (наряду с медикаментами, физи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терапевтическими процедурами, диетой и др. лечебными метод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ми). Г. пользуются для лечения некоторых форм неврозов, психопатий, реактивных состояний. Воздействие Г. возможно для любого человека; быстрота и стадия достигаемой глубины Г. (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гипнабел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ность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) индивидуальны. Лечение Г. вопреки желанию больного проводить не целесообра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но. Ошибочно представление об универсальной пользе лечения Г. любого больного с 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бым заболеванием. Применение Г. за пределами лечебных целей недопустимо, а испол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зование его не врачами (например, для зрелищных демонстраций) советским законод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тельством запрещено.</w:t>
      </w:r>
    </w:p>
    <w:p w:rsidR="00B80FF8" w:rsidRPr="001D1DC6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Аутог</w:t>
      </w:r>
      <w:r w:rsidRPr="001D1DC6">
        <w:rPr>
          <w:rStyle w:val="udar"/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нная тренир</w:t>
      </w:r>
      <w:r w:rsidRPr="001D1DC6">
        <w:rPr>
          <w:rStyle w:val="udar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b/>
          <w:bCs/>
          <w:color w:val="auto"/>
          <w:sz w:val="24"/>
          <w:szCs w:val="24"/>
        </w:rPr>
        <w:t>вка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(греч.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autogenes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от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autos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— сам и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gennao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— рождаю), психотерапевтический метод лечения, сочетающий элементы самовнушения и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саморег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ляции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нарушенных функций внутренних органов,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моторлки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(движений), психики трен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ровкой этих функций. Предложен немецким учёным И. Шульцем (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опубл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. в 1956); получил 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пространение также во Франции, США («метод прогрессивной релаксации»); в СССР модифицирован М. С. Лебединским и др. (1963). Больного обучают интенсивным соср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доточением внимания вызывать у себя чувство тепла в организме, расслабления конечн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стей, чувства спокойствия, уверенности в благоприятном исходе лечения и др. Метод э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фект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вен в комплексе с другими методами </w:t>
      </w:r>
      <w:r w:rsidRPr="00B80FF8">
        <w:rPr>
          <w:rFonts w:ascii="Times New Roman" w:hAnsi="Times New Roman" w:cs="Times New Roman"/>
          <w:color w:val="auto"/>
          <w:sz w:val="24"/>
          <w:szCs w:val="24"/>
        </w:rPr>
        <w:t>психотерапии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и самостоятельно, в сочетании с медикаментозным лечением, главным образом при неврозах, особенно протекающих с н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вязчивыми явлениями, ра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стройствами сна.</w:t>
      </w: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Pr="001D1DC6" w:rsidRDefault="00B80FF8" w:rsidP="00B80FF8">
      <w:pPr>
        <w:ind w:firstLine="709"/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0FF8" w:rsidRP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80F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Литература </w:t>
      </w: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Дмитриев А. С., Физиология высшей нер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D1DC6">
        <w:rPr>
          <w:rFonts w:ascii="Times New Roman" w:hAnsi="Times New Roman" w:cs="Times New Roman"/>
          <w:color w:val="auto"/>
          <w:sz w:val="24"/>
          <w:szCs w:val="24"/>
        </w:rPr>
        <w:t>ной деятельности, М., 1964;</w:t>
      </w: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Лебединский М. С., Очерки психотерапии, М., 1959 (библ.); Платонов К. И., Слово как физиологический фактор, 3 изд., М., 1962 (библ.).</w:t>
      </w: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Клюмбиес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Г., Техника релаксации, пер. с нем., М., 1965;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Schultz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J. Н.,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Das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autogene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Training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, 11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Aufl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proofErr w:type="spellStart"/>
      <w:r w:rsidRPr="001D1DC6">
        <w:rPr>
          <w:rFonts w:ascii="Times New Roman" w:hAnsi="Times New Roman" w:cs="Times New Roman"/>
          <w:color w:val="auto"/>
          <w:sz w:val="24"/>
          <w:szCs w:val="24"/>
        </w:rPr>
        <w:t>Stuttg</w:t>
      </w:r>
      <w:proofErr w:type="spellEnd"/>
      <w:r w:rsidRPr="001D1DC6">
        <w:rPr>
          <w:rFonts w:ascii="Times New Roman" w:hAnsi="Times New Roman" w:cs="Times New Roman"/>
          <w:color w:val="auto"/>
          <w:sz w:val="24"/>
          <w:szCs w:val="24"/>
        </w:rPr>
        <w:t>., 1964.</w:t>
      </w:r>
    </w:p>
    <w:p w:rsidR="00B80FF8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1DC6">
        <w:rPr>
          <w:rFonts w:ascii="Times New Roman" w:hAnsi="Times New Roman" w:cs="Times New Roman"/>
          <w:color w:val="auto"/>
          <w:sz w:val="24"/>
          <w:szCs w:val="24"/>
        </w:rPr>
        <w:t>Платонов К. И., Слово как физиологический лечебный фактор, 3 изд. М., 1962 (библ.).</w:t>
      </w: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80FF8" w:rsidRPr="001D1DC6" w:rsidRDefault="00B80FF8" w:rsidP="00B80FF8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80FF8" w:rsidRDefault="00B80FF8" w:rsidP="00B80FF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306337" w:rsidRDefault="00306337" w:rsidP="00B80FF8">
      <w:pPr>
        <w:spacing w:line="360" w:lineRule="auto"/>
        <w:ind w:firstLine="709"/>
      </w:pPr>
    </w:p>
    <w:sectPr w:rsidR="00306337" w:rsidSect="00FC2DC0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A8F" w:rsidRDefault="001B3A8F">
      <w:r>
        <w:separator/>
      </w:r>
    </w:p>
  </w:endnote>
  <w:endnote w:type="continuationSeparator" w:id="0">
    <w:p w:rsidR="001B3A8F" w:rsidRDefault="001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88E" w:rsidRDefault="0031388E" w:rsidP="00FC2D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88E" w:rsidRDefault="0031388E" w:rsidP="00FC2D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88E" w:rsidRDefault="0031388E" w:rsidP="00FC2D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2D4F">
      <w:rPr>
        <w:rStyle w:val="a6"/>
        <w:noProof/>
      </w:rPr>
      <w:t>2</w:t>
    </w:r>
    <w:r>
      <w:rPr>
        <w:rStyle w:val="a6"/>
      </w:rPr>
      <w:fldChar w:fldCharType="end"/>
    </w:r>
  </w:p>
  <w:p w:rsidR="0031388E" w:rsidRDefault="0031388E" w:rsidP="00FC2D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A8F" w:rsidRDefault="001B3A8F">
      <w:r>
        <w:separator/>
      </w:r>
    </w:p>
  </w:footnote>
  <w:footnote w:type="continuationSeparator" w:id="0">
    <w:p w:rsidR="001B3A8F" w:rsidRDefault="001B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F6"/>
    <w:rsid w:val="000D6BF6"/>
    <w:rsid w:val="001B3A8F"/>
    <w:rsid w:val="002259FB"/>
    <w:rsid w:val="00306337"/>
    <w:rsid w:val="0031388E"/>
    <w:rsid w:val="003F4F30"/>
    <w:rsid w:val="005C4CCC"/>
    <w:rsid w:val="006F3CE0"/>
    <w:rsid w:val="009B2D4F"/>
    <w:rsid w:val="00B80FF8"/>
    <w:rsid w:val="00D53760"/>
    <w:rsid w:val="00D82CD6"/>
    <w:rsid w:val="00D944B6"/>
    <w:rsid w:val="00E650ED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C40A-C621-4C27-AE8E-43993DAD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80FF8"/>
    <w:rPr>
      <w:rFonts w:ascii="Arial" w:hAnsi="Arial" w:cs="Arial" w:hint="default"/>
      <w:color w:val="000000"/>
      <w:sz w:val="18"/>
      <w:szCs w:val="18"/>
      <w:u w:val="single"/>
    </w:rPr>
  </w:style>
  <w:style w:type="paragraph" w:styleId="a4">
    <w:name w:val="Normal (Web)"/>
    <w:basedOn w:val="a"/>
    <w:rsid w:val="00B80FF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udar">
    <w:name w:val="udar"/>
    <w:basedOn w:val="a0"/>
    <w:rsid w:val="00B80FF8"/>
    <w:rPr>
      <w:b/>
      <w:bCs/>
      <w:color w:val="970A0A"/>
    </w:rPr>
  </w:style>
  <w:style w:type="paragraph" w:styleId="a5">
    <w:name w:val="footer"/>
    <w:basedOn w:val="a"/>
    <w:rsid w:val="00FC2D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terlink(3,1);" TargetMode="External"/><Relationship Id="rId13" Type="http://schemas.openxmlformats.org/officeDocument/2006/relationships/hyperlink" Target="javascript:interlink(10,1);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interlink(2,1);" TargetMode="External"/><Relationship Id="rId12" Type="http://schemas.openxmlformats.org/officeDocument/2006/relationships/hyperlink" Target="javascript:interlink(9,1);" TargetMode="External"/><Relationship Id="rId17" Type="http://schemas.openxmlformats.org/officeDocument/2006/relationships/hyperlink" Target="javascript:interlink(3,1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interlink(2,1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interlink(1,1);" TargetMode="External"/><Relationship Id="rId11" Type="http://schemas.openxmlformats.org/officeDocument/2006/relationships/hyperlink" Target="javascript:interlink(8,1)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interlink(1,1);" TargetMode="External"/><Relationship Id="rId10" Type="http://schemas.openxmlformats.org/officeDocument/2006/relationships/hyperlink" Target="javascript:interlink(7,1);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javascript:interlink(6,1);" TargetMode="External"/><Relationship Id="rId14" Type="http://schemas.openxmlformats.org/officeDocument/2006/relationships/hyperlink" Target="javascript:interlink(11,1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11868</CharactersWithSpaces>
  <SharedDoc>false</SharedDoc>
  <HLinks>
    <vt:vector size="72" baseType="variant">
      <vt:variant>
        <vt:i4>2752627</vt:i4>
      </vt:variant>
      <vt:variant>
        <vt:i4>33</vt:i4>
      </vt:variant>
      <vt:variant>
        <vt:i4>0</vt:i4>
      </vt:variant>
      <vt:variant>
        <vt:i4>5</vt:i4>
      </vt:variant>
      <vt:variant>
        <vt:lpwstr>javascript:interlink(3,1);</vt:lpwstr>
      </vt:variant>
      <vt:variant>
        <vt:lpwstr/>
      </vt:variant>
      <vt:variant>
        <vt:i4>2818163</vt:i4>
      </vt:variant>
      <vt:variant>
        <vt:i4>30</vt:i4>
      </vt:variant>
      <vt:variant>
        <vt:i4>0</vt:i4>
      </vt:variant>
      <vt:variant>
        <vt:i4>5</vt:i4>
      </vt:variant>
      <vt:variant>
        <vt:lpwstr>javascript:interlink(2,1);</vt:lpwstr>
      </vt:variant>
      <vt:variant>
        <vt:lpwstr/>
      </vt:variant>
      <vt:variant>
        <vt:i4>2621555</vt:i4>
      </vt:variant>
      <vt:variant>
        <vt:i4>27</vt:i4>
      </vt:variant>
      <vt:variant>
        <vt:i4>0</vt:i4>
      </vt:variant>
      <vt:variant>
        <vt:i4>5</vt:i4>
      </vt:variant>
      <vt:variant>
        <vt:lpwstr>javascript:interlink(1,1);</vt:lpwstr>
      </vt:variant>
      <vt:variant>
        <vt:lpwstr/>
      </vt:variant>
      <vt:variant>
        <vt:i4>2556022</vt:i4>
      </vt:variant>
      <vt:variant>
        <vt:i4>24</vt:i4>
      </vt:variant>
      <vt:variant>
        <vt:i4>0</vt:i4>
      </vt:variant>
      <vt:variant>
        <vt:i4>5</vt:i4>
      </vt:variant>
      <vt:variant>
        <vt:lpwstr>javascript:interlink(11,1);</vt:lpwstr>
      </vt:variant>
      <vt:variant>
        <vt:lpwstr/>
      </vt:variant>
      <vt:variant>
        <vt:i4>2556023</vt:i4>
      </vt:variant>
      <vt:variant>
        <vt:i4>21</vt:i4>
      </vt:variant>
      <vt:variant>
        <vt:i4>0</vt:i4>
      </vt:variant>
      <vt:variant>
        <vt:i4>5</vt:i4>
      </vt:variant>
      <vt:variant>
        <vt:lpwstr>javascript:interlink(10,1);</vt:lpwstr>
      </vt:variant>
      <vt:variant>
        <vt:lpwstr/>
      </vt:variant>
      <vt:variant>
        <vt:i4>2097267</vt:i4>
      </vt:variant>
      <vt:variant>
        <vt:i4>18</vt:i4>
      </vt:variant>
      <vt:variant>
        <vt:i4>0</vt:i4>
      </vt:variant>
      <vt:variant>
        <vt:i4>5</vt:i4>
      </vt:variant>
      <vt:variant>
        <vt:lpwstr>javascript:interlink(9,1);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javascript:interlink(8,1);</vt:lpwstr>
      </vt:variant>
      <vt:variant>
        <vt:lpwstr/>
      </vt:variant>
      <vt:variant>
        <vt:i4>3014771</vt:i4>
      </vt:variant>
      <vt:variant>
        <vt:i4>12</vt:i4>
      </vt:variant>
      <vt:variant>
        <vt:i4>0</vt:i4>
      </vt:variant>
      <vt:variant>
        <vt:i4>5</vt:i4>
      </vt:variant>
      <vt:variant>
        <vt:lpwstr>javascript:interlink(7,1);</vt:lpwstr>
      </vt:variant>
      <vt:variant>
        <vt:lpwstr/>
      </vt:variant>
      <vt:variant>
        <vt:i4>3080307</vt:i4>
      </vt:variant>
      <vt:variant>
        <vt:i4>9</vt:i4>
      </vt:variant>
      <vt:variant>
        <vt:i4>0</vt:i4>
      </vt:variant>
      <vt:variant>
        <vt:i4>5</vt:i4>
      </vt:variant>
      <vt:variant>
        <vt:lpwstr>javascript:interlink(6,1);</vt:lpwstr>
      </vt:variant>
      <vt:variant>
        <vt:lpwstr/>
      </vt:variant>
      <vt:variant>
        <vt:i4>2752627</vt:i4>
      </vt:variant>
      <vt:variant>
        <vt:i4>6</vt:i4>
      </vt:variant>
      <vt:variant>
        <vt:i4>0</vt:i4>
      </vt:variant>
      <vt:variant>
        <vt:i4>5</vt:i4>
      </vt:variant>
      <vt:variant>
        <vt:lpwstr>javascript:interlink(3,1);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javascript:interlink(2,1);</vt:lpwstr>
      </vt:variant>
      <vt:variant>
        <vt:lpwstr/>
      </vt:variant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javascript:interlink(1,1);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Igor</cp:lastModifiedBy>
  <cp:revision>3</cp:revision>
  <dcterms:created xsi:type="dcterms:W3CDTF">2025-03-18T12:38:00Z</dcterms:created>
  <dcterms:modified xsi:type="dcterms:W3CDTF">2025-03-18T12:38:00Z</dcterms:modified>
</cp:coreProperties>
</file>