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32DB5">
      <w:pPr>
        <w:pStyle w:val="H4"/>
        <w:jc w:val="center"/>
        <w:rPr>
          <w:sz w:val="32"/>
        </w:rPr>
      </w:pPr>
      <w:r>
        <w:rPr>
          <w:sz w:val="32"/>
        </w:rPr>
        <w:t>.</w:t>
      </w:r>
    </w:p>
    <w:p w:rsidR="00000000" w:rsidRDefault="00732DB5">
      <w:pPr>
        <w:pStyle w:val="H4"/>
        <w:jc w:val="center"/>
        <w:rPr>
          <w:sz w:val="32"/>
        </w:rPr>
      </w:pPr>
      <w:r>
        <w:rPr>
          <w:sz w:val="32"/>
        </w:rPr>
        <w:t xml:space="preserve">РЕКОНСТРУКЦИЯ СУБЪЕКТИВНОГО СЕМАНТИЧЕСКОГО ПРОСТРАНСТВА, ОЗНАЧИВАЮЩЕГО ЭМОЦИОНАЛЬНЫЕ СОСТОЯНИЯ </w:t>
      </w:r>
      <w:r>
        <w:rPr>
          <w:sz w:val="32"/>
          <w:vertAlign w:val="superscript"/>
        </w:rPr>
        <w:t>1</w:t>
      </w:r>
    </w:p>
    <w:p w:rsidR="00000000" w:rsidRDefault="00732DB5">
      <w:pPr>
        <w:pStyle w:val="H4"/>
        <w:jc w:val="center"/>
        <w:rPr>
          <w:sz w:val="32"/>
        </w:rPr>
      </w:pPr>
      <w:r>
        <w:rPr>
          <w:sz w:val="32"/>
        </w:rPr>
        <w:t>.</w:t>
      </w:r>
    </w:p>
    <w:p w:rsidR="00000000" w:rsidRDefault="00732DB5">
      <w:pPr>
        <w:pStyle w:val="Normal"/>
        <w:rPr>
          <w:sz w:val="32"/>
        </w:rPr>
      </w:pPr>
      <w:r>
        <w:rPr>
          <w:b/>
          <w:sz w:val="32"/>
        </w:rPr>
        <w:t xml:space="preserve">Проблема и задача исследования. </w:t>
      </w:r>
      <w:r>
        <w:rPr>
          <w:bCs/>
          <w:sz w:val="32"/>
        </w:rPr>
        <w:t>Нормативный процесс научного исследования строится следующим образом:1.Выдвежение гипотезы. 2.Планирование исследования. 3.</w:t>
      </w:r>
      <w:r>
        <w:rPr>
          <w:bCs/>
          <w:sz w:val="32"/>
        </w:rPr>
        <w:t xml:space="preserve"> Проведение исследования. 4. Интерпретация данных. 5. Опровержение или неопровержение гипотезы 6. В случае опровержения старой – формулировка новой гипотезы.</w:t>
      </w:r>
      <w:r>
        <w:rPr>
          <w:rStyle w:val="a3"/>
          <w:bCs/>
          <w:sz w:val="32"/>
        </w:rPr>
        <w:footnoteReference w:id="1"/>
      </w:r>
      <w:r>
        <w:rPr>
          <w:sz w:val="32"/>
        </w:rPr>
        <w:t xml:space="preserve"> В экспериментальных исследованиях в области психологии эмоций приходится тем или иным образом исп</w:t>
      </w:r>
      <w:r>
        <w:rPr>
          <w:sz w:val="32"/>
        </w:rPr>
        <w:t>ользовать факты феноменологии сознания в форме интроспективных отчетов испытуемых или в форме собственных переживаний исследователя. Пытаясь идентифицировать в эксперименте эмоциональные состояния, исследователь прибегает обычно либо к интроспективному ана</w:t>
      </w:r>
      <w:r>
        <w:rPr>
          <w:sz w:val="32"/>
        </w:rPr>
        <w:t xml:space="preserve">лизу состояний сознания, либо к физиологическим коррелятам эмоциональных состояний, соотнося их с самоотчетами испытуемых, либо пытается связать эмоциональные реакции с более общими характеристиками ситуации и поведения. (Например, в теории П. В. Симонова </w:t>
      </w:r>
      <w:r>
        <w:rPr>
          <w:sz w:val="32"/>
        </w:rPr>
        <w:t>(1966) эмоции рассматриваются как биологический механизм компенсации информационного голода в ситуации, т. е. с точки зрения их биологической целесообразности. В теории А. Н. Леонтьева (1975) эмоции рассматриваются как регулирующий механизм в структуре дея</w:t>
      </w:r>
      <w:r>
        <w:rPr>
          <w:sz w:val="32"/>
        </w:rPr>
        <w:t>тельности, связанный с порождением важной единицы сознания — личностного смысла.)</w:t>
      </w:r>
      <w:r>
        <w:rPr>
          <w:rStyle w:val="a3"/>
          <w:sz w:val="32"/>
        </w:rPr>
        <w:footnoteReference w:id="2"/>
      </w:r>
    </w:p>
    <w:p w:rsidR="00000000" w:rsidRDefault="00732DB5">
      <w:pPr>
        <w:pStyle w:val="Normal"/>
        <w:rPr>
          <w:sz w:val="32"/>
        </w:rPr>
      </w:pPr>
      <w:r>
        <w:rPr>
          <w:sz w:val="32"/>
        </w:rPr>
        <w:lastRenderedPageBreak/>
        <w:t>Для того чтобы сделать обращение к феноменологии сознания (в целях идентификации эмоций) операционализируемым, необходима система интерпретации текстов самоотчетов испытуемы</w:t>
      </w:r>
      <w:r>
        <w:rPr>
          <w:sz w:val="32"/>
        </w:rPr>
        <w:t>х. С этой целью нами была предпринята попытка реконструкции субъективного семантического пространства, означивающего (придающего значение) эмоциональные состояния.</w:t>
      </w:r>
      <w:r>
        <w:rPr>
          <w:rStyle w:val="a3"/>
          <w:sz w:val="32"/>
        </w:rPr>
        <w:footnoteReference w:id="3"/>
      </w:r>
    </w:p>
    <w:p w:rsidR="00000000" w:rsidRDefault="00732DB5">
      <w:pPr>
        <w:pStyle w:val="Normal"/>
        <w:rPr>
          <w:sz w:val="32"/>
        </w:rPr>
      </w:pPr>
      <w:r>
        <w:rPr>
          <w:sz w:val="32"/>
        </w:rPr>
        <w:t>В классической ситуации исследования эмоций испытуемый, следуя инструкции, должен прямым ил</w:t>
      </w:r>
      <w:r>
        <w:rPr>
          <w:sz w:val="32"/>
        </w:rPr>
        <w:t>и косвенным способом сообщать о своих эмоциональных переживаниях. Известно, что каждому слову, обозначающему эмоциональное состояние, соответствует размытое поле значении. Причем у слов, являющихся частичными синонимами, эти поля существенным образом перек</w:t>
      </w:r>
      <w:r>
        <w:rPr>
          <w:sz w:val="32"/>
        </w:rPr>
        <w:t>рываются, т. е. различные слова, употребляемые испытуемым для обозначения своих эмоциональных</w:t>
      </w:r>
    </w:p>
    <w:p w:rsidR="00000000" w:rsidRDefault="00AA3CDB">
      <w:pPr>
        <w:pStyle w:val="Normal"/>
        <w:rPr>
          <w:sz w:val="32"/>
        </w:rPr>
      </w:pPr>
      <w:r>
        <w:rPr>
          <w:noProof/>
          <w:snapToGrid/>
          <w:sz w:val="3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3566160" cy="635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616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D29AD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280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" o:allowincell="f" strokecolor="#d4d4d4" strokeweight="0">
                <v:shadow on="t" offset="0,-1pt"/>
              </v:line>
            </w:pict>
          </mc:Fallback>
        </mc:AlternateContent>
      </w:r>
    </w:p>
    <w:p w:rsidR="00000000" w:rsidRDefault="00AA3CDB">
      <w:pPr>
        <w:pStyle w:val="Normal"/>
        <w:rPr>
          <w:sz w:val="32"/>
        </w:rPr>
      </w:pPr>
      <w:r>
        <w:rPr>
          <w:noProof/>
          <w:snapToGrid/>
          <w:sz w:val="3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635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E9802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46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" o:allowincell="f" strokecolor="#d4d4d4" strokeweight="1.75pt">
                <v:shadow on="t" offset="0,-1pt"/>
              </v:line>
            </w:pict>
          </mc:Fallback>
        </mc:AlternateContent>
      </w:r>
    </w:p>
    <w:p w:rsidR="00000000" w:rsidRDefault="00732DB5">
      <w:pPr>
        <w:pStyle w:val="Normal"/>
        <w:rPr>
          <w:sz w:val="32"/>
        </w:rPr>
      </w:pPr>
      <w:r>
        <w:rPr>
          <w:sz w:val="32"/>
        </w:rPr>
        <w:t>состояний, не всегда относятся к различным эмоциональным состояниям и наоборот. Это создает в условиях эксперимента определенные трудности различения эмоциона</w:t>
      </w:r>
      <w:r>
        <w:rPr>
          <w:sz w:val="32"/>
        </w:rPr>
        <w:t>льных состояний. Таким образом, для построения системы различий между словами, обозначающими эмоциональные переживания данного испытуемого, необходимо реконструировать означающую систему, посредством которой испытуемый идентифицирует свои эмоциональные сос</w:t>
      </w:r>
      <w:r>
        <w:rPr>
          <w:sz w:val="32"/>
        </w:rPr>
        <w:t xml:space="preserve">тояния. Отношения сходства, различия, включения между словами, обозначающими эмоциональные состояния, в основном </w:t>
      </w:r>
      <w:r>
        <w:rPr>
          <w:sz w:val="32"/>
        </w:rPr>
        <w:lastRenderedPageBreak/>
        <w:t>скрыты для самого испытуемого, и для их экспликации необходимо применение специальных процедур.</w:t>
      </w:r>
    </w:p>
    <w:p w:rsidR="00000000" w:rsidRDefault="00732DB5">
      <w:pPr>
        <w:pStyle w:val="Normal"/>
        <w:rPr>
          <w:sz w:val="32"/>
        </w:rPr>
      </w:pPr>
      <w:r>
        <w:rPr>
          <w:sz w:val="32"/>
        </w:rPr>
        <w:t xml:space="preserve">Семантические поля, означивающие эмоциональные </w:t>
      </w:r>
      <w:r>
        <w:rPr>
          <w:sz w:val="32"/>
        </w:rPr>
        <w:t>состояния, перекрываются в разной степени, что субъективно сказывается в большем или меньшем различии между словами, обозначающими эмоциональные состояния. Это дает основание для введения меры различия в рангах и применения метода многомерного шкалирования</w:t>
      </w:r>
      <w:r>
        <w:rPr>
          <w:sz w:val="32"/>
        </w:rPr>
        <w:t>. Методы многомерного шкалирования основываются на анализе оценок сходств или различий между исследуемыми стимулами. Предполагается, что степень субъективного различия между стимулами (субъективное расстояние) задает геометрическое расстояние между точками</w:t>
      </w:r>
      <w:r>
        <w:rPr>
          <w:sz w:val="32"/>
        </w:rPr>
        <w:t>, представляющими эти стимулы. Процедура многомерного шкалирования позволяет представить множество исследуемых стимулов как совокупность точек многомерного геометрического пространства. Помимо этого в результате многомерного шкалирования определяется миним</w:t>
      </w:r>
      <w:r>
        <w:rPr>
          <w:sz w:val="32"/>
        </w:rPr>
        <w:t>альная размерность пространства, в котором можно представить заданную различиями пространственную конфигурацию точек без существенных искажений. Оси такого базисного пространства интерпретируются как главные субъективные характеристики или критерии, которы</w:t>
      </w:r>
      <w:r>
        <w:rPr>
          <w:sz w:val="32"/>
        </w:rPr>
        <w:t>е и определяют все многообразие исходных оценок (Терехина, 1973; Измайлов, 1980; Torgerson, 1958). Представляется вероятным, что применение многомерного шкалирования будет полезным и в решении основной задачи данной работы — для реконструкции субъективного</w:t>
      </w:r>
      <w:r>
        <w:rPr>
          <w:sz w:val="32"/>
        </w:rPr>
        <w:t xml:space="preserve"> семантического пространства, означивающего эмоциональные состояния.</w:t>
      </w:r>
    </w:p>
    <w:p w:rsidR="00000000" w:rsidRDefault="00732DB5">
      <w:pPr>
        <w:pStyle w:val="Normal"/>
        <w:rPr>
          <w:sz w:val="32"/>
        </w:rPr>
      </w:pPr>
      <w:r>
        <w:rPr>
          <w:b/>
          <w:sz w:val="32"/>
        </w:rPr>
        <w:t>Методика эксперимента.</w:t>
      </w:r>
      <w:r>
        <w:rPr>
          <w:sz w:val="32"/>
        </w:rPr>
        <w:t xml:space="preserve"> Процедура многомерного шкалирования требует представления исходных данных в виде матрицы различий, элементом которой является полученная в опыте степень субъективно</w:t>
      </w:r>
      <w:r>
        <w:rPr>
          <w:sz w:val="32"/>
        </w:rPr>
        <w:t xml:space="preserve">го различия между парой стимулов (слов). Для построения матрицы субъективных различий между словами, обозначающими </w:t>
      </w:r>
      <w:r>
        <w:rPr>
          <w:sz w:val="32"/>
        </w:rPr>
        <w:lastRenderedPageBreak/>
        <w:t>эмоциональные состояния, был проведен следующий эксперимент. Испытуемым предъявлялись пары слов, обозначающие эмоциональные переживания, и да</w:t>
      </w:r>
      <w:r>
        <w:rPr>
          <w:sz w:val="32"/>
        </w:rPr>
        <w:t>валась инструкция: «Вам будут называться пары понятий, обозначающих эмоциональные состояния. Ваша задача — приписывать им ранг различия от 0 до 5: 0 — если состояния одинаковы по субъективному переживанию, 5 — если это максимально различные состояния. Пром</w:t>
      </w:r>
      <w:r>
        <w:rPr>
          <w:sz w:val="32"/>
        </w:rPr>
        <w:t xml:space="preserve">ежуточные ранги нужно приписывать пропорционально различиям. В своих оценках вы должны опираться на свой субъективный опыт, на то, как вы переживаете данные состояния». После того как экспериментатор, осуществив несколько пробных предъявлении, убеждался в </w:t>
      </w:r>
      <w:r>
        <w:rPr>
          <w:sz w:val="32"/>
        </w:rPr>
        <w:t>том, что испытуемому понятна его задача, начиналась процедура ранжирования.</w:t>
      </w:r>
    </w:p>
    <w:p w:rsidR="00000000" w:rsidRDefault="00732DB5">
      <w:pPr>
        <w:pStyle w:val="Normal"/>
        <w:rPr>
          <w:sz w:val="32"/>
        </w:rPr>
      </w:pPr>
      <w:r>
        <w:rPr>
          <w:sz w:val="32"/>
        </w:rPr>
        <w:t>В список ранжируемых слов (N=20) входили: удовольствие, неудовольствие, удивление, раздражение, огорчение, радость, рассеянность, сомнение, уверенность, опасение, тревога, надежда,</w:t>
      </w:r>
      <w:r>
        <w:rPr>
          <w:sz w:val="32"/>
        </w:rPr>
        <w:t xml:space="preserve"> смущение, взволнованность, обида, растерянность, разочарование, досада, удовлетворенность собой, неудовлетворенность собой. Данный список был</w:t>
      </w:r>
    </w:p>
    <w:p w:rsidR="00000000" w:rsidRDefault="00732DB5">
      <w:pPr>
        <w:pStyle w:val="Normal"/>
        <w:rPr>
          <w:sz w:val="32"/>
        </w:rPr>
      </w:pPr>
    </w:p>
    <w:p w:rsidR="00000000" w:rsidRDefault="00AA3CDB">
      <w:pPr>
        <w:pStyle w:val="Normal"/>
        <w:rPr>
          <w:sz w:val="32"/>
        </w:rPr>
      </w:pPr>
      <w:r>
        <w:rPr>
          <w:noProof/>
          <w:snapToGrid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635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9C17D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46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" o:allowincell="f" strokecolor="#d4d4d4" strokeweight="1.75pt">
                <v:shadow on="t" offset="0,-1pt"/>
              </v:line>
            </w:pict>
          </mc:Fallback>
        </mc:AlternateContent>
      </w:r>
    </w:p>
    <w:p w:rsidR="00000000" w:rsidRDefault="00732DB5">
      <w:pPr>
        <w:pStyle w:val="Normal"/>
        <w:rPr>
          <w:sz w:val="32"/>
        </w:rPr>
      </w:pPr>
      <w:r>
        <w:rPr>
          <w:sz w:val="32"/>
        </w:rPr>
        <w:t>составлен на основе прагматических соображений. В него включены ситуативные эмоциональные переживания, возника</w:t>
      </w:r>
      <w:r>
        <w:rPr>
          <w:sz w:val="32"/>
        </w:rPr>
        <w:t>ющие в экспериментальной ситуации решения мыслительных задач и поэтому наиболее часто упоминаемые испытуемыми в самоотчетах. По этой причине реконструируемое семантическое пространство будет описывать лишь некоторую область полного семантического пространс</w:t>
      </w:r>
      <w:r>
        <w:rPr>
          <w:sz w:val="32"/>
        </w:rPr>
        <w:t xml:space="preserve">тва, означивающего эмоциональные состояния </w:t>
      </w:r>
      <w:r>
        <w:rPr>
          <w:sz w:val="32"/>
          <w:vertAlign w:val="superscript"/>
        </w:rPr>
        <w:t>2</w:t>
      </w:r>
      <w:r>
        <w:rPr>
          <w:sz w:val="32"/>
        </w:rPr>
        <w:t>.</w:t>
      </w:r>
    </w:p>
    <w:p w:rsidR="00000000" w:rsidRDefault="00732DB5">
      <w:pPr>
        <w:pStyle w:val="Normal"/>
        <w:rPr>
          <w:sz w:val="32"/>
        </w:rPr>
      </w:pPr>
      <w:r>
        <w:rPr>
          <w:sz w:val="32"/>
        </w:rPr>
        <w:t xml:space="preserve">Экспериментатор последовательно, в случайном порядке, предъявлял n(n—1)/2, т. е. 190 пар понятий, и фиксировал в протоколе называемый ранг различия. Процедура </w:t>
      </w:r>
      <w:r>
        <w:rPr>
          <w:sz w:val="32"/>
        </w:rPr>
        <w:lastRenderedPageBreak/>
        <w:t>ранжирования проводилась с каждым испытуемым 4—8 ра</w:t>
      </w:r>
      <w:r>
        <w:rPr>
          <w:sz w:val="32"/>
        </w:rPr>
        <w:t>з. Всего в опытах приняли участие 14 испытуемых (мужчины и женщины в возрасте 17—30 лет).</w:t>
      </w:r>
    </w:p>
    <w:p w:rsidR="00000000" w:rsidRDefault="00732DB5">
      <w:pPr>
        <w:pStyle w:val="Normal"/>
        <w:rPr>
          <w:sz w:val="32"/>
        </w:rPr>
      </w:pPr>
      <w:r>
        <w:rPr>
          <w:sz w:val="32"/>
        </w:rPr>
        <w:t>На основе данных (72 опроса) была составлена треугольная матрица субъективных различий. Элементом матрицы является оценка различия пары слов, обозначающих эмоциональн</w:t>
      </w:r>
      <w:r>
        <w:rPr>
          <w:sz w:val="32"/>
        </w:rPr>
        <w:t>ые переживания, усредненная по всем предъявлениям и для всех испытуемых. При несомненных различиях в субъективных семантических пространствах, очевидно, существует семантическое пространство, общее для всех испытуемых, относящихся к одной культурно-языково</w:t>
      </w:r>
      <w:r>
        <w:rPr>
          <w:sz w:val="32"/>
        </w:rPr>
        <w:t>й общности. Это обусловлено некоторыми единообразными механизмами аккультурации и овладения языком. Для обоснования этого тезиса было проведено сравнение</w:t>
      </w:r>
    </w:p>
    <w:p w:rsidR="00000000" w:rsidRDefault="00732DB5">
      <w:pPr>
        <w:pStyle w:val="Normal"/>
        <w:rPr>
          <w:sz w:val="32"/>
        </w:rPr>
      </w:pPr>
      <w:r>
        <w:rPr>
          <w:sz w:val="32"/>
        </w:rPr>
        <w:t>Таблица 1</w:t>
      </w:r>
    </w:p>
    <w:p w:rsidR="00000000" w:rsidRDefault="00732DB5">
      <w:pPr>
        <w:pStyle w:val="H4"/>
        <w:jc w:val="center"/>
        <w:rPr>
          <w:sz w:val="32"/>
        </w:rPr>
      </w:pPr>
      <w:r>
        <w:rPr>
          <w:sz w:val="32"/>
        </w:rPr>
        <w:t>Матрица субъективных различий между словами, обозначающими эмоциональные состояния, усреднен</w:t>
      </w:r>
      <w:r>
        <w:rPr>
          <w:sz w:val="32"/>
        </w:rPr>
        <w:t>ная по всем испытуемым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>PRIVATE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Название эмоционального состояния.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Удовольствие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49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33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45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48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39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41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42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45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38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34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46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42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46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46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Неудовольствие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34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46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36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42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27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21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42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31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21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44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Удивление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33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33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35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34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41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36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41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27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37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39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37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39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Раздражение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21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46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31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37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22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43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33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45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Огорчение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48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34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41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29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44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44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lastRenderedPageBreak/>
              <w:t>Радость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41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38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24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45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43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33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21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48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35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43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sz w:val="32"/>
              </w:rPr>
              <w:t>5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Рассеянность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23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46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39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35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37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29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29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36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35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34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Сомнение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48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21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38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24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35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36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37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42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Уверенность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43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45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37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34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47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41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42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22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Опасение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38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29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27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31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44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Тревога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29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24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27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43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Надежда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33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27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41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39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44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41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35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Смущение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27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34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33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31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43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Взволнованность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27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38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Обида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27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21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45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Растерянность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45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Разоч</w:t>
            </w:r>
            <w:r>
              <w:rPr>
                <w:sz w:val="32"/>
              </w:rPr>
              <w:t>арование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47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Досада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47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Удовлетворенность собой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Неудовлетворенность собой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  <w:tc>
          <w:tcPr>
            <w:tcW w:w="2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</w:p>
        </w:tc>
      </w:tr>
    </w:tbl>
    <w:p w:rsidR="00000000" w:rsidRDefault="00732DB5">
      <w:pPr>
        <w:pStyle w:val="Normal"/>
        <w:rPr>
          <w:sz w:val="32"/>
        </w:rPr>
      </w:pPr>
      <w:r>
        <w:rPr>
          <w:sz w:val="32"/>
        </w:rPr>
        <w:t>Примечание. Все элементы матрицы увеличены в 10 раз.</w:t>
      </w:r>
    </w:p>
    <w:p w:rsidR="00000000" w:rsidRDefault="00AA3CDB">
      <w:pPr>
        <w:pStyle w:val="Normal"/>
        <w:rPr>
          <w:sz w:val="32"/>
        </w:rPr>
      </w:pPr>
      <w:r>
        <w:rPr>
          <w:noProof/>
          <w:snapToGrid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3566160" cy="635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616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DE60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280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" o:allowincell="f" strokecolor="#d4d4d4" strokeweight="0">
                <v:shadow on="t" offset="0,-1pt"/>
              </v:line>
            </w:pict>
          </mc:Fallback>
        </mc:AlternateContent>
      </w:r>
    </w:p>
    <w:p w:rsidR="00000000" w:rsidRDefault="00732DB5">
      <w:pPr>
        <w:pStyle w:val="Normal"/>
        <w:rPr>
          <w:sz w:val="32"/>
        </w:rPr>
      </w:pPr>
      <w:r>
        <w:rPr>
          <w:sz w:val="32"/>
          <w:vertAlign w:val="superscript"/>
        </w:rPr>
        <w:t>2</w:t>
      </w:r>
      <w:r>
        <w:rPr>
          <w:sz w:val="32"/>
        </w:rPr>
        <w:t xml:space="preserve"> Строго говоря, для того чтобы</w:t>
      </w:r>
      <w:r>
        <w:rPr>
          <w:sz w:val="32"/>
        </w:rPr>
        <w:t xml:space="preserve"> реконструировать полное семантическое пространство, означивающее эмоциональные состояния, список предъявляемых слов должен быть составлен на основе отбора слов, обозначающих эмоциональные переживания, по словарю, их последующей сортировки и кластерного ан</w:t>
      </w:r>
      <w:r>
        <w:rPr>
          <w:sz w:val="32"/>
        </w:rPr>
        <w:t>ализа и выявления действительно основных групп различных эмоциональных переживаний. Но это является специальной и самостоятельной задачей.</w:t>
      </w:r>
    </w:p>
    <w:p w:rsidR="00000000" w:rsidRDefault="00AA3CDB">
      <w:pPr>
        <w:pStyle w:val="Normal"/>
        <w:rPr>
          <w:sz w:val="32"/>
        </w:rPr>
      </w:pPr>
      <w:r>
        <w:rPr>
          <w:noProof/>
          <w:snapToGrid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635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E0EA7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46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" o:allowincell="f" strokecolor="#d4d4d4" strokeweight="1.75pt">
                <v:shadow on="t" offset="0,-1pt"/>
              </v:line>
            </w:pict>
          </mc:Fallback>
        </mc:AlternateContent>
      </w:r>
    </w:p>
    <w:p w:rsidR="00000000" w:rsidRDefault="00732DB5">
      <w:pPr>
        <w:pStyle w:val="Normal"/>
        <w:rPr>
          <w:sz w:val="32"/>
        </w:rPr>
      </w:pPr>
      <w:r>
        <w:rPr>
          <w:sz w:val="32"/>
        </w:rPr>
        <w:t>пространств, полученных путем объединения результатов двух опросов двенадцати испытуемых, и данных, полученных от о</w:t>
      </w:r>
      <w:r>
        <w:rPr>
          <w:sz w:val="32"/>
        </w:rPr>
        <w:t>дного испытуемого, с которым процедура шкалирования проводилась 20 раз. Дисперсионный анализ показал, что данные, относящиеся к разным и к одному испытуемым, принадлежат к одному распределению по критерию однородности дисперсий (F &gt; 1,82).</w:t>
      </w:r>
    </w:p>
    <w:p w:rsidR="00000000" w:rsidRDefault="00732DB5">
      <w:pPr>
        <w:pStyle w:val="Normal"/>
        <w:rPr>
          <w:sz w:val="32"/>
        </w:rPr>
      </w:pPr>
      <w:r>
        <w:rPr>
          <w:sz w:val="32"/>
        </w:rPr>
        <w:t xml:space="preserve">Матрица средних </w:t>
      </w:r>
      <w:r>
        <w:rPr>
          <w:sz w:val="32"/>
        </w:rPr>
        <w:t>значений рангов различия пар названий эмоциональных состояний приведена в табл. 1.</w:t>
      </w:r>
    </w:p>
    <w:p w:rsidR="00000000" w:rsidRDefault="00732DB5">
      <w:pPr>
        <w:pStyle w:val="Normal"/>
        <w:rPr>
          <w:sz w:val="32"/>
        </w:rPr>
      </w:pPr>
      <w:r>
        <w:rPr>
          <w:sz w:val="32"/>
        </w:rPr>
        <w:t>Таблица 3</w:t>
      </w:r>
    </w:p>
    <w:p w:rsidR="00000000" w:rsidRDefault="00732DB5">
      <w:pPr>
        <w:pStyle w:val="H4"/>
        <w:jc w:val="center"/>
        <w:rPr>
          <w:sz w:val="32"/>
        </w:rPr>
      </w:pPr>
      <w:r>
        <w:rPr>
          <w:sz w:val="32"/>
        </w:rPr>
        <w:t>Координаты точек, представляющих двадцать слов, обозначающих эмоциональные состояния, в трехмерном евклидовом пространстве (после вращения осей)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41"/>
        <w:gridCol w:w="1652"/>
        <w:gridCol w:w="555"/>
        <w:gridCol w:w="555"/>
        <w:gridCol w:w="55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>PRIVATE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Название</w:t>
            </w:r>
            <w:r>
              <w:rPr>
                <w:sz w:val="32"/>
              </w:rPr>
              <w:t xml:space="preserve"> эмоционального состояния</w:t>
            </w:r>
          </w:p>
        </w:tc>
        <w:tc>
          <w:tcPr>
            <w:tcW w:w="1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Его номер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X1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X2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X3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Удовольствие</w:t>
            </w:r>
          </w:p>
        </w:tc>
        <w:tc>
          <w:tcPr>
            <w:tcW w:w="1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Неудовольствие</w:t>
            </w:r>
          </w:p>
        </w:tc>
        <w:tc>
          <w:tcPr>
            <w:tcW w:w="1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-19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-2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Удивление</w:t>
            </w:r>
          </w:p>
        </w:tc>
        <w:tc>
          <w:tcPr>
            <w:tcW w:w="1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-13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Раздражение</w:t>
            </w:r>
          </w:p>
        </w:tc>
        <w:tc>
          <w:tcPr>
            <w:tcW w:w="1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-18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-1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Огорчение</w:t>
            </w:r>
          </w:p>
        </w:tc>
        <w:tc>
          <w:tcPr>
            <w:tcW w:w="1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-20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-1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Радость</w:t>
            </w:r>
          </w:p>
        </w:tc>
        <w:tc>
          <w:tcPr>
            <w:tcW w:w="1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-3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Рассеянность</w:t>
            </w:r>
          </w:p>
        </w:tc>
        <w:tc>
          <w:tcPr>
            <w:tcW w:w="1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-2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-15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-14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Сомнение</w:t>
            </w:r>
          </w:p>
        </w:tc>
        <w:tc>
          <w:tcPr>
            <w:tcW w:w="1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-2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-23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Уверенность</w:t>
            </w:r>
          </w:p>
        </w:tc>
        <w:tc>
          <w:tcPr>
            <w:tcW w:w="1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21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Опасение</w:t>
            </w:r>
          </w:p>
        </w:tc>
        <w:tc>
          <w:tcPr>
            <w:tcW w:w="1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-6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-14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Тревога</w:t>
            </w:r>
          </w:p>
        </w:tc>
        <w:tc>
          <w:tcPr>
            <w:tcW w:w="1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-9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-10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Надежда</w:t>
            </w:r>
          </w:p>
        </w:tc>
        <w:tc>
          <w:tcPr>
            <w:tcW w:w="1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-3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Смущение</w:t>
            </w:r>
          </w:p>
        </w:tc>
        <w:tc>
          <w:tcPr>
            <w:tcW w:w="1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-2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-19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Взволнованность</w:t>
            </w:r>
          </w:p>
        </w:tc>
        <w:tc>
          <w:tcPr>
            <w:tcW w:w="1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-7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Обида</w:t>
            </w:r>
          </w:p>
        </w:tc>
        <w:tc>
          <w:tcPr>
            <w:tcW w:w="1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-17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Растерянность</w:t>
            </w:r>
          </w:p>
        </w:tc>
        <w:tc>
          <w:tcPr>
            <w:tcW w:w="1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-7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-20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Разочарование</w:t>
            </w:r>
          </w:p>
        </w:tc>
        <w:tc>
          <w:tcPr>
            <w:tcW w:w="1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-17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Досада</w:t>
            </w:r>
          </w:p>
        </w:tc>
        <w:tc>
          <w:tcPr>
            <w:tcW w:w="1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-22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Удовлетворенность собой</w:t>
            </w:r>
          </w:p>
        </w:tc>
        <w:tc>
          <w:tcPr>
            <w:tcW w:w="1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23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rPr>
                <w:sz w:val="32"/>
              </w:rPr>
            </w:pPr>
            <w:r>
              <w:rPr>
                <w:sz w:val="32"/>
              </w:rPr>
              <w:t>Неудовлетвор</w:t>
            </w:r>
            <w:r>
              <w:rPr>
                <w:sz w:val="32"/>
              </w:rPr>
              <w:t>енность собой</w:t>
            </w:r>
          </w:p>
        </w:tc>
        <w:tc>
          <w:tcPr>
            <w:tcW w:w="16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-18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-4</w:t>
            </w:r>
          </w:p>
        </w:tc>
        <w:tc>
          <w:tcPr>
            <w:tcW w:w="5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</w:tbl>
    <w:p w:rsidR="00000000" w:rsidRDefault="00732DB5">
      <w:pPr>
        <w:pStyle w:val="Normal"/>
        <w:rPr>
          <w:sz w:val="32"/>
        </w:rPr>
      </w:pPr>
      <w:r>
        <w:rPr>
          <w:sz w:val="32"/>
        </w:rPr>
        <w:t>Данная матрица анализировалась на ЭВМ по программе неметрического многомерного шкалирования, основанной на алгоритме Ф. Янга и У. Торгерсона (Young, Torgerson 1967). В результате анализа были получены координаты точек, представля</w:t>
      </w:r>
      <w:r>
        <w:rPr>
          <w:sz w:val="32"/>
        </w:rPr>
        <w:t>ющих слова, обозначающие отдельные эмоциональные состояния, в евклидовом пространстве и показатели значимости каждой оси этого пространства (табл. 2).</w:t>
      </w:r>
    </w:p>
    <w:p w:rsidR="00000000" w:rsidRDefault="00732DB5">
      <w:pPr>
        <w:pStyle w:val="Normal"/>
        <w:rPr>
          <w:sz w:val="32"/>
        </w:rPr>
      </w:pPr>
      <w:r>
        <w:rPr>
          <w:sz w:val="32"/>
        </w:rPr>
        <w:t>Таблица 2</w:t>
      </w:r>
    </w:p>
    <w:p w:rsidR="00000000" w:rsidRDefault="00732DB5">
      <w:pPr>
        <w:pStyle w:val="H4"/>
        <w:jc w:val="center"/>
        <w:rPr>
          <w:sz w:val="32"/>
        </w:rPr>
      </w:pPr>
      <w:r>
        <w:rPr>
          <w:sz w:val="32"/>
        </w:rPr>
        <w:t>Характеристические корни, определяющие значимость каждой оси многомерного евклидова пространств</w:t>
      </w:r>
      <w:r>
        <w:rPr>
          <w:sz w:val="32"/>
        </w:rPr>
        <w:t>а, общего для всех испытуемых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30"/>
        <w:gridCol w:w="1889"/>
        <w:gridCol w:w="1230"/>
        <w:gridCol w:w="1889"/>
        <w:gridCol w:w="1230"/>
        <w:gridCol w:w="18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>PRIVATE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end"/>
            </w:r>
            <w:r>
              <w:rPr>
                <w:b/>
                <w:sz w:val="32"/>
              </w:rPr>
              <w:t>Номер оси</w:t>
            </w:r>
          </w:p>
        </w:tc>
        <w:tc>
          <w:tcPr>
            <w:tcW w:w="18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Значение корня</w:t>
            </w:r>
          </w:p>
        </w:tc>
        <w:tc>
          <w:tcPr>
            <w:tcW w:w="12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Номер оси</w:t>
            </w:r>
          </w:p>
        </w:tc>
        <w:tc>
          <w:tcPr>
            <w:tcW w:w="18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Значение корня</w:t>
            </w:r>
          </w:p>
        </w:tc>
        <w:tc>
          <w:tcPr>
            <w:tcW w:w="12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Номер оси</w:t>
            </w:r>
          </w:p>
        </w:tc>
        <w:tc>
          <w:tcPr>
            <w:tcW w:w="18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Значение корня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8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4880</w:t>
            </w:r>
          </w:p>
        </w:tc>
        <w:tc>
          <w:tcPr>
            <w:tcW w:w="12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8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473</w:t>
            </w:r>
          </w:p>
        </w:tc>
        <w:tc>
          <w:tcPr>
            <w:tcW w:w="12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8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8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1944</w:t>
            </w:r>
          </w:p>
        </w:tc>
        <w:tc>
          <w:tcPr>
            <w:tcW w:w="12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8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352</w:t>
            </w:r>
          </w:p>
        </w:tc>
        <w:tc>
          <w:tcPr>
            <w:tcW w:w="12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18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—13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8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1045</w:t>
            </w:r>
          </w:p>
        </w:tc>
        <w:tc>
          <w:tcPr>
            <w:tcW w:w="12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8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318</w:t>
            </w:r>
          </w:p>
        </w:tc>
        <w:tc>
          <w:tcPr>
            <w:tcW w:w="12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18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—101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8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880</w:t>
            </w:r>
          </w:p>
        </w:tc>
        <w:tc>
          <w:tcPr>
            <w:tcW w:w="12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8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261</w:t>
            </w:r>
          </w:p>
        </w:tc>
        <w:tc>
          <w:tcPr>
            <w:tcW w:w="12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  <w:tc>
          <w:tcPr>
            <w:tcW w:w="18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—176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8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751</w:t>
            </w:r>
          </w:p>
        </w:tc>
        <w:tc>
          <w:tcPr>
            <w:tcW w:w="12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18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167</w:t>
            </w:r>
          </w:p>
        </w:tc>
        <w:tc>
          <w:tcPr>
            <w:tcW w:w="12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  <w:tc>
          <w:tcPr>
            <w:tcW w:w="18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—379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8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651</w:t>
            </w:r>
          </w:p>
        </w:tc>
        <w:tc>
          <w:tcPr>
            <w:tcW w:w="12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18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89</w:t>
            </w:r>
          </w:p>
        </w:tc>
        <w:tc>
          <w:tcPr>
            <w:tcW w:w="12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18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—531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18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588</w:t>
            </w:r>
          </w:p>
        </w:tc>
        <w:tc>
          <w:tcPr>
            <w:tcW w:w="12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8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12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</w:p>
        </w:tc>
        <w:tc>
          <w:tcPr>
            <w:tcW w:w="18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732DB5">
            <w:pPr>
              <w:pStyle w:val="Normal"/>
              <w:jc w:val="right"/>
              <w:rPr>
                <w:sz w:val="32"/>
              </w:rPr>
            </w:pPr>
          </w:p>
        </w:tc>
      </w:tr>
    </w:tbl>
    <w:p w:rsidR="00000000" w:rsidRDefault="00732DB5">
      <w:pPr>
        <w:pStyle w:val="Normal"/>
        <w:rPr>
          <w:sz w:val="32"/>
        </w:rPr>
      </w:pPr>
      <w:r>
        <w:rPr>
          <w:sz w:val="32"/>
        </w:rPr>
        <w:t>Полученные координаты характеризуют пространство слов, общее для всех испытуемых. Из табл. 2 видно, что не все оси координат одинаково значимы по своему вкладу в пространственную структуру точек. Большинство осей есть следствие случайных ошибок, которые</w:t>
      </w:r>
      <w:r>
        <w:rPr>
          <w:sz w:val="32"/>
        </w:rPr>
        <w:t xml:space="preserve"> присутствуют в исходных данных как шум. Вклад каждой оси определяется величиной соответствующего характеристического корня, вычисленного из исходной матрицы различий. Эти корни, упорядоченные по величине, приводятся в табл. 2. Три первых корня на порядок </w:t>
      </w:r>
      <w:r>
        <w:rPr>
          <w:sz w:val="32"/>
        </w:rPr>
        <w:t>отличаются по величине от всех остальных, как положительных, так и отрицательных. На этом основании делается вывод, что для описания исходной конфигурации точек слов в вещественном евклидовом пространстве достаточно трех измерений, т. е. используется трехм</w:t>
      </w:r>
      <w:r>
        <w:rPr>
          <w:sz w:val="32"/>
        </w:rPr>
        <w:t>ерное евклидово пространство.</w:t>
      </w:r>
    </w:p>
    <w:p w:rsidR="00000000" w:rsidRDefault="00732DB5">
      <w:pPr>
        <w:pStyle w:val="Normal"/>
        <w:rPr>
          <w:sz w:val="32"/>
        </w:rPr>
      </w:pPr>
      <w:r>
        <w:rPr>
          <w:sz w:val="32"/>
        </w:rPr>
        <w:t>Полученное трехмерное пространство ортогонально вращалось для определения осей, допускающих приемлемую содержательную интерпретацию. Координаты точек после вращения осей приводятся в табл.3.</w:t>
      </w:r>
    </w:p>
    <w:p w:rsidR="00000000" w:rsidRDefault="00AA3CDB">
      <w:pPr>
        <w:pStyle w:val="Normal"/>
        <w:rPr>
          <w:sz w:val="32"/>
        </w:rPr>
      </w:pPr>
      <w:r>
        <w:rPr>
          <w:noProof/>
          <w:snapToGrid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635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D1DD1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46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" o:allowincell="f" strokecolor="#d4d4d4" strokeweight="1.75pt">
                <v:shadow on="t" offset="0,-1pt"/>
              </v:line>
            </w:pict>
          </mc:Fallback>
        </mc:AlternateContent>
      </w:r>
    </w:p>
    <w:p w:rsidR="00000000" w:rsidRDefault="00732DB5">
      <w:pPr>
        <w:pStyle w:val="Normal"/>
        <w:rPr>
          <w:sz w:val="32"/>
        </w:rPr>
      </w:pPr>
      <w:r>
        <w:rPr>
          <w:sz w:val="32"/>
        </w:rPr>
        <w:t>Для того чтобы проверить, насколь</w:t>
      </w:r>
      <w:r>
        <w:rPr>
          <w:sz w:val="32"/>
        </w:rPr>
        <w:t xml:space="preserve">ко достаточны три измерения для описания полученной структуры точек, проводилось сравнение межточечных расстояний с исходными оценками различий. Сравнение производилось путем расчета коэффициента линейной корреляции. Достаточно высокая величина его (0,90) </w:t>
      </w:r>
      <w:r>
        <w:rPr>
          <w:sz w:val="32"/>
        </w:rPr>
        <w:t>свидетельствует в пользу вывода о трехмерности полученного пространства.</w:t>
      </w:r>
    </w:p>
    <w:p w:rsidR="00000000" w:rsidRDefault="00732DB5">
      <w:pPr>
        <w:pStyle w:val="Normal"/>
        <w:rPr>
          <w:sz w:val="32"/>
        </w:rPr>
      </w:pPr>
      <w:r>
        <w:rPr>
          <w:b/>
          <w:sz w:val="32"/>
        </w:rPr>
        <w:t>Обсуждение результатов.</w:t>
      </w:r>
      <w:r>
        <w:rPr>
          <w:sz w:val="32"/>
        </w:rPr>
        <w:t xml:space="preserve"> Рассмотрение расположения точек, соответствующих словам, обозначающим эмоциональные состояния, в евклидовом трехмерном пространстве дает основание для интерпре</w:t>
      </w:r>
      <w:r>
        <w:rPr>
          <w:sz w:val="32"/>
        </w:rPr>
        <w:t>тации осей.</w:t>
      </w:r>
    </w:p>
    <w:p w:rsidR="00000000" w:rsidRDefault="00AA3CDB">
      <w:pPr>
        <w:pStyle w:val="Normal"/>
        <w:jc w:val="center"/>
        <w:rPr>
          <w:sz w:val="32"/>
        </w:rPr>
      </w:pPr>
      <w:r>
        <w:rPr>
          <w:noProof/>
          <w:snapToGrid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1300480</wp:posOffset>
            </wp:positionH>
            <wp:positionV relativeFrom="paragraph">
              <wp:posOffset>14605</wp:posOffset>
            </wp:positionV>
            <wp:extent cx="2693035" cy="901700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DB5">
        <w:rPr>
          <w:sz w:val="32"/>
        </w:rPr>
        <w:fldChar w:fldCharType="begin"/>
      </w:r>
      <w:r>
        <w:rPr>
          <w:sz w:val="32"/>
        </w:rPr>
        <w:instrText xml:space="preserve"> INCLUDEPICTURE "C:\\img.gif" \* MERGEFORMAT \d \z </w:instrText>
      </w:r>
      <w:r w:rsidR="00732DB5">
        <w:rPr>
          <w:sz w:val="32"/>
        </w:rPr>
        <w:fldChar w:fldCharType="separate"/>
      </w:r>
      <w:r w:rsidR="00732DB5">
        <w:rPr>
          <w:sz w:val="32"/>
        </w:rPr>
        <w:fldChar w:fldCharType="end"/>
      </w:r>
    </w:p>
    <w:p w:rsidR="00000000" w:rsidRDefault="00732DB5">
      <w:pPr>
        <w:pStyle w:val="Normal"/>
        <w:jc w:val="center"/>
        <w:rPr>
          <w:sz w:val="32"/>
        </w:rPr>
      </w:pPr>
      <w:r>
        <w:rPr>
          <w:sz w:val="32"/>
        </w:rPr>
        <w:t>Рис. 1. Проекции точек в семантическом пространстве, означающем эмоциональные переживания, на оси X1, X2, (а); Х1, Х3 (б); Х2, Х3 (в). Сохраняется нумерация точек, приведенная в табл. 1 и 3</w:t>
      </w:r>
    </w:p>
    <w:p w:rsidR="00000000" w:rsidRDefault="00732DB5">
      <w:pPr>
        <w:pStyle w:val="Normal"/>
        <w:rPr>
          <w:sz w:val="32"/>
        </w:rPr>
      </w:pPr>
      <w:r>
        <w:rPr>
          <w:sz w:val="32"/>
        </w:rPr>
        <w:t>На рисунке видно,</w:t>
      </w:r>
      <w:r>
        <w:rPr>
          <w:sz w:val="32"/>
        </w:rPr>
        <w:t xml:space="preserve"> что крайние точки по оси Х1 (рис. 1, а, б) занимают такие слова, как радость (6), удовольствие (1), удовлетворенность собой (19), с одной стороны, и досада (18), огорчение (5), неудовольствие (2), раздражение (4), обида (15), разочарование (17) — с другой</w:t>
      </w:r>
      <w:r>
        <w:rPr>
          <w:sz w:val="32"/>
        </w:rPr>
        <w:t>. Наиболее близкими к нулю оказались точки, соответствующие взволнованности (14), удивлению (3), смущению (13), рассеянности (7), сомнению (8). По оси Х2 (рис. 1, а, в) наибольшее значение получило слово уверенность (9) и наименьшее — слова сомнение (8), р</w:t>
      </w:r>
      <w:r>
        <w:rPr>
          <w:sz w:val="32"/>
        </w:rPr>
        <w:t>астерянность (16), смущение (13), рассеянность (7). Около нулевой точки находятся слова: досада (18), огорчение (5), надежда (12), разочарование (17), удовольствие (1), раздражение (4). По оси X3 (рис., б, в) слова расположились в таком порядке: тревога (1</w:t>
      </w:r>
      <w:r>
        <w:rPr>
          <w:sz w:val="32"/>
        </w:rPr>
        <w:t>1), опасение (10), сомнение (8), взволнованность (14), смущение (13), растерянность (16), рассеянность (7).</w:t>
      </w:r>
    </w:p>
    <w:p w:rsidR="00000000" w:rsidRDefault="00732DB5">
      <w:pPr>
        <w:pStyle w:val="Normal"/>
        <w:rPr>
          <w:sz w:val="32"/>
        </w:rPr>
      </w:pPr>
      <w:r>
        <w:rPr>
          <w:sz w:val="32"/>
        </w:rPr>
        <w:t>Представляется возможным предложить следующую гипотетическую интерпретацию осей. На оси Х1 представлен знак или иначе гедонический тон эмоции: из ис</w:t>
      </w:r>
      <w:r>
        <w:rPr>
          <w:sz w:val="32"/>
        </w:rPr>
        <w:t>ходного списка наибольшее значение по этой оси получили слова, обозначающие положительные эмоции, и наименьшее — отрицательные. Второе измерение можно рассматривать как степень подготовленности организма к предстоящим действиям. Оно характеризует одно из с</w:t>
      </w:r>
      <w:r>
        <w:rPr>
          <w:sz w:val="32"/>
        </w:rPr>
        <w:t>войств эмоционального состояния — «активность-реактивность». Ось Х3 отражает различия в степени активации или в степени выраженности чувственного тона. Можно думать, что с каждым эмоциональным состоянием связаны проприоцептивные и интероцептивные ощущения.</w:t>
      </w:r>
      <w:r>
        <w:rPr>
          <w:sz w:val="32"/>
        </w:rPr>
        <w:t xml:space="preserve"> Очевидно, первое и второе измерения полученного семантического пространства связаны с двумя основными функциями эмоций: оценкой и побуждением. Эти два механизма эмо-</w:t>
      </w:r>
    </w:p>
    <w:p w:rsidR="00000000" w:rsidRDefault="00AA3CDB">
      <w:pPr>
        <w:pStyle w:val="Normal"/>
        <w:rPr>
          <w:sz w:val="32"/>
        </w:rPr>
      </w:pPr>
      <w:r>
        <w:rPr>
          <w:noProof/>
          <w:snapToGrid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635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33571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46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" o:allowincell="f" strokecolor="#d4d4d4" strokeweight="1.75pt">
                <v:shadow on="t" offset="0,-1pt"/>
              </v:line>
            </w:pict>
          </mc:Fallback>
        </mc:AlternateContent>
      </w:r>
    </w:p>
    <w:p w:rsidR="00000000" w:rsidRDefault="00732DB5">
      <w:pPr>
        <w:pStyle w:val="Normal"/>
        <w:rPr>
          <w:sz w:val="32"/>
        </w:rPr>
      </w:pPr>
      <w:r>
        <w:rPr>
          <w:sz w:val="32"/>
        </w:rPr>
        <w:t>циональной регуляции признаются наиболее существенными в большинстве классических и сов</w:t>
      </w:r>
      <w:r>
        <w:rPr>
          <w:sz w:val="32"/>
        </w:rPr>
        <w:t>ременных теорий эмоций (Анохин, 1964; Леонтьев, 1975; Вилюнас, 1976; McDougall, 1928; Harlow, Stagner, 1933; Leeper, 1968; Lazarus, 1968; Arnold, 1969). Третье измерение пространства, означивающего эмоциональные переживания, совпадает с упоминаемым в больш</w:t>
      </w:r>
      <w:r>
        <w:rPr>
          <w:sz w:val="32"/>
        </w:rPr>
        <w:t>инстве теорий физиологическим механизмом эмоций — со степенью активации (например, Линдсей, 1951; Duffy, 1941). Таким образом, тремя основными критериями, на основе которых происходит идентификация и вербализация эмоционального состояния, являются знак эмо</w:t>
      </w:r>
      <w:r>
        <w:rPr>
          <w:sz w:val="32"/>
        </w:rPr>
        <w:t>ционального переживания, побудительная сила и степень активации физиологических систем организма. Заметим, что данные критерии актуально не осознаются испытуемыми.</w:t>
      </w:r>
    </w:p>
    <w:p w:rsidR="00000000" w:rsidRDefault="00732DB5">
      <w:pPr>
        <w:pStyle w:val="Normal"/>
        <w:rPr>
          <w:sz w:val="32"/>
        </w:rPr>
      </w:pPr>
      <w:r>
        <w:rPr>
          <w:sz w:val="32"/>
        </w:rPr>
        <w:t>На рисунке также видно, что некоторые точки занимают промежуточное положение, т. е. далеко о</w:t>
      </w:r>
      <w:r>
        <w:rPr>
          <w:sz w:val="32"/>
        </w:rPr>
        <w:t>тстоят от осей и имеют большой вес сразу по двум или трем измерениям. Например, слова рассеянность (7; Х2 = -15; Х3 = -14), уверенность (9; X1 = 13, Х2 = 21), опасение (10; Х2 = -14, Х3 = 20), тревога (11; Х2 = -10, Х3 = 18). Это означает, что эмоциональны</w:t>
      </w:r>
      <w:r>
        <w:rPr>
          <w:sz w:val="32"/>
        </w:rPr>
        <w:t>е состояния, выражаемые данными словами, в значительной мере определяются и знаком, и некоторым уровнем активации, и определенной побудительной силой, в то время как в других эмоциональных состояниях наиболее явно представлено лишь одно из измерений, т. е.</w:t>
      </w:r>
      <w:r>
        <w:rPr>
          <w:sz w:val="32"/>
        </w:rPr>
        <w:t xml:space="preserve"> при их назывании используется преимущественно лишь один из критериев.</w:t>
      </w:r>
    </w:p>
    <w:p w:rsidR="00000000" w:rsidRDefault="00732DB5">
      <w:pPr>
        <w:pStyle w:val="Normal"/>
        <w:rPr>
          <w:sz w:val="32"/>
        </w:rPr>
      </w:pPr>
      <w:r>
        <w:rPr>
          <w:sz w:val="32"/>
        </w:rPr>
        <w:t>На основании данной интерпретации осей семантического пространства, означивающего эмоциональные переживания, можно строить предположения о локализации слов, не включенных в исходный спи</w:t>
      </w:r>
      <w:r>
        <w:rPr>
          <w:sz w:val="32"/>
        </w:rPr>
        <w:t>сок. Например, на продолжении положительного конца оси Х1 могут быть расположены слова: восторг, ликование, а на продолжении отрицательных значений — отчаяние, отвращение. На продолжении положительного конца оси X3, вероятно, окажутся слова: страх, гнев, а</w:t>
      </w:r>
      <w:r>
        <w:rPr>
          <w:sz w:val="32"/>
        </w:rPr>
        <w:t xml:space="preserve"> на противоположном конце ее — слова, обозначающие состояния спокойствия, безразличия, апатии.</w:t>
      </w:r>
    </w:p>
    <w:p w:rsidR="00000000" w:rsidRDefault="00732DB5">
      <w:pPr>
        <w:pStyle w:val="Normal"/>
        <w:rPr>
          <w:sz w:val="32"/>
        </w:rPr>
      </w:pPr>
      <w:r>
        <w:rPr>
          <w:sz w:val="32"/>
        </w:rPr>
        <w:t xml:space="preserve">Предположения, касающиеся содержательной интерпретации осей, локализации точек, не включенных в список шкалируемых слов, размерности семантического пространства </w:t>
      </w:r>
      <w:r>
        <w:rPr>
          <w:sz w:val="32"/>
        </w:rPr>
        <w:t>означивающего эмоциональные состояния, требуют проверки в дальнейшем экспериментальном исследовании. В данной статье решалась лишь частная задача локализации в семантическом пространстве некоторых слов, обозначающих эмоциональные состояния.</w:t>
      </w:r>
    </w:p>
    <w:p w:rsidR="00000000" w:rsidRDefault="00732DB5">
      <w:pPr>
        <w:pStyle w:val="Normal"/>
        <w:rPr>
          <w:sz w:val="32"/>
        </w:rPr>
      </w:pPr>
      <w:r>
        <w:rPr>
          <w:sz w:val="32"/>
        </w:rPr>
        <w:t>Итак, метод мно</w:t>
      </w:r>
      <w:r>
        <w:rPr>
          <w:sz w:val="32"/>
        </w:rPr>
        <w:t xml:space="preserve">гомерного шкалирования позволил реконструировать семантическое пространство, означивающее эмоциональные состояния. Результаты показали, что данное пространство характеризуется тремя базисными измерениями, соотносимыми с главными критериями идентификации и </w:t>
      </w:r>
      <w:r>
        <w:rPr>
          <w:sz w:val="32"/>
        </w:rPr>
        <w:t>вербализации эмоциональных состояний.</w:t>
      </w:r>
    </w:p>
    <w:p w:rsidR="00732DB5" w:rsidRDefault="00732DB5">
      <w:pPr>
        <w:rPr>
          <w:sz w:val="32"/>
        </w:rPr>
      </w:pPr>
      <w:r>
        <w:rPr>
          <w:sz w:val="32"/>
        </w:rPr>
        <w:br w:type="page"/>
      </w:r>
    </w:p>
    <w:sectPr w:rsidR="00732DB5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2DB5" w:rsidRDefault="00732DB5">
      <w:r>
        <w:separator/>
      </w:r>
    </w:p>
  </w:endnote>
  <w:endnote w:type="continuationSeparator" w:id="0">
    <w:p w:rsidR="00732DB5" w:rsidRDefault="0073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2DB5" w:rsidRDefault="00732DB5">
      <w:r>
        <w:separator/>
      </w:r>
    </w:p>
  </w:footnote>
  <w:footnote w:type="continuationSeparator" w:id="0">
    <w:p w:rsidR="00732DB5" w:rsidRDefault="00732DB5">
      <w:r>
        <w:continuationSeparator/>
      </w:r>
    </w:p>
  </w:footnote>
  <w:footnote w:id="1">
    <w:p w:rsidR="00000000" w:rsidRDefault="00732DB5">
      <w:pPr>
        <w:pStyle w:val="a4"/>
        <w:rPr>
          <w:sz w:val="24"/>
        </w:rPr>
      </w:pPr>
      <w:r>
        <w:rPr>
          <w:rStyle w:val="a3"/>
          <w:sz w:val="24"/>
        </w:rPr>
        <w:footnoteRef/>
      </w:r>
      <w:r>
        <w:rPr>
          <w:sz w:val="24"/>
        </w:rPr>
        <w:t xml:space="preserve"> Дружинин В.Н. Экспериментальная психология.-Издательство "Питер",2000,стр.12.</w:t>
      </w:r>
    </w:p>
  </w:footnote>
  <w:footnote w:id="2">
    <w:p w:rsidR="00000000" w:rsidRDefault="00732DB5">
      <w:pPr>
        <w:pStyle w:val="a5"/>
        <w:spacing w:before="100" w:after="100"/>
      </w:pPr>
      <w:r>
        <w:rPr>
          <w:rStyle w:val="a3"/>
        </w:rPr>
        <w:footnoteRef/>
      </w:r>
      <w:r>
        <w:t xml:space="preserve">1. Козлова И. Н. Личность как система конструктов. - В кн.: Системные исследования. Ежегодник. 1975. М., 1976. с., 128. </w:t>
      </w:r>
    </w:p>
    <w:p w:rsidR="00000000" w:rsidRDefault="00732DB5">
      <w:pPr>
        <w:pStyle w:val="a4"/>
      </w:pPr>
      <w:r>
        <w:t xml:space="preserve"> </w:t>
      </w:r>
    </w:p>
  </w:footnote>
  <w:footnote w:id="3">
    <w:p w:rsidR="00000000" w:rsidRDefault="00732DB5">
      <w:pPr>
        <w:pStyle w:val="a5"/>
        <w:spacing w:before="100" w:after="100"/>
        <w:ind w:left="0"/>
      </w:pPr>
      <w:r>
        <w:t xml:space="preserve">     </w:t>
      </w:r>
      <w:r>
        <w:rPr>
          <w:rStyle w:val="a3"/>
        </w:rPr>
        <w:footnoteRef/>
      </w:r>
      <w:r>
        <w:t xml:space="preserve"> 1. Ко</w:t>
      </w:r>
      <w:r>
        <w:t xml:space="preserve">злова И. Н. Личность как система конструктов. - В кн.: Системные исследования.                 Ежегодник. 1975. М., 1976. с., 129. </w:t>
      </w:r>
    </w:p>
    <w:p w:rsidR="00000000" w:rsidRDefault="00732DB5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DB"/>
    <w:rsid w:val="00732DB5"/>
    <w:rsid w:val="00AA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03F4E-BDFF-4145-8156-73251965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character" w:styleId="a3">
    <w:name w:val="footnote reference"/>
    <w:basedOn w:val="a0"/>
    <w:semiHidden/>
    <w:rPr>
      <w:vertAlign w:val="superscript"/>
    </w:rPr>
  </w:style>
  <w:style w:type="paragraph" w:styleId="a4">
    <w:name w:val="footnote text"/>
    <w:basedOn w:val="a"/>
    <w:semiHidden/>
  </w:style>
  <w:style w:type="paragraph" w:customStyle="1" w:styleId="a5">
    <w:name w:val="Список определений"/>
    <w:basedOn w:val="Normal"/>
    <w:next w:val="a6"/>
    <w:pPr>
      <w:spacing w:before="0" w:after="0"/>
      <w:ind w:left="360"/>
    </w:pPr>
  </w:style>
  <w:style w:type="paragraph" w:customStyle="1" w:styleId="a6">
    <w:name w:val="Термин"/>
    <w:basedOn w:val="Normal"/>
    <w:next w:val="a5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img.gi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16666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 Олег Николаевич</dc:creator>
  <cp:keywords/>
  <dc:description/>
  <cp:lastModifiedBy>Igor</cp:lastModifiedBy>
  <cp:revision>3</cp:revision>
  <dcterms:created xsi:type="dcterms:W3CDTF">2025-03-19T14:07:00Z</dcterms:created>
  <dcterms:modified xsi:type="dcterms:W3CDTF">2025-03-19T14:07:00Z</dcterms:modified>
</cp:coreProperties>
</file>