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"САРАТОВСКИЙ ГОСУДАРСТВЕННЫЙ УНИВЕРСИТЕТ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ИМЕНИ Н.Г. ЧЕРНЫШЕВСКОГО"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ботаники и экологии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КУРСОВАЯ РАБОТА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Биоморфологические особенности Софоры лисохвостой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студентки 3 курса 322 группы</w:t>
      </w:r>
    </w:p>
    <w:p w:rsidR="00000000" w:rsidRDefault="00E4620B">
      <w:pPr>
        <w:suppressAutoHyphens/>
        <w:spacing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биологического факультета</w:t>
      </w:r>
    </w:p>
    <w:p w:rsidR="00000000" w:rsidRDefault="00E4620B">
      <w:pPr>
        <w:suppressAutoHyphens/>
        <w:spacing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Кудухашвили Маргариты Звиадовны</w:t>
      </w:r>
    </w:p>
    <w:p w:rsidR="00000000" w:rsidRDefault="00E4620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Характеристика и классификация адвентивных видов растений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Ботанико-г</w:t>
      </w:r>
      <w:r>
        <w:rPr>
          <w:sz w:val="28"/>
          <w:szCs w:val="28"/>
        </w:rPr>
        <w:t>еографическая характеристика Sophora alopecuroides L.</w:t>
      </w:r>
    </w:p>
    <w:p w:rsidR="00000000" w:rsidRDefault="00E4620B">
      <w:pPr>
        <w:tabs>
          <w:tab w:val="left" w:pos="8445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 Семейство Бобовые (Fabaceae)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Подсемейство собственно Бобовые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Характеристика рода Софора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Материалы и методы исследования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Матери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лы исследования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Изучение лаборато</w:t>
      </w:r>
      <w:r>
        <w:rPr>
          <w:sz w:val="28"/>
          <w:szCs w:val="28"/>
        </w:rPr>
        <w:t>рной всхожести и качественная оценка семян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.4 Морфометрический анализ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E4620B">
      <w:pPr>
        <w:tabs>
          <w:tab w:val="left" w:pos="844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длительного времени флора железных дорог слабо привлекала внимание исследователей И только в последнее время интерес к</w:t>
      </w:r>
      <w:r>
        <w:rPr>
          <w:sz w:val="28"/>
          <w:szCs w:val="28"/>
        </w:rPr>
        <w:t xml:space="preserve"> этой проблеме заметно усилился . Актуальность исследования Воздействие человека на окружающую среду с каждым годом усиливается Под влиянием антропогенного фактора, с одной стороны, происходит внедрение адвентивных видов во флоры регионов, а с другой - вым</w:t>
      </w:r>
      <w:r>
        <w:rPr>
          <w:sz w:val="28"/>
          <w:szCs w:val="28"/>
        </w:rPr>
        <w:t xml:space="preserve">ирание части аборигенных видов, что в свою очередь вызывает унификацию флор Земного шара, маскирует и обедняет их специфичность Кроме того, деятельность человека приводит к расширению площади антропогенных территорий Во многих странах Европы антропогенные </w:t>
      </w:r>
      <w:r>
        <w:rPr>
          <w:sz w:val="28"/>
          <w:szCs w:val="28"/>
        </w:rPr>
        <w:t>ландшафты уже преобладают над естественными . На данных типах ландшафтов формируются антропогенно трансформированные флористические комплексы .Флористический состав на них довольно сильно отличается от природной флоры данной местности (Бурда, 1991) и предс</w:t>
      </w:r>
      <w:r>
        <w:rPr>
          <w:sz w:val="28"/>
          <w:szCs w:val="28"/>
        </w:rPr>
        <w:t>тавлен в основном растениями, характеризующимися широкой амплитудой экологической толерантности . Особый интерес в этом отношении вызывает флора техногенных биотопов, отдельные из которых не имеют природных аналогов В первую очередь это относится к железно</w:t>
      </w:r>
      <w:r>
        <w:rPr>
          <w:sz w:val="28"/>
          <w:szCs w:val="28"/>
        </w:rPr>
        <w:t>дорожным насыпям. Объектом исследования в данной курсовой работе является растение Софора лисохвостая Sophora alopecuroides L. Так как оно является сорным растением т.е (от "сор") - дикорастущие растения, обитающие на землях, используемых в качестве сельск</w:t>
      </w:r>
      <w:r>
        <w:rPr>
          <w:sz w:val="28"/>
          <w:szCs w:val="28"/>
        </w:rPr>
        <w:t>охозяйственных угодий. Вред, который наносят сорные растения, связан как со снижением урожайности, так и с ухудшением качества сельскохозяйственной продукции.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изучить как можно подробней софору , что бы в перспективе мы могли б</w:t>
      </w:r>
      <w:r>
        <w:rPr>
          <w:sz w:val="28"/>
          <w:szCs w:val="28"/>
        </w:rPr>
        <w:t xml:space="preserve">ы бороться с этим сорняком и не допустить </w:t>
      </w:r>
      <w:r>
        <w:rPr>
          <w:sz w:val="28"/>
          <w:szCs w:val="28"/>
        </w:rPr>
        <w:lastRenderedPageBreak/>
        <w:t>того чтобы урожай пропал 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в данной работе необходимо рассмотреть ряд задач исследования: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всхожесть семян и скорость проростания,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выявить методы борьбы с расте</w:t>
      </w:r>
      <w:r>
        <w:rPr>
          <w:sz w:val="28"/>
          <w:szCs w:val="28"/>
        </w:rPr>
        <w:t>нием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заключается в возможности применения результатов исследований при разработке и планировании мероприятий по контролю развития сорной растительности. Изучив Софору , мы сможем уберечь поля от этого ядовитого сорняка , в перспекти</w:t>
      </w:r>
      <w:r>
        <w:rPr>
          <w:sz w:val="28"/>
          <w:szCs w:val="28"/>
        </w:rPr>
        <w:t xml:space="preserve">ве сможем разработать методы борьбы с ним . Обоснованность и достоверность результатов исследований базируется на обширном экспериментальном материале, обеспечивается применением общепризнанных методик проведения исследований и обработки экспериментальных </w:t>
      </w:r>
      <w:r>
        <w:rPr>
          <w:sz w:val="28"/>
          <w:szCs w:val="28"/>
        </w:rPr>
        <w:t>.</w:t>
      </w:r>
    </w:p>
    <w:p w:rsidR="00000000" w:rsidRDefault="00E4620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sophora alopecuroides семена сорняк</w:t>
      </w:r>
    </w:p>
    <w:p w:rsidR="00000000" w:rsidRDefault="00E4620B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Классификация адвентивных видов растений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Адвентивные растения(то же, что пришлые растения, от латинского adventus - приход), растения, занесённые в новую для них область. Понятие "адвентивная флора" (или "адвент</w:t>
      </w:r>
      <w:r>
        <w:rPr>
          <w:sz w:val="28"/>
          <w:szCs w:val="28"/>
        </w:rPr>
        <w:t>ивный элемент", или "компонент флоры") существует в системе представлений, в которую значение термина иерархически включено как часть флоры территориальной единицы. В таком понимании флора может распадаться на аборигенный (автохтонный) и адвентивный (аллох</w:t>
      </w:r>
      <w:r>
        <w:rPr>
          <w:sz w:val="28"/>
          <w:szCs w:val="28"/>
        </w:rPr>
        <w:t>тонный) элементы флоры. Аборигенный элемент флоры формально пересекается с адвентивным с одной стороны, через понятие "археофит" [1], а с другой -через виды, натурализация которых произошла в последнее время и была в той или иной форме зафиксирована докуме</w:t>
      </w:r>
      <w:r>
        <w:rPr>
          <w:sz w:val="28"/>
          <w:szCs w:val="28"/>
        </w:rPr>
        <w:t>нтально. Промежуточное положение занимают и прогрессирующие виды в понимании Н. В. Козловской [5], расширение ареала которых могло быть связано с естественными причинами. Таким образом, учитывая относительность разграничения адвентивного и аборигенного ком</w:t>
      </w:r>
      <w:r>
        <w:rPr>
          <w:sz w:val="28"/>
          <w:szCs w:val="28"/>
        </w:rPr>
        <w:t>понентов, авторы понимают последний как часть флоры, заносное происхождение видов которой не установлено для данной территории.  Определение антропофильного (синантропного, антропофитного) элемента флоры А. Теллунгом [7], авслед за ними другими авторами, п</w:t>
      </w:r>
      <w:r>
        <w:rPr>
          <w:sz w:val="28"/>
          <w:szCs w:val="28"/>
        </w:rPr>
        <w:t>ослужило основанием для выделения более подчиненных по отношению к антропофильным заносных видов. Сам А. Теллунг выделял виды си-нантропных сообществ, которые делил на апофиты (синантропные растения, происходящие из местных естественных растительных сообще</w:t>
      </w:r>
      <w:r>
        <w:rPr>
          <w:sz w:val="28"/>
          <w:szCs w:val="28"/>
        </w:rPr>
        <w:t>ств) и антропо-хоры (синантропные растения чужеземного происхождения). В общем-то, такая точка зрения используется до сегодняшнего дня, хотя термин антропохор во многих случаях заменяется вследствие его неоднозначного понимания, на что указал еще Я. Ялас [</w:t>
      </w:r>
      <w:r>
        <w:rPr>
          <w:sz w:val="28"/>
          <w:szCs w:val="28"/>
        </w:rPr>
        <w:t xml:space="preserve">7].  Адвентивная часть </w:t>
      </w:r>
      <w:r>
        <w:rPr>
          <w:sz w:val="28"/>
          <w:szCs w:val="28"/>
        </w:rPr>
        <w:lastRenderedPageBreak/>
        <w:t>флоры в такой системе понятий является самостоятельно изучаемой единицей флоры. Стимулами к выделению такой категории служат, с одной стороны, факт заноса на определенную территорию не обитавших на ней ранее видов, а с другой - степе</w:t>
      </w:r>
      <w:r>
        <w:rPr>
          <w:sz w:val="28"/>
          <w:szCs w:val="28"/>
        </w:rPr>
        <w:t>нь участия человека в этом процессе и последствия этого участия.  Адвентивный элемент флоры чаще всего определяется в отечественной литературе как совокупность видов растений, не свойственных местной флоре, занос которых на данную территорию не связан с ес</w:t>
      </w:r>
      <w:r>
        <w:rPr>
          <w:sz w:val="28"/>
          <w:szCs w:val="28"/>
        </w:rPr>
        <w:t>тественным ходом флорогенеза, а является результатом прямой или косвенной деятельности человека.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Г. Шредер [8], обобщив такого рода данные, пришел к выводу о необходимости разграничения классификационных построений по трем основным принципам: времени им</w:t>
      </w:r>
      <w:r>
        <w:rPr>
          <w:sz w:val="28"/>
          <w:szCs w:val="28"/>
        </w:rPr>
        <w:t xml:space="preserve">миграции, способу иммиграции и степени натурализации. Такое разграничение послужило основой для ряда современных классификаций и полностью оформило первое направление, оценивающее временные и пространственные особенности распределения адвентивных растений </w:t>
      </w:r>
      <w:r>
        <w:rPr>
          <w:sz w:val="28"/>
          <w:szCs w:val="28"/>
        </w:rPr>
        <w:t>по вновь занятой территории. Второе направление, основоположником которого является Я. Ялас, напротив, группирует растения по их способности произрастать на местообитаниях, в различной степени видоизмененных хозяйственной деятельностью человека. Система Я.</w:t>
      </w:r>
      <w:r>
        <w:rPr>
          <w:sz w:val="28"/>
          <w:szCs w:val="28"/>
        </w:rPr>
        <w:t xml:space="preserve"> Яласа, во-первых, сыграла роль в оценке степени антропотолерант-ности различных экосистем и их компонентов, а во-вторых, дала возможность разработать экологические шкалы применительно к отдельным антропогенным средам, например урбанизированным ландшафтам.</w:t>
      </w:r>
      <w:r>
        <w:rPr>
          <w:sz w:val="28"/>
          <w:szCs w:val="28"/>
        </w:rPr>
        <w:t xml:space="preserve"> В таком частном приложении она послужила основой для классификации видов урбанофлор по их отношению к антропогенному воздействию [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]</w:t>
      </w:r>
    </w:p>
    <w:p w:rsidR="00000000" w:rsidRDefault="00E4620B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pacing w:after="200" w:line="276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000000" w:rsidRDefault="00E4620B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Классификации видов адвентивной флоры в традициях отечественной и западной школы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2641"/>
        <w:gridCol w:w="1534"/>
        <w:gridCol w:w="3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 [Schroeder, 1969]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ермин [Pysek et al., 2004]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Время заноса: 1.1. Археофиты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Виды, занесенные до открытия Америки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Residence status: 1.1. Archaeophytes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Заносные растения, интродуцированные до 1492 года, сознательно или случайно, независимо от степени их натур</w:t>
            </w:r>
            <w:r>
              <w:rPr>
                <w:sz w:val="20"/>
                <w:szCs w:val="20"/>
              </w:rPr>
              <w:t>ализации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Неофиты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Виды, занос которых произошел после XV века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Neophytes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Заносные растения, занесенные после 1492 года, сознательно или случайно, независимо от степени их натурализации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 заноса: 2.1. Ксенофиты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Непреднамеренно занесенные </w:t>
            </w: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4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приводимой классификационной схеме категория "способ заноса" не учитывается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Ксеноэргазиофиты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Растения, культивируемые в других регионах, случайно занесенные в изучаемый район в ходе хозяйственной деятельности</w:t>
            </w:r>
          </w:p>
        </w:tc>
        <w:tc>
          <w:tcPr>
            <w:tcW w:w="4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Эргазиофиты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Виды, введенны</w:t>
            </w:r>
            <w:r>
              <w:rPr>
                <w:sz w:val="20"/>
                <w:szCs w:val="20"/>
              </w:rPr>
              <w:t>е в культуру на данной территории, а затем распространившиеся на внекультурные местообитания (как антропогенные, так и естественные)</w:t>
            </w:r>
          </w:p>
        </w:tc>
        <w:tc>
          <w:tcPr>
            <w:tcW w:w="4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Степень натурализации: 3.1. Эфемерофиты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Растения, встречающиеся в местах заноса в течение 1-2 лет, но не размножающиес</w:t>
            </w:r>
            <w:r>
              <w:rPr>
                <w:sz w:val="20"/>
                <w:szCs w:val="20"/>
              </w:rPr>
              <w:t>я, а затем исчезающие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Invasive status: 3.1. Casual alien plants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Заносные растения, которые вегетируют, цветут и изредка воспроизводятся вне культуры на определенной территории, но в конечном счете обычно исчезают, так как не формируют самостоятельно под</w:t>
            </w:r>
            <w:r>
              <w:rPr>
                <w:sz w:val="20"/>
                <w:szCs w:val="20"/>
              </w:rPr>
              <w:t>держивающихся популяций, и зависят от повторных заносов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Колонофиты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 возобновляются, но их распространение ограничено преимущественно местами заноса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Naturalized plants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Заносные растения, которые поддерживают самовоспроизводящиеся популяц</w:t>
            </w:r>
            <w:r>
              <w:rPr>
                <w:sz w:val="20"/>
                <w:szCs w:val="20"/>
              </w:rPr>
              <w:t>ии &gt; 10 лет без направляющего влияния людей (или вопреки такому влиянию) и постепенно увеличивают число семян или клонов (клубней, отростков, фрагментов и т.д.)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Эпекофиты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Заносные растения, которые распространяются по одному или нескольким типам антр</w:t>
            </w:r>
            <w:r>
              <w:rPr>
                <w:sz w:val="20"/>
                <w:szCs w:val="20"/>
              </w:rPr>
              <w:t>опогенных мест обитания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Invasive plants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Инвазионные виды являются подмножеством натурализовавшихся (naturalized plants). Они воспроизводятся, иногда в большом количестве, на значительном удалении от родительских особей, и могут потенциально распростра</w:t>
            </w:r>
            <w:r>
              <w:rPr>
                <w:sz w:val="20"/>
                <w:szCs w:val="20"/>
              </w:rPr>
              <w:t>няться на значительные территории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Агриофиты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Растения, внедрившиеся в естественные ценозы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Transformers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Подмножество инвазионных видов (необязательно заносных), которые в значительной степени преобразуют природные экосистемы</w:t>
            </w:r>
          </w:p>
        </w:tc>
      </w:tr>
    </w:tbl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Балашове обнару</w:t>
      </w:r>
      <w:r>
        <w:rPr>
          <w:sz w:val="28"/>
          <w:szCs w:val="28"/>
        </w:rPr>
        <w:t>жена Calystegia inflata, не указанная для Саратовской области, но отмеченная в приграничной к Балашовскому району Воронежской области. Интересна находка Impatiens parviflora, которая, видимо, встречается в Саратовской области только в г. Балашове [10]. Осо</w:t>
      </w:r>
      <w:r>
        <w:rPr>
          <w:sz w:val="28"/>
          <w:szCs w:val="28"/>
        </w:rPr>
        <w:t>бое место среди адвентивных видов занимает Heracleum sosnowskyi. Данный вид был впервые нами отмечен для Балашовского района. Heracleum sosnowskyi был встречен в центральной части города на заросшем пустыре. Растения достигали более чем двухметрового роста</w:t>
      </w:r>
      <w:r>
        <w:rPr>
          <w:sz w:val="28"/>
          <w:szCs w:val="28"/>
        </w:rPr>
        <w:t>, обильно плодоносили. Данный вид представляет опасность для здоровья жителей города Балашова, а также может стать конкурентом для аборигенных видов.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Ботанико- географическая характеристика Sophora alopecuroides L.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положение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</w:t>
      </w:r>
      <w:r>
        <w:rPr>
          <w:sz w:val="28"/>
          <w:szCs w:val="28"/>
        </w:rPr>
        <w:t>авленная ниже классификация дает представление о систематическом положении семейства Бобовые (Fabaceae) и рода Софора (</w:t>
      </w:r>
      <w:r>
        <w:rPr>
          <w:sz w:val="28"/>
          <w:szCs w:val="28"/>
          <w:lang w:val="en-US"/>
        </w:rPr>
        <w:t>Sophora</w:t>
      </w:r>
      <w:r>
        <w:rPr>
          <w:sz w:val="28"/>
          <w:szCs w:val="28"/>
        </w:rPr>
        <w:t>)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5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Magnoliophyta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Magnoliopsida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Fabales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семейство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Fabaceae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alopecuroides L.</w:t>
            </w:r>
          </w:p>
        </w:tc>
      </w:tr>
    </w:tbl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Семейство Бобовые (Fabaceae)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Бобовые - одно из крупнейших семейств цветковых растений, насчитывающее около 18 тыс. видов. Распространены они почти по всей, доступной цветковым растениям суше земного шара, и представлены самыми разно</w:t>
      </w:r>
      <w:r>
        <w:rPr>
          <w:sz w:val="28"/>
          <w:szCs w:val="28"/>
        </w:rPr>
        <w:t xml:space="preserve">образными жизненными формами - от огромных деревьев и лиан до крошечных пустынных растений. Представители бобовых способны подниматься в горы до 5 тыс. метров высоты, обитать на Крайнем Севере и в жарких безводных пустынях[1].  От латинского названия боба </w:t>
      </w:r>
      <w:r>
        <w:rPr>
          <w:sz w:val="28"/>
          <w:szCs w:val="28"/>
        </w:rPr>
        <w:t>(legumen) происходит одно из названий семейства. Другое название (Fabaceae) связано с латинским именем рода Faba. Семейство принято делить на три подсемейства: мимозовые (Mimosoideae), цезальпиевые (Caesalpinoideae) и собственно бобовые, или мотыльковые (F</w:t>
      </w:r>
      <w:r>
        <w:rPr>
          <w:sz w:val="28"/>
          <w:szCs w:val="28"/>
        </w:rPr>
        <w:t xml:space="preserve">aboideae), главным образом на основе различий в строении цветка. Многие ботаники предпочитают рассматривать их как самостоятельные семейства. Число известных сейчас родов бобовых около 700, а видов, вероятно, не менее 17 000. Среди цветковых растений лишь </w:t>
      </w:r>
      <w:r>
        <w:rPr>
          <w:sz w:val="28"/>
          <w:szCs w:val="28"/>
        </w:rPr>
        <w:t>два семейства - орхидные и сложноцветные - превосходят бобовых по числу видов.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подавляющего большинства бобовых свойственна энтомофилия. Роль опылителей при перекрестном опылении выполняют разнообразные насекомые, причем механизм опыления нередко бывае</w:t>
      </w:r>
      <w:r>
        <w:rPr>
          <w:sz w:val="28"/>
          <w:szCs w:val="28"/>
        </w:rPr>
        <w:t>т весьма тонким. Самоопыление свойственно сравнительно немногим бобовым. Самоопыляются горох, чечевица, виды люпинов и астрагалов, некоторые вики. Иногда встречается клейстогамия, т. е. самоопыление внутри нераскрывшихся цветков. Ветроопыление известно у т</w:t>
      </w:r>
      <w:r>
        <w:rPr>
          <w:sz w:val="28"/>
          <w:szCs w:val="28"/>
        </w:rPr>
        <w:t>ропического рода хардвикия (Hardwickia) из подсемейства цезальпиевых. Летучие мыши посещают крупные соцветия ряда мимозовых. Орнитофильны некоторые цезальпиниевые с крупными цветками, например виды родов ангилокаликс (Angylocalyx), алекса (Alexa), кастанос</w:t>
      </w:r>
      <w:r>
        <w:rPr>
          <w:sz w:val="28"/>
          <w:szCs w:val="28"/>
        </w:rPr>
        <w:t>пермум (Castanospermum), эритрина (Erythrina) и др. Для привлечения птиц в цветках эритрин выделяется такое количество нектара, что в США в некоторых местах их называют "cry-baby" - плачущий ребенок. Так как цветки эритрин перевернуты, пыльца при вторжении</w:t>
      </w:r>
      <w:r>
        <w:rPr>
          <w:sz w:val="28"/>
          <w:szCs w:val="28"/>
        </w:rPr>
        <w:t xml:space="preserve"> птицы высыпается на ее спинку, к спинке же прикасается и рыльце. У некоторых австралийских мотыльковых, например у видов австралийского рода брахисема (Brachysema), опыление осуществляют птицы, стоящие на почве[1]. Цветки бобовых в большинстве случаев обо</w:t>
      </w:r>
      <w:r>
        <w:rPr>
          <w:sz w:val="28"/>
          <w:szCs w:val="28"/>
        </w:rPr>
        <w:t>еполые, но однополые цветки у ряда представителей все же известны. В частности, однополы (однодомные и даже двудомные цветки) несколько видов деревьев из родов гледичия (Gleditsia) и гимнокладус (Gymnocladus), широко культивируемых в субтропических странах</w:t>
      </w:r>
      <w:r>
        <w:rPr>
          <w:sz w:val="28"/>
          <w:szCs w:val="28"/>
        </w:rPr>
        <w:t>. Некоторые виды нептунии (Neptunia) и паркий (Parkia) замечательны тем, что часть цветков в одном соцветии имеет только тычинки, а часть только гинецей. Чаще всего цветки бобовых имеют 10 тычинок, которые расположены в 2 круга. Иногда на ранних стадиях ра</w:t>
      </w:r>
      <w:r>
        <w:rPr>
          <w:sz w:val="28"/>
          <w:szCs w:val="28"/>
        </w:rPr>
        <w:t>звития первичные бугорки, дающие начало тычинкам, расщепляются и количество тычинок увеличивается во много раз. Расщепление особенно характерно для ми мозовых, в цветках которых иногда насчитывается до несколько сотен тычинок. Тычинки мотыльковых, как прав</w:t>
      </w:r>
      <w:r>
        <w:rPr>
          <w:sz w:val="28"/>
          <w:szCs w:val="28"/>
        </w:rPr>
        <w:t>ило, срастаются, но различным образом и это определяв1 ряд биологических особенностей цветка. Чаще всего срастающиеся тычинки образуют незамкнутую сверху трубку, и насекомые легко вводят свой хоботок, доставая нектар, которые скапливается в ней. В замкнуту</w:t>
      </w:r>
      <w:r>
        <w:rPr>
          <w:sz w:val="28"/>
          <w:szCs w:val="28"/>
        </w:rPr>
        <w:t>ю трубку хобо ток ввести обычно не удается, и нектар либо скапливается вне трубки, либо вообще не образуется и главным привлекающим агентов будет обильная пыльца[2].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Подсемейство собственно Бобовые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бобовые растения составляют основное больш</w:t>
      </w:r>
      <w:r>
        <w:rPr>
          <w:sz w:val="28"/>
          <w:szCs w:val="28"/>
        </w:rPr>
        <w:t>инство семейства и распространены во всех климатических зонах. Именно ним относятся широко известные овощные и кормовые культуры, такие как горох, бобы, соя, фасоль, а также клевер, люцерна, вика и т.д.Подсемейство мимозовые (</w:t>
      </w:r>
      <w:r>
        <w:rPr>
          <w:sz w:val="28"/>
          <w:szCs w:val="28"/>
          <w:lang w:val="en-US"/>
        </w:rPr>
        <w:t>Mimosoedea</w:t>
      </w:r>
      <w:r>
        <w:rPr>
          <w:sz w:val="28"/>
          <w:szCs w:val="28"/>
        </w:rPr>
        <w:t>) - Деревья и кустар</w:t>
      </w:r>
      <w:r>
        <w:rPr>
          <w:sz w:val="28"/>
          <w:szCs w:val="28"/>
        </w:rPr>
        <w:t xml:space="preserve">ники, редко травы. Листья у большинства двоякоперистые, редко просто перистые, иногда вследствие недоразвития отгиба простые, филлодиальные, т. е. состоящие из одних расширенных черешков, обращенных вверх и вниз ребрами. Цветы мелкие угловые или собранные </w:t>
      </w:r>
      <w:r>
        <w:rPr>
          <w:sz w:val="28"/>
          <w:szCs w:val="28"/>
        </w:rPr>
        <w:t>соцветиями иногда в виде плотных головок, правильные; в чашечке и венчике одинаковое число частей, 5 или 6, изредка 3 или 6; тычинок столько же, или вдвое больше, даже неопределенное число; цветневая пыль собрана по 4, иногда по 8, 12 и 16, или же порошков</w:t>
      </w:r>
      <w:r>
        <w:rPr>
          <w:sz w:val="28"/>
          <w:szCs w:val="28"/>
        </w:rPr>
        <w:t>атая. Завязь и плод - как у остальных бобовых . До 1500 видов, преимущественно под тропиками. Главные роды: Mimosa (см.) Entada DC, E. gigolobium DC - лазящий кустарник тропической Америки, с огромными плодами и деревянистыми семенами величиной в куриное я</w:t>
      </w:r>
      <w:r>
        <w:rPr>
          <w:sz w:val="28"/>
          <w:szCs w:val="28"/>
        </w:rPr>
        <w:t>йцо и больше. Семена эти переносятся экваториальным течением (Гольфстримом) к берегам Норвегии и даже Новой Земли. Inga, Acacia . Цезальпи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ниевые- Для растений этой трибы характерны цветки с пятью лепестками и десятью тычинками</w:t>
      </w:r>
      <w:r>
        <w:rPr>
          <w:sz w:val="28"/>
          <w:szCs w:val="28"/>
          <w:lang w:val="en-US"/>
        </w:rPr>
        <w:t>[4]</w:t>
      </w:r>
      <w:r>
        <w:rPr>
          <w:sz w:val="28"/>
          <w:szCs w:val="28"/>
        </w:rPr>
        <w:t>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Характеристика ро</w:t>
      </w:r>
      <w:r>
        <w:rPr>
          <w:sz w:val="28"/>
          <w:szCs w:val="28"/>
        </w:rPr>
        <w:t>да Софора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Семейство Бобовые - Fabaceae (Leguminosae), или Мотыльковые-Papilionaceae. Софора лисохвостная - Sophora alopecuroides L. - корнеотпрысковый сорняк . Растение серебристо-войлочное от прижатых ветвистых волосков, высотой 60-80 см. Стебель прямос</w:t>
      </w:r>
      <w:r>
        <w:rPr>
          <w:sz w:val="28"/>
          <w:szCs w:val="28"/>
        </w:rPr>
        <w:t xml:space="preserve">тоячий, толстый, слабо ветвящийся. Листья непарноперистые, с 7-12 парами продолговато-овальных листочков. Цветки бело-желтоватые, в плотных верхушечных кистевидных соцветиях. Корневая система слагается из главного корня, вертикально заглубляющегося до 6-8 </w:t>
      </w:r>
      <w:r>
        <w:rPr>
          <w:sz w:val="28"/>
          <w:szCs w:val="28"/>
        </w:rPr>
        <w:t>м, и расходящихся горизонтальных корней, залегающих на глубине до 60 см и достигающих в длину 5- 10 м. На них образуются придаточные корни, а из выводковых почек - надземные побеги.</w:t>
      </w:r>
    </w:p>
    <w:p w:rsidR="00000000" w:rsidRDefault="00E4620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Плод - четковидный, иногда согнутый, опушенный боб. Семена округло-овальны</w:t>
      </w:r>
      <w:r>
        <w:rPr>
          <w:sz w:val="28"/>
          <w:szCs w:val="28"/>
        </w:rPr>
        <w:t>е, слабопочковидные, с боков слегка сдавленные. Поверхность гладкая, несколько блестящая, от темной до коричневой. Длина 3-4,5 мм, ширина 2,75-4 мм... Масса 1000 семян 10-20 г.</w:t>
      </w:r>
    </w:p>
    <w:p w:rsidR="00000000" w:rsidRDefault="00E4620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 всходов семядоли обратиоширокояйцевидные, мясистые, на верхушке тупые, у осно</w:t>
      </w:r>
      <w:r>
        <w:rPr>
          <w:sz w:val="28"/>
          <w:szCs w:val="28"/>
        </w:rPr>
        <w:t xml:space="preserve">вания неравнобокие, почти сидячие, длиной 10-12 мм и шириной 7-8 мм. Подсемядольное колено толстое. Первый лист тройчатый, черешковый, его листочки овальные, на верхушке тупые, средний на более длинном черешочке, боковые почти сидячие. Снизу густо покрыты </w:t>
      </w:r>
      <w:r>
        <w:rPr>
          <w:sz w:val="28"/>
          <w:szCs w:val="28"/>
        </w:rPr>
        <w:t>прижатыми волосками, как и стебель. Последующий лист похож на первый.</w:t>
      </w:r>
    </w:p>
    <w:p w:rsidR="00000000" w:rsidRDefault="00E4620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Цветет в мае - июне, а плодоносит в июне - июле. Часто плоды сохраняются нераскрывшимися до весны следующего года. Семена обладают твердой оболочкой, и при проращивании их всхожесть низк</w:t>
      </w:r>
      <w:r>
        <w:rPr>
          <w:sz w:val="28"/>
          <w:szCs w:val="28"/>
        </w:rPr>
        <w:t>ая (менее 30%). В результате скарификации она повышается до 90%. Плотная, непроницаемая оболочка обеспечивает длительное сохранение жизнеспособности семян.</w:t>
      </w:r>
    </w:p>
    <w:p w:rsidR="00000000" w:rsidRDefault="00E4620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Размножается не только семенами, но и вегетативна с помощью корневой системы, способной регенерирова</w:t>
      </w:r>
      <w:r>
        <w:rPr>
          <w:sz w:val="28"/>
          <w:szCs w:val="28"/>
        </w:rPr>
        <w:t>ть надземные побеги из-под пахотного слоя, и отрезками прижившихся корней.</w:t>
      </w:r>
    </w:p>
    <w:p w:rsidR="00000000" w:rsidRDefault="00E4620B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Теплолюбивое растение, произрастающее на солонцеватых и засоленных почвах, даже сильно искушаемых, но тяготеет к условиям умеренного увлажнения. Опасный сорняк, особенно в условиях </w:t>
      </w:r>
      <w:r>
        <w:rPr>
          <w:sz w:val="28"/>
          <w:szCs w:val="28"/>
        </w:rPr>
        <w:t>орошаемого земледелия. Засоряет посевы зерновых, хлопчатника, ряда пропашных и люцерны. Распространено на юге и юго-востоке европейской части страны и в Средней Азии.В Саратов был занесен из Казахстана.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Сорняк хлопчатника и зерновых на поливных землях, на </w:t>
      </w:r>
      <w:r>
        <w:rPr>
          <w:sz w:val="28"/>
          <w:szCs w:val="28"/>
        </w:rPr>
        <w:t>богарных землях - сорняк зерновых. В условиях низкой агротехники стабильно поддерживается высокая плотность. Ядовитое растение, содержит алкалоиды. Защитные мероприятия: глубокая обработка почвы в засушливый период, мелкое измельчение отрезков корневищ и г</w:t>
      </w:r>
      <w:r>
        <w:rPr>
          <w:sz w:val="28"/>
          <w:szCs w:val="28"/>
        </w:rPr>
        <w:t>лубокая их заделка ранней весной или поздней осенью[6].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Софоры - алкалоидные растения. Из софоры лисохвостной выделены: софоридин C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26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O, софорамин C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софокарпин C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24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(А. П. Орехов, Н. Ф. Проскурнина, 1934), алоперин C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24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из софоры тол</w:t>
      </w:r>
      <w:r>
        <w:rPr>
          <w:sz w:val="28"/>
          <w:szCs w:val="28"/>
        </w:rPr>
        <w:t>стоплодной - софокарпин, пахикарпин C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26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софорамин, пахикарпидин С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• Н2О (М. С. Рабинович, 1954); из софоры желтоватой - пахикарпин, матрин; из софоры Гриффита - пахикарпин (1,4%) и цитизин C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(0,13%) (А. П. Яковлева, П. С. Массагетов, 1</w:t>
      </w:r>
      <w:r>
        <w:rPr>
          <w:sz w:val="28"/>
          <w:szCs w:val="28"/>
        </w:rPr>
        <w:t>960). В софоре желтоватой в стадии плодоношения и после спадания плодов в листьях и семенах найдены примерно одинаковые количества алкалоидов (около 4,65% в листьях, 5,39% в семенах)[6].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 софора насчитывает 62 вида , наиболее известна софора японская- к</w:t>
      </w:r>
      <w:r>
        <w:rPr>
          <w:sz w:val="28"/>
          <w:szCs w:val="28"/>
        </w:rPr>
        <w:t>рупное листопадное дерево семейства бобовых, в высоту достигающее 25-30 метров. У него мощная корневая система, ветвистые стебли и широкая крона. Листья непарноперистые, эллиптической формы, растут парами. Стебли и листочки опушены светлыми прижатыми волос</w:t>
      </w:r>
      <w:r>
        <w:rPr>
          <w:sz w:val="28"/>
          <w:szCs w:val="28"/>
        </w:rPr>
        <w:t>ками. Цветки желтоватые, мотыльковые, собраны в густые верхушечные кисти. Плоды - слегка перетянутые булавовидные бобы. В плодах созревает 3-6 семян красноватого или черного цвета.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Цветет софора в июле-августе, плоды созревают в сентябре-октябре, не опадаю</w:t>
      </w:r>
      <w:r>
        <w:rPr>
          <w:sz w:val="28"/>
          <w:szCs w:val="28"/>
        </w:rPr>
        <w:t>т с ветвей всю зиму. Растение распространено в Китае, Японии, Вьетнаме, Закавказье, Средней Азии, на юге Украины.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софоре японской содержится большое количество алкалоидов: в листьях - 3 %, в семенах - 4 %, в корнях 2-3 %. Они-то и формируют основу химиче</w:t>
      </w:r>
      <w:r>
        <w:rPr>
          <w:sz w:val="28"/>
          <w:szCs w:val="28"/>
        </w:rPr>
        <w:t>ского состава растения. Кроме того, в корнях присутствуют красящие вещества фенольного характера, в семенах - до 6 % жирного масла. Также из разных частей софоры выделены такие биоактивные вещества как кемпферол, кверцетин, флавоноиды, органические кислоты</w:t>
      </w:r>
      <w:r>
        <w:rPr>
          <w:sz w:val="28"/>
          <w:szCs w:val="28"/>
        </w:rPr>
        <w:t xml:space="preserve"> и витамин C. Алкалоидный состав надземной части растения изучен наиболее хорошо. В листьях и плодах софоры обнаружены алкалоиды пахикарпин, матрин, софокарпин и другие вещества. К примеру, пахикарпин усиливает сокращение гладкой мускулатуры матки и улучша</w:t>
      </w:r>
      <w:r>
        <w:rPr>
          <w:sz w:val="28"/>
          <w:szCs w:val="28"/>
        </w:rPr>
        <w:t>ет функциональную активность мышечной системы[9].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Кроме того, в цветках растения был выявлен рутин, обладающий свойствами витамина P. Это вещество хорошо понижает хрупкость капилляров, поэтому незаменимо при лечении сахарного диабета, сыпного тифа и кори. </w:t>
      </w:r>
      <w:r>
        <w:rPr>
          <w:sz w:val="28"/>
          <w:szCs w:val="28"/>
        </w:rPr>
        <w:t>Врачи некоторых стран Юго-Восточной Азии предполагают, что приготовленные особым образом цветки растения способны предупреждать возникновение инсульта, поскольку вещества, содержащиеся в них, эффективно укрепляют стенки кровеносных сосудов и снижают кровян</w:t>
      </w:r>
      <w:r>
        <w:rPr>
          <w:sz w:val="28"/>
          <w:szCs w:val="28"/>
        </w:rPr>
        <w:t>ое давление[9].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Sophora toromiro</w:t>
      </w:r>
      <w:r>
        <w:rPr>
          <w:sz w:val="28"/>
          <w:szCs w:val="28"/>
        </w:rPr>
        <w:t xml:space="preserve"> прежде был широко распространенным деревом в лесах на востоке острова Пасхи. Дерево пало жертвой вырубки лесов на острове доXVIII века и после этого сталовымирающим видом. Сейчас дерево повторно внедряется на острове в ходе</w:t>
      </w:r>
      <w:r>
        <w:rPr>
          <w:sz w:val="28"/>
          <w:szCs w:val="28"/>
        </w:rPr>
        <w:t xml:space="preserve"> научного проекта, частично сопровождаемом Королевскими ботаническими садами в Кью и ботаническим садом Гётеборга, где оставшиеся только там растения начали размножаться с 1960 года из экземпляров, собранных Туром Хейердалом. В бывшем СССР род софора предс</w:t>
      </w:r>
      <w:r>
        <w:rPr>
          <w:sz w:val="28"/>
          <w:szCs w:val="28"/>
        </w:rPr>
        <w:t>тавлен 3 травянистыми видами, произрастающими на юге Западной Сибири, Средней Азии и в Восточной Сибири, а также на территории Монголии и Китая. Это софора лисохвостная, софора желтоватая и софора толстоплодная. Все они являются злостными сорняками и распр</w:t>
      </w:r>
      <w:r>
        <w:rPr>
          <w:sz w:val="28"/>
          <w:szCs w:val="28"/>
        </w:rPr>
        <w:t>остраняются с невероятной быстротой, осваивая все новые территории. На Алтай они могут проникать, как со стороны Казахстана, так и с Монголии и Китая.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три вида относятся к ядовитым растениям и содержат алкалоиды от 2,5 до 3 %, основной из них - пахикар</w:t>
      </w:r>
      <w:r>
        <w:rPr>
          <w:sz w:val="28"/>
          <w:szCs w:val="28"/>
        </w:rPr>
        <w:t>пин[9].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Материалы и методы исследования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Материал исследования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данной курсовой работы являеются семена софоры лисохвостой , собранные в городе Саратове в районе шестого квартала , на железной дороге в сентябре 2013 года.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ис</w:t>
      </w:r>
      <w:r>
        <w:rPr>
          <w:sz w:val="28"/>
          <w:szCs w:val="28"/>
        </w:rPr>
        <w:t>следования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всхожести и энергии прорастания семян проводились по методике М.С.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Зориной и С.П.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Кабанова . Семена проращивали в чашках Петри на однослойной фильтровальной бумаги, смоченной дистиллированной водой при температуре + 27 градусов. О</w:t>
      </w:r>
      <w:r>
        <w:rPr>
          <w:sz w:val="28"/>
          <w:szCs w:val="28"/>
        </w:rPr>
        <w:t>пределение веса 100 семян проводили в соответствии с методикой С.С. Лищук . Статистическую обработку вели по методике Л.Н.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Удольской</w:t>
      </w:r>
      <w:r>
        <w:rPr>
          <w:sz w:val="28"/>
          <w:szCs w:val="28"/>
          <w:lang w:val="en-US"/>
        </w:rPr>
        <w:t xml:space="preserve"> [16]</w:t>
      </w:r>
      <w:r>
        <w:rPr>
          <w:sz w:val="28"/>
          <w:szCs w:val="28"/>
        </w:rPr>
        <w:t xml:space="preserve"> 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Изучение лабораторной всхожести и качественная оценка семян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всхожести устанавливался отношением нормаль</w:t>
      </w:r>
      <w:r>
        <w:rPr>
          <w:sz w:val="28"/>
          <w:szCs w:val="28"/>
        </w:rPr>
        <w:t>но проросших семян к общему их количеству, взятому для проращивания.</w:t>
      </w:r>
    </w:p>
    <w:p w:rsidR="00000000" w:rsidRDefault="00E4620B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Энергией прорастания называется дружность прорастания семян, определяемая процентом нормально проросших семян за минимальный срок, установленный для каждой культуры. При дружном прорастан</w:t>
      </w:r>
      <w:r>
        <w:rPr>
          <w:sz w:val="28"/>
          <w:szCs w:val="28"/>
        </w:rPr>
        <w:t>ии ростки лучше преодолевают сопротивление слоя почвы, покрывающего семена.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энергии прорастания и всхожести семян ставились опыты в соответствии с общепринятой в семеноводстве методикой.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всхожести семян из навески, отсчитыва</w:t>
      </w:r>
      <w:r>
        <w:rPr>
          <w:sz w:val="28"/>
          <w:szCs w:val="28"/>
        </w:rPr>
        <w:t>ли 3 пробы из 100 семян изучаемого вида. Семена проращивали в продезинфицированных этиловым спиртом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ГОСТ 5962-67 чашках Петри на свету в комнатных условиях при температуре 21-23С.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проращивания семян применяли белую фильтровальную бумагу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ГОСТ 1202</w:t>
      </w:r>
      <w:r>
        <w:rPr>
          <w:sz w:val="28"/>
          <w:szCs w:val="28"/>
        </w:rPr>
        <w:t>6-76, предварительно нарезанную соответственно размеру посуды и уложенную в два слоя и увлажненную до полной влагоемкости. Семена размещались нами равномерно, на расстоянии 0,5 см.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проращивании семян соблюдали следующие условия: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Проверяли состояние у</w:t>
      </w:r>
      <w:r>
        <w:rPr>
          <w:sz w:val="28"/>
          <w:szCs w:val="28"/>
        </w:rPr>
        <w:t>влажнения ложа, не допуская подсыхания и переувлажнения.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полива применяли пипетку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ГОСТ 20292-74 и холодную кипяченую воду.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Ежедневно проводили вентиляцию, на несколько секунд приоткрывая крышки чашек Петри.</w:t>
      </w:r>
    </w:p>
    <w:p w:rsidR="00000000" w:rsidRDefault="00E4620B">
      <w:pPr>
        <w:tabs>
          <w:tab w:val="left" w:pos="52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мы проводили учет всхожести </w:t>
      </w:r>
      <w:r>
        <w:rPr>
          <w:sz w:val="28"/>
          <w:szCs w:val="28"/>
        </w:rPr>
        <w:t>семян: удаляли все нормально и ненормально проросшие семена, а также загнившие семена. При подсчете всхожести отдельно учитывали нормально проросшие, набухшие, твердые, загнившие и ненормально проросшие семена.</w:t>
      </w:r>
    </w:p>
    <w:p w:rsidR="00000000" w:rsidRDefault="00E4620B">
      <w:pPr>
        <w:pStyle w:val="8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подсчете энергии прорастания удаляли семе</w:t>
      </w:r>
      <w:r>
        <w:rPr>
          <w:sz w:val="28"/>
          <w:szCs w:val="28"/>
        </w:rPr>
        <w:t>на нормально проросшие и явно загнившие.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всхожести семян вычисляли по среднему арифметическому показателю пробы.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опыта.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закладки - 2.03.14. , Количество семян в пробах - 100.</w:t>
      </w: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tabs>
          <w:tab w:val="left" w:pos="84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749"/>
        <w:gridCol w:w="1878"/>
        <w:gridCol w:w="17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проросших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набухших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з</w:t>
            </w:r>
            <w:r>
              <w:rPr>
                <w:sz w:val="20"/>
                <w:szCs w:val="20"/>
              </w:rPr>
              <w:t>агнивших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10.03.14.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проросших семян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набухших семян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сгнивших семян</w:t>
            </w:r>
          </w:p>
        </w:tc>
      </w:tr>
    </w:tbl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таблице №1 можно сделать вывод</w:t>
      </w:r>
      <w:r>
        <w:rPr>
          <w:sz w:val="28"/>
          <w:szCs w:val="28"/>
        </w:rPr>
        <w:t xml:space="preserve"> , что из 100 семян проросло только 22 семени , это меньше 30%.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.4 Морфометрические параметры софоры лисохвостой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проводился по методике С.М. Панченко, измерялись параметры 10 особей из популяции. Затем определяли среднее арифметическое каждого пап</w:t>
      </w:r>
      <w:r>
        <w:rPr>
          <w:sz w:val="28"/>
          <w:szCs w:val="28"/>
        </w:rPr>
        <w:t>аметра.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 исследуемых особей измерялись следующие морфометрические параметры: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высота побега; - число междоузлий ;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Lm</w:t>
      </w:r>
      <w:r>
        <w:rPr>
          <w:sz w:val="28"/>
          <w:szCs w:val="28"/>
        </w:rPr>
        <w:t xml:space="preserve"> - длина междоузлия ;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 длина листа ;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Wh</w:t>
      </w:r>
      <w:r>
        <w:rPr>
          <w:sz w:val="28"/>
          <w:szCs w:val="28"/>
        </w:rPr>
        <w:t xml:space="preserve"> - ширина листа ;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1+ - число цветков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особь принималось выросшее из семени растения или ук</w:t>
      </w:r>
      <w:r>
        <w:rPr>
          <w:sz w:val="28"/>
          <w:szCs w:val="28"/>
        </w:rPr>
        <w:t>оренившийся побег.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208"/>
        <w:gridCol w:w="208"/>
        <w:gridCol w:w="466"/>
        <w:gridCol w:w="466"/>
        <w:gridCol w:w="416"/>
        <w:gridCol w:w="466"/>
        <w:gridCol w:w="466"/>
        <w:gridCol w:w="466"/>
        <w:gridCol w:w="416"/>
        <w:gridCol w:w="466"/>
        <w:gridCol w:w="466"/>
        <w:gridCol w:w="14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4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Номер особей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Сред.арифмет.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57c</w:t>
            </w:r>
            <w:r>
              <w:rPr>
                <w:sz w:val="20"/>
                <w:szCs w:val="20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Nm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62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</w:tbl>
    <w:p w:rsidR="00000000" w:rsidRDefault="00E462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Семена софоры лисохвостной обладают низкой лабороторной всхожестью (меньше 30%);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Софора лисохвостная является ядовитым растением ;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 перспективе необходимо выявить методы борьбы с софорой.</w:t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4620B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E462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</w:t>
      </w:r>
      <w:r>
        <w:rPr>
          <w:sz w:val="28"/>
          <w:szCs w:val="28"/>
        </w:rPr>
        <w:t>льзуемых источников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Жуковский П.М. Ботаника. - М.: Колос, 2002. - 623 с.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Лотова Л.И. Морфология и анатомия высших растений. - М.: КомКнига, 2007. - 510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Костромина, О.А. Оценка видового разнообразия железнодорожных насыпей в окрестностях г.Братска[Те</w:t>
      </w:r>
      <w:r>
        <w:rPr>
          <w:sz w:val="28"/>
          <w:szCs w:val="28"/>
        </w:rPr>
        <w:t xml:space="preserve">кст]/ О.А. Костромина, М.А. Губарь//Сборник материалов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) Всероссийской научно-технической конференции "Молодая мысль: Наука. Технологии. Инновации"/. Братск: изд-во ФГБОУ ВПО "БрГУ". - 2013. - С.77-79.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Рунова, Е.М. Воздействие антропогенных факторов</w:t>
      </w:r>
      <w:r>
        <w:rPr>
          <w:sz w:val="28"/>
          <w:szCs w:val="28"/>
        </w:rPr>
        <w:t xml:space="preserve"> на древесно-кустарниковую растительность г. Братска /Е.М. Рунова, Л.В. Аношкина - Красноярск: Вестник Красноярского государственного аграрного университета. - 2010.- № 6. - С.76-81.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Миркин Б. М., Наумова Л. Г. </w:t>
      </w:r>
      <w:r>
        <w:rPr>
          <w:sz w:val="28"/>
          <w:szCs w:val="28"/>
        </w:rPr>
        <w:t>Адвентизация растительности в призме идей с</w:t>
      </w:r>
      <w:r>
        <w:rPr>
          <w:sz w:val="28"/>
          <w:szCs w:val="28"/>
        </w:rPr>
        <w:t>овременной экологии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Журн. общей биологии. - 2002. - Т. 63, № 6. - С. 500-508.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Суворов В.В., Воронов И.Н. Ботаника с основами геоботаники. - Л.: Колос, 1979. - 560 с.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Тутаюк В.Х. Анатомия и морфология растений. - М.: Высш. шк</w:t>
      </w:r>
      <w:r>
        <w:rPr>
          <w:sz w:val="28"/>
          <w:szCs w:val="28"/>
        </w:rPr>
        <w:t>., 2006. - 317 с.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Еленевский А.Г., Соловьева М.П., Тихомиров В.Н. Ботаника. Систематика высших или наземных растений. - М.: Академия, 2004. - 432 с.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Тихомиров Ф.К. Ботаника. - М.: Высш. шк., 2008. - 439 с.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Рокицкий П.Ф. Биологическая статистика. Изд.</w:t>
      </w:r>
      <w:r>
        <w:rPr>
          <w:sz w:val="28"/>
          <w:szCs w:val="28"/>
        </w:rPr>
        <w:t xml:space="preserve"> 3-е, испр. - Минск: Вышейш. школа, 1973. - 320 с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Молчанов Е.Ф., Соболева Л.Е., Кожевников С.К. и др. Семена цветочных культур. Методы определения качества. // СССР Государственный стандарт. М.: 1965. - 52 с.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Барабанов Е.И. Ботаника: учебник для студ. </w:t>
      </w:r>
      <w:r>
        <w:rPr>
          <w:sz w:val="28"/>
          <w:szCs w:val="28"/>
        </w:rPr>
        <w:t>высш. учеб. заведений / Е.И. Барабанов, С.Г. Зайчикова. - М.: Издательский центр "Академия", 2006. - С. 185-377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Рейвн П., Эверт Р., Айкхорн С. Современная ботаника. Т. 1-2. - М.: "Мир", 1990.</w:t>
      </w:r>
    </w:p>
    <w:p w:rsidR="00000000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Жизнь растений / Под ред. А.Л. Тахтаджяна, Т. 1-6. - М.: "Пр</w:t>
      </w:r>
      <w:r>
        <w:rPr>
          <w:sz w:val="28"/>
          <w:szCs w:val="28"/>
        </w:rPr>
        <w:t>освещение", 1974-1982.</w:t>
      </w:r>
    </w:p>
    <w:p w:rsidR="00E4620B" w:rsidRDefault="00E4620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Ботанико-фармакогностический словарь: Справ. пособие / Под ред. К.Ф. Блиновой, Г.П. Яковлева. - М.: "Высшая школа", 1990.</w:t>
      </w:r>
    </w:p>
    <w:sectPr w:rsidR="00E462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80"/>
    <w:rsid w:val="007C6280"/>
    <w:rsid w:val="00E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659C8F-8465-46AB-AF22-CBAEBD1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4022</Words>
  <Characters>22927</Characters>
  <Application>Microsoft Office Word</Application>
  <DocSecurity>0</DocSecurity>
  <Lines>191</Lines>
  <Paragraphs>53</Paragraphs>
  <ScaleCrop>false</ScaleCrop>
  <Company/>
  <LinksUpToDate>false</LinksUpToDate>
  <CharactersWithSpaces>26896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2025-04-13T05:33:00Z</dcterms:created>
  <dcterms:modified xsi:type="dcterms:W3CDTF">2025-04-13T05:33:00Z</dcterms:modified>
</cp:coreProperties>
</file>