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3D2A8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ДВНЗ «Криворізький національний університет»</w:t>
      </w:r>
    </w:p>
    <w:p w:rsidR="00000000" w:rsidRDefault="003D2A8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Криворізький педагогічний інститут</w:t>
      </w:r>
    </w:p>
    <w:p w:rsidR="00000000" w:rsidRDefault="003D2A8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3D2A8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3D2A8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3D2A8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3D2A8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3D2A8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3D2A8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3D2A8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3D2A8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3D2A8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3D2A8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3D2A8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3D2A8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Виявлення залежності стимулюючого ефекту </w:t>
      </w:r>
      <w:r>
        <w:rPr>
          <w:rFonts w:ascii="Times New Roman" w:hAnsi="Times New Roman" w:cs="Times New Roman"/>
          <w:sz w:val="28"/>
          <w:szCs w:val="28"/>
          <w:lang w:val="uk-UA"/>
        </w:rPr>
        <w:t>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-індолілоцтової кислоти від її концентрації</w:t>
      </w:r>
    </w:p>
    <w:p w:rsidR="00000000" w:rsidRDefault="003D2A8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3D2A8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3D2A8D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3D2A8D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І. Коваленко, В.В. Перерва</w:t>
      </w:r>
    </w:p>
    <w:p w:rsidR="00000000" w:rsidRDefault="003D2A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3D2A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:rsidR="00000000" w:rsidRDefault="003D2A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Регулятори росту знаходять все більше застос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ування в сучасних технологіях виробництва продукції рослинництва. До них належать природні і синтетичні органічні сполуки, які у малих дозах активно впливають на обмін речовин рослин, викликаючи стимуляцію або пригнічення їх росту і морфогенезу [4].</w:t>
      </w:r>
    </w:p>
    <w:p w:rsidR="00000000" w:rsidRDefault="003D2A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Ауксин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и належать до фітогормонів, які необхідні на всіх фазах росту клітини: ділення, розтягнення та диференціації. Основним представником цього класу є </w:t>
      </w:r>
      <w:r>
        <w:rPr>
          <w:rFonts w:ascii="Times New Roman" w:hAnsi="Times New Roman" w:cs="Times New Roman"/>
          <w:sz w:val="28"/>
          <w:szCs w:val="28"/>
          <w:lang w:val="uk-UA"/>
        </w:rPr>
        <w:t>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-індолілоцтова кислота (ІОК) [2]. Її синтез найбільш інтенсивно проходить в апікальній меристемі з амінокисл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оти триптофан. В рослинних тканинах транспорт ІОК здійснюється полярно від верхівки пагона до кореня по провідним пучкам зі швидкістю 10-15 мм / ч. </w:t>
      </w:r>
    </w:p>
    <w:p w:rsidR="00000000" w:rsidRDefault="003D2A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Проникаючи в клітини, ІОК зв'язується зі специфічними рецепторами, що роблять вплив на функціональну актив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ність мембран, полірібосом [1, 3].</w:t>
      </w:r>
    </w:p>
    <w:p w:rsidR="00000000" w:rsidRDefault="003D2A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Ауксини регулюють утворення і зростання коренів. Дія ауксину, як і інших фітогормонів залежить від концентрації. Збільшення концентрації ауксину вище оптимальної призводить до сповільнення росту [2].</w:t>
      </w:r>
    </w:p>
    <w:p w:rsidR="00000000" w:rsidRDefault="003D2A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Метою даної роботи бу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ло виявлення впливу різних концентрацій розчину регулятору росту рослин </w:t>
      </w:r>
      <w:r>
        <w:rPr>
          <w:rFonts w:ascii="Times New Roman" w:hAnsi="Times New Roman" w:cs="Times New Roman"/>
          <w:sz w:val="28"/>
          <w:szCs w:val="28"/>
          <w:lang w:val="uk-UA"/>
        </w:rPr>
        <w:t>β-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індолілоцтової кислоти (ІОК, гетероауксину) на морфометричні показники проростків.</w:t>
      </w:r>
    </w:p>
    <w:p w:rsidR="00000000" w:rsidRDefault="003D2A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mallCap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Об’єктом дослідження є проростки як однодольних рослин: Triticum aestivum</w:t>
      </w:r>
      <w:r>
        <w:rPr>
          <w:rFonts w:ascii="Calibri" w:hAnsi="Calibri" w:cs="Calibri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mallCaps/>
          <w:sz w:val="28"/>
          <w:szCs w:val="28"/>
          <w:lang w:val="uk-UA"/>
        </w:rPr>
        <w:t xml:space="preserve">L.,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так і дводольних: Rap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hanus sativus L. та Brassica juncea </w:t>
      </w:r>
      <w:r>
        <w:rPr>
          <w:rFonts w:ascii="Times New Roman CYR" w:hAnsi="Times New Roman CYR" w:cs="Times New Roman CYR"/>
          <w:smallCaps/>
          <w:sz w:val="28"/>
          <w:szCs w:val="28"/>
          <w:lang w:val="uk-UA"/>
        </w:rPr>
        <w:t xml:space="preserve">(L.)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Czern</w:t>
      </w:r>
      <w:r>
        <w:rPr>
          <w:rFonts w:ascii="Times New Roman CYR" w:hAnsi="Times New Roman CYR" w:cs="Times New Roman CYR"/>
          <w:smallCaps/>
          <w:sz w:val="28"/>
          <w:szCs w:val="28"/>
          <w:lang w:val="uk-UA"/>
        </w:rPr>
        <w:t>.</w:t>
      </w:r>
    </w:p>
    <w:p w:rsidR="00000000" w:rsidRDefault="003D2A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Морфометричні дослідження рослин проводилися за загальноприйнятими методиками [1].</w:t>
      </w:r>
      <w:r>
        <w:rPr>
          <w:rFonts w:ascii="Times New Roman CYR" w:hAnsi="Times New Roman CYR" w:cs="Times New Roman CYR"/>
          <w:smallCaps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Враховували частку пророслого насіння та довжину кореня та пагону.</w:t>
      </w:r>
    </w:p>
    <w:p w:rsidR="00000000" w:rsidRDefault="003D2A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На основі отриманих даних в ході експерименту розраховано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стимулюючий ефект (табл. 1) для варіантів досліду, за формулою:</w:t>
      </w:r>
    </w:p>
    <w:p w:rsidR="00000000" w:rsidRDefault="003D2A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A6685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>
            <wp:extent cx="1152525" cy="428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2A8D">
        <w:rPr>
          <w:rFonts w:ascii="Times New Roman CYR" w:hAnsi="Times New Roman CYR" w:cs="Times New Roman CYR"/>
          <w:sz w:val="28"/>
          <w:szCs w:val="28"/>
          <w:lang w:val="uk-UA"/>
        </w:rPr>
        <w:t>,</w:t>
      </w:r>
    </w:p>
    <w:p w:rsidR="00000000" w:rsidRDefault="003D2A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</w:p>
    <w:p w:rsidR="00000000" w:rsidRDefault="003D2A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де Е - стимулюючий ефект;</w:t>
      </w:r>
    </w:p>
    <w:p w:rsidR="00000000" w:rsidRDefault="003D2A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k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 величина тест-реакції у контрольній пробі;</w:t>
      </w:r>
    </w:p>
    <w:p w:rsidR="00000000" w:rsidRDefault="003D2A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  <w:vertAlign w:val="subscript"/>
          <w:lang w:val="uk-UA"/>
        </w:rPr>
        <w:t>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- величина тест-реакції у досліджуваній пробі.</w:t>
      </w:r>
    </w:p>
    <w:p w:rsidR="00000000" w:rsidRDefault="003D2A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Аналіз даних стимулюючого 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фекту гетероауксину виявив, що найкращий ефект чинять розчини з порівняно низькою концентрацією діючої речовини (10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uk-UA"/>
        </w:rPr>
        <w:t>-5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та 10</w:t>
      </w:r>
      <w:r>
        <w:rPr>
          <w:rFonts w:ascii="Times New Roman CYR" w:hAnsi="Times New Roman CYR" w:cs="Times New Roman CYR"/>
          <w:sz w:val="28"/>
          <w:szCs w:val="28"/>
          <w:vertAlign w:val="superscript"/>
          <w:lang w:val="uk-UA"/>
        </w:rPr>
        <w:t>-6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). А збільшення концентрації гетероауксину призводить навіть до значного гальмування ростових процесів.</w:t>
      </w:r>
    </w:p>
    <w:p w:rsidR="00000000" w:rsidRDefault="003D2A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3D2A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Таблиця 1</w:t>
      </w:r>
    </w:p>
    <w:p w:rsidR="00000000" w:rsidRDefault="003D2A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Морфометричні по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казники проростків Triticum aestivum</w:t>
      </w:r>
      <w:r>
        <w:rPr>
          <w:rFonts w:ascii="Calibri" w:hAnsi="Calibri" w:cs="Calibri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mallCaps/>
          <w:sz w:val="28"/>
          <w:szCs w:val="28"/>
          <w:lang w:val="uk-UA"/>
        </w:rPr>
        <w:t xml:space="preserve">L.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Raphanus sativus L. і Brassica juncea </w:t>
      </w:r>
      <w:r>
        <w:rPr>
          <w:rFonts w:ascii="Times New Roman CYR" w:hAnsi="Times New Roman CYR" w:cs="Times New Roman CYR"/>
          <w:smallCaps/>
          <w:sz w:val="28"/>
          <w:szCs w:val="28"/>
          <w:lang w:val="uk-UA"/>
        </w:rPr>
        <w:t>(L.)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Czern</w:t>
      </w:r>
      <w:r>
        <w:rPr>
          <w:rFonts w:ascii="Times New Roman CYR" w:hAnsi="Times New Roman CYR" w:cs="Times New Roman CYR"/>
          <w:smallCaps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та стимулюючий вплив ІОК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1094"/>
        <w:gridCol w:w="1334"/>
        <w:gridCol w:w="1120"/>
        <w:gridCol w:w="979"/>
        <w:gridCol w:w="1662"/>
        <w:gridCol w:w="119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Об’єкт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Конц. ІОК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Проросле насіння, %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Пагін, мм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Корінь, мм</w:t>
            </w:r>
          </w:p>
        </w:tc>
        <w:tc>
          <w:tcPr>
            <w:tcW w:w="28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Стимулюючий ефект (Е),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Е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  <w:lang w:val="uk-UA"/>
              </w:rPr>
              <w:t>пагін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Е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bscript"/>
                <w:lang w:val="uk-UA"/>
              </w:rPr>
              <w:t>корінь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Triticum aestivum</w:t>
            </w:r>
            <w:r>
              <w:rPr>
                <w:rFonts w:ascii="Calibri" w:hAnsi="Calibri" w:cs="Calibri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 CYR" w:hAnsi="Times New Roman CYR" w:cs="Times New Roman CYR"/>
                <w:smallCaps/>
                <w:sz w:val="20"/>
                <w:szCs w:val="20"/>
                <w:lang w:val="uk-UA"/>
              </w:rPr>
              <w:t>L.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uk-UA"/>
              </w:rPr>
              <w:t>-2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45,0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61,53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11,8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60,14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19,83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uk-UA"/>
              </w:rPr>
              <w:t>-3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45,0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77,72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34,25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75,96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57,56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uk-UA"/>
              </w:rPr>
              <w:t>-4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65,0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102,15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58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99,84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97,47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10 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uk-UA"/>
              </w:rPr>
              <w:t>-5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65,0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104,85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60,66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102,48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101,94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uk-UA"/>
              </w:rPr>
              <w:t>-6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42,5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106,11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68,94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103,71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115,86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Контроль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47,5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102,31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59,5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Raphanus sativus L.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uk-UA"/>
              </w:rPr>
              <w:t>-2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42,5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21,41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9,7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72,57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22,08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uk-UA"/>
              </w:rPr>
              <w:t>-3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35,0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32,42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15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109,89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34,15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uk-UA"/>
              </w:rPr>
              <w:t>-4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67,5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27,62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47,11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93,62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107,26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10 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uk-UA"/>
              </w:rPr>
              <w:t>-5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35,0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30,28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48,35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102,64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110,08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uk-UA"/>
              </w:rPr>
              <w:t>-6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40,0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24,5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28,18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83,05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64,16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Контроль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67,5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29,5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43,92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Brassica juncea </w:t>
            </w:r>
            <w:r>
              <w:rPr>
                <w:rFonts w:ascii="Times New Roman CYR" w:hAnsi="Times New Roman CYR" w:cs="Times New Roman CYR"/>
                <w:smallCaps/>
                <w:sz w:val="20"/>
                <w:szCs w:val="20"/>
                <w:lang w:val="uk-UA"/>
              </w:rPr>
              <w:t xml:space="preserve">(L.)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Czern</w:t>
            </w:r>
            <w:r>
              <w:rPr>
                <w:rFonts w:ascii="Times New Roman CYR" w:hAnsi="Times New Roman CYR" w:cs="Times New Roman CYR"/>
                <w:smallCaps/>
                <w:sz w:val="20"/>
                <w:szCs w:val="20"/>
                <w:lang w:val="uk-UA"/>
              </w:rPr>
              <w:t>.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uk-UA"/>
              </w:rPr>
              <w:t>-2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47,5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17,52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7,6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111,59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36,89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uk-UA"/>
              </w:rPr>
              <w:t>-3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45,0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20,73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15,94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132,03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77,37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uk-UA"/>
              </w:rPr>
              <w:t>-4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75,0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18,83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23,8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119,93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115,53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10 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uk-UA"/>
              </w:rPr>
              <w:t>-5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42,5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21,88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27,05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139,36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131,31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  <w:lang w:val="uk-UA"/>
              </w:rPr>
              <w:t>-6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32,5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20,38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21,23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129,8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103,05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Контроль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25,0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15,7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20,6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3D2A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-</w:t>
            </w:r>
          </w:p>
        </w:tc>
      </w:tr>
    </w:tbl>
    <w:p w:rsidR="00000000" w:rsidRDefault="003D2A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фітогормон морфогенез проросток рослина</w:t>
      </w:r>
    </w:p>
    <w:p w:rsidR="00000000" w:rsidRDefault="003D2A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Гетероауксин (</w:t>
      </w:r>
      <w:r>
        <w:rPr>
          <w:rFonts w:ascii="Times New Roman" w:hAnsi="Times New Roman" w:cs="Times New Roman"/>
          <w:sz w:val="28"/>
          <w:szCs w:val="28"/>
          <w:lang w:val="uk-UA"/>
        </w:rPr>
        <w:t>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-індолілоцтова кислота) ві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дноситься до групи стимуляторів росту, що впливають перш за все на функціонування апікальної меристеми. Особливістю дії даної речовини, як і для переважної більшості фітогормонів, є залежність стимулюючого ефекту від концентрації діючої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речовини. Причому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рослідковується така загальна залежність: найкращий стимулюючий ефект чинять розчини з порівняно низькою концентрацією, а її збільшення призводить навіть до гальмівного впливу на ріст проростків. Дана залежність характерна як для проростків дводольних, так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і однодольних рослин.</w:t>
      </w:r>
    </w:p>
    <w:p w:rsidR="00000000" w:rsidRDefault="003D2A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3D2A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br w:type="page"/>
      </w:r>
    </w:p>
    <w:p w:rsidR="00000000" w:rsidRDefault="003D2A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Список використаної літератури:</w:t>
      </w:r>
    </w:p>
    <w:p w:rsidR="00000000" w:rsidRDefault="003D2A8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</w:p>
    <w:p w:rsidR="00000000" w:rsidRDefault="003D2A8D">
      <w:pPr>
        <w:widowControl w:val="0"/>
        <w:tabs>
          <w:tab w:val="left" w:pos="28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Бессонова В.П. Практикум з фізіології рослин </w:t>
      </w:r>
      <w:r>
        <w:rPr>
          <w:rFonts w:ascii="Times New Roman CYR" w:hAnsi="Times New Roman CYR" w:cs="Times New Roman CYR"/>
          <w:sz w:val="28"/>
          <w:szCs w:val="28"/>
        </w:rPr>
        <w:t xml:space="preserve">[текст]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/ В.П. Бессонова. Дніпропетровськ: РВВДДАУ, 2006. - 316 с.</w:t>
      </w:r>
    </w:p>
    <w:p w:rsidR="00000000" w:rsidRDefault="003D2A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Регулятори роста растений </w:t>
      </w:r>
      <w:r>
        <w:rPr>
          <w:rFonts w:ascii="Times New Roman CYR" w:hAnsi="Times New Roman CYR" w:cs="Times New Roman CYR"/>
          <w:sz w:val="28"/>
          <w:szCs w:val="28"/>
        </w:rPr>
        <w:t xml:space="preserve">[текст]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/ [Гамбург К.З., Кулаева О.Н., Муромцев Г.С.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 др.] ;под. ред. Г.С. Муромцева. - М.: Колос, 1979. - 246 с.</w:t>
      </w:r>
    </w:p>
    <w:p w:rsidR="00000000" w:rsidRDefault="003D2A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Захарычев В.В. Гербициды и регулятори роста растений </w:t>
      </w:r>
      <w:r>
        <w:rPr>
          <w:rFonts w:ascii="Times New Roman CYR" w:hAnsi="Times New Roman CYR" w:cs="Times New Roman CYR"/>
          <w:sz w:val="28"/>
          <w:szCs w:val="28"/>
        </w:rPr>
        <w:t xml:space="preserve">[текст]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/ В.В. Захарычев. - М.: РХТУ им. Д.И.Менделеева, 2007. - 204 с.</w:t>
      </w:r>
    </w:p>
    <w:p w:rsidR="003D2A8D" w:rsidRDefault="003D2A8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Фізіологія рослин: практикум [текст] / [Войцехівська О.В., Капуст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ян А.В., Косик О.І. та ін.] за заг.ред. Т.В. Паршикової - Луцьк: Терен, 2010. - 420 с.</w:t>
      </w:r>
    </w:p>
    <w:sectPr w:rsidR="003D2A8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859"/>
    <w:rsid w:val="003D2A8D"/>
    <w:rsid w:val="00A6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86DBE12-035C-4B65-AA85-DD8F31D5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654</Words>
  <Characters>3733</Characters>
  <Application>Microsoft Office Word</Application>
  <DocSecurity>0</DocSecurity>
  <Lines>31</Lines>
  <Paragraphs>8</Paragraphs>
  <ScaleCrop>false</ScaleCrop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2025-04-13T05:45:00Z</dcterms:created>
  <dcterms:modified xsi:type="dcterms:W3CDTF">2025-04-13T05:45:00Z</dcterms:modified>
</cp:coreProperties>
</file>