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0016" w14:textId="77777777" w:rsidR="00000000" w:rsidRDefault="00CE390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Искусство критики: исцелять, не раня</w:t>
      </w:r>
    </w:p>
    <w:p w14:paraId="7956169E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Критика относится к числу конфликтогенов и является острым оружием: она больно ранит самолюбие критикуемого и может привести к конфликтам во в</w:t>
      </w:r>
      <w:r>
        <w:rPr>
          <w:color w:val="000000"/>
          <w:sz w:val="24"/>
          <w:szCs w:val="24"/>
        </w:rPr>
        <w:t>заимоотношениях с людьми. Следующие девять практических советов помогут вам избежать ада неприязненных отношений.</w:t>
      </w:r>
    </w:p>
    <w:p w14:paraId="76AEA84D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Критика является острым оружием во взаимоотношениях людей. При всей ее необходимости не следует забывать, что критика, особенно если она бесце</w:t>
      </w:r>
      <w:r>
        <w:rPr>
          <w:color w:val="000000"/>
          <w:sz w:val="24"/>
          <w:szCs w:val="24"/>
        </w:rPr>
        <w:t xml:space="preserve">ремонна, больно ранит самолюбие критикуемого. При этом человек может быть настолько выбит из колеи, что становится временно неработоспособным. Это тот случай, про который говорят: «Благими намерениями вымощен путь в ад». В данном случае — ад неприязненных </w:t>
      </w:r>
      <w:r>
        <w:rPr>
          <w:color w:val="000000"/>
          <w:sz w:val="24"/>
          <w:szCs w:val="24"/>
        </w:rPr>
        <w:t>отношений.</w:t>
      </w:r>
    </w:p>
    <w:p w14:paraId="257B8A62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неудивительно, ведь критика как таковая вообще относится к числу конфликтогенов, то есть поступков или высказываний, могущих привести к конфликту.</w:t>
      </w:r>
    </w:p>
    <w:p w14:paraId="0F78A78C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защититься от эмоциональной раны, первая мысль многих в ответ на критику — это </w:t>
      </w:r>
      <w:r>
        <w:rPr>
          <w:color w:val="000000"/>
          <w:sz w:val="24"/>
          <w:szCs w:val="24"/>
        </w:rPr>
        <w:t>найти предмет критики не в себе, а в критикующем: в его предвзятом отношении, плохом настроении («не с той ноги встал»), попытке найти «козла отпущения» и т.п.</w:t>
      </w:r>
    </w:p>
    <w:p w14:paraId="22C06673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избежать этих отрицательных моментов, необходимо исполнять определенные правила. Поскольку</w:t>
      </w:r>
      <w:r>
        <w:rPr>
          <w:color w:val="000000"/>
          <w:sz w:val="24"/>
          <w:szCs w:val="24"/>
        </w:rPr>
        <w:t xml:space="preserve"> многие ищут прежде всего объективные и уважительные для себя причины и не склонны винить себя, то, если их не выслушать, создается впечатление несправедливости критики. Поэтому: </w:t>
      </w:r>
    </w:p>
    <w:p w14:paraId="4A271348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Выслушайте объяснения (помните: 40% критики идет не по адресу). </w:t>
      </w:r>
    </w:p>
    <w:p w14:paraId="581B9243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Сохра</w:t>
      </w:r>
      <w:r>
        <w:rPr>
          <w:color w:val="000000"/>
          <w:sz w:val="24"/>
          <w:szCs w:val="24"/>
        </w:rPr>
        <w:t>няйте ровный тон (в правилах для руководящего персонала многих корпораций, фирм, предприятий есть и такое: «Во взаимоотношениях с подчиненными имейте бесконечное терпение!»).</w:t>
      </w:r>
    </w:p>
    <w:p w14:paraId="34C6FDC4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Прежде чем критиковать, найдите, за что похвалить, и похвалите. Это очень дейс</w:t>
      </w:r>
      <w:r>
        <w:rPr>
          <w:color w:val="000000"/>
          <w:sz w:val="24"/>
          <w:szCs w:val="24"/>
        </w:rPr>
        <w:t>твенный прием. Особенно желательно его применение в преддверии серьезной критики. Например, вы говорите: «Мы с вами работаем вместе (столько-то лет). Нередко ваши результаты были просто великолепны (приводите 1-2 примера). Но объясните, что происходит с по</w:t>
      </w:r>
      <w:r>
        <w:rPr>
          <w:color w:val="000000"/>
          <w:sz w:val="24"/>
          <w:szCs w:val="24"/>
        </w:rPr>
        <w:t xml:space="preserve">следним моим поручением?». </w:t>
      </w:r>
    </w:p>
    <w:p w14:paraId="5102117B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ситуации подчиненному сетовать на несправедливое, предвзятое к себе отношение нет никаких оснований — ведь он увидел, что отмечается все — и хорошее, и плохое.</w:t>
      </w:r>
    </w:p>
    <w:p w14:paraId="57658E3F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Подыскивая, за что похвалить, вы оказываете помощь не тольк</w:t>
      </w:r>
      <w:r>
        <w:rPr>
          <w:color w:val="000000"/>
          <w:sz w:val="24"/>
          <w:szCs w:val="24"/>
        </w:rPr>
        <w:t>о собеседнику, но и себе, поскольку сопоставление хорошего и плохого сделает и вашу позицию более взвешенной и более терпимой. Это облегчит выполнение двух предыдущих правил: выслушать и сохранять ровный тон. Это очень важный момент: ведь недовольство крит</w:t>
      </w:r>
      <w:r>
        <w:rPr>
          <w:color w:val="000000"/>
          <w:sz w:val="24"/>
          <w:szCs w:val="24"/>
        </w:rPr>
        <w:t>икой «съедает» значительную часть конструктивного смысла замечаний.</w:t>
      </w:r>
    </w:p>
    <w:p w14:paraId="6E0EFCAC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Критикуйте поступки, а не человека. Естественно спросить: «Чем вы объясните просчеты в вашей работе?». И наоборот, грубой ошибкой являются обобщения с переходом на личность и навешивани</w:t>
      </w:r>
      <w:r>
        <w:rPr>
          <w:color w:val="000000"/>
          <w:sz w:val="24"/>
          <w:szCs w:val="24"/>
        </w:rPr>
        <w:t>е ярлыков («бездельник», «разгильдяй», «лодырь» и т.п.). Каждый может согласиться, что он ошибся, особенно если факты налицо, но никто не согласится с тем, что он плохой человек. В последнем случае закладывается конфронтация, отдаляющая стороны от взаимопо</w:t>
      </w:r>
      <w:r>
        <w:rPr>
          <w:color w:val="000000"/>
          <w:sz w:val="24"/>
          <w:szCs w:val="24"/>
        </w:rPr>
        <w:t>нимания. Осознание же ошибки — это уже путь к ее исправлению.</w:t>
      </w:r>
    </w:p>
    <w:p w14:paraId="50004101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Не ищите «козла отпущения». Подчиненные всегда это чувствуют, как и любую другую несправедливость, хотя и не всегда имеют смелость сказать об этом руководителю. И </w:t>
      </w:r>
      <w:r>
        <w:rPr>
          <w:color w:val="000000"/>
          <w:sz w:val="24"/>
          <w:szCs w:val="24"/>
        </w:rPr>
        <w:lastRenderedPageBreak/>
        <w:t>если критикующий ищет «крайн</w:t>
      </w:r>
      <w:r>
        <w:rPr>
          <w:color w:val="000000"/>
          <w:sz w:val="24"/>
          <w:szCs w:val="24"/>
        </w:rPr>
        <w:t>его», то за его спиной они выскажут все, что думают о нем.</w:t>
      </w:r>
    </w:p>
    <w:p w14:paraId="34CA9A35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Ищите вместе решение, а не обвиняйте. Обвинительное жало не способствует конструктивному решению. Чтобы настроить подчиненного на поиск решения, а не оправдания, помогите ему «сохранить лицо», т</w:t>
      </w:r>
      <w:r>
        <w:rPr>
          <w:color w:val="000000"/>
          <w:sz w:val="24"/>
          <w:szCs w:val="24"/>
        </w:rPr>
        <w:t>.е. не унижайте его достоинство.</w:t>
      </w:r>
    </w:p>
    <w:p w14:paraId="5B8AAABC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руководители рассматривают возможность указать подчиненному на его промахи как средство утвердить свой авторитет, показать свое превосходство. Фактически уже сами по себе дельные замечания и дадут именно такой эфф</w:t>
      </w:r>
      <w:r>
        <w:rPr>
          <w:color w:val="000000"/>
          <w:sz w:val="24"/>
          <w:szCs w:val="24"/>
        </w:rPr>
        <w:t>ект. Но акцентировать на этом внимание, смаковать просчеты подчиненного, принижать тем самым его как личность — это тот перебор, который приносит обратный эффект. Вместо уважения возникает антипатия, ибо подчеркивание превосходства является сильным конфлик</w:t>
      </w:r>
      <w:r>
        <w:rPr>
          <w:color w:val="000000"/>
          <w:sz w:val="24"/>
          <w:szCs w:val="24"/>
        </w:rPr>
        <w:t>тогеном. Итак, необходимо направить мысли провинившегося по конструктивному пути. Этому способствуют и следующие правила.</w:t>
      </w:r>
    </w:p>
    <w:p w14:paraId="71C4D313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Не критикуйте при свидетелях. Критика при посторонних тем сильнее понижает имидж человека, чем больше свидетелей его позора. В прот</w:t>
      </w:r>
      <w:r>
        <w:rPr>
          <w:color w:val="000000"/>
          <w:sz w:val="24"/>
          <w:szCs w:val="24"/>
        </w:rPr>
        <w:t>ивоположность этому хвалить лучше всего при свидетелях.</w:t>
      </w:r>
    </w:p>
    <w:p w14:paraId="26E26582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Помните: ничто так не разоружает, как условия почетной капитуляции. Не акцентируйте внимания на допущенных промахах, не сыпьте соль на раны, переходите сразу к поиску выхода из создавшегося положен</w:t>
      </w:r>
      <w:r>
        <w:rPr>
          <w:color w:val="000000"/>
          <w:sz w:val="24"/>
          <w:szCs w:val="24"/>
        </w:rPr>
        <w:t>ия.</w:t>
      </w:r>
    </w:p>
    <w:p w14:paraId="565CEB64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Проявите эмпатию к критикуемому. Поставив себя на его место, легче понять, как исцелить от ошибок, не нанося ему ран. </w:t>
      </w:r>
    </w:p>
    <w:p w14:paraId="45BF39E3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Подведем итог в виде девяти правил критики:</w:t>
      </w:r>
    </w:p>
    <w:p w14:paraId="541C9C25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Прежде всего выслушайте объяснения.</w:t>
      </w:r>
    </w:p>
    <w:p w14:paraId="689F19BF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Сохраняйте ровный тон.</w:t>
      </w:r>
    </w:p>
    <w:p w14:paraId="3AAB9A37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Прежде чем критико</w:t>
      </w:r>
      <w:r>
        <w:rPr>
          <w:color w:val="000000"/>
          <w:sz w:val="24"/>
          <w:szCs w:val="24"/>
        </w:rPr>
        <w:t>вать — найдите за что похвалить.</w:t>
      </w:r>
    </w:p>
    <w:p w14:paraId="6448040C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Критикуйте поступки, а не человека.</w:t>
      </w:r>
    </w:p>
    <w:p w14:paraId="39D038EB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Не ищите «козла отпущения».</w:t>
      </w:r>
    </w:p>
    <w:p w14:paraId="0424732E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Ищите вместе решение, а не обвиняйте.</w:t>
      </w:r>
    </w:p>
    <w:p w14:paraId="05635D18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Не критикуйте при свидетелях!</w:t>
      </w:r>
    </w:p>
    <w:p w14:paraId="4FF709BB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Помните: ничто так не разоружает, как условия почетной капитуляции.</w:t>
      </w:r>
    </w:p>
    <w:p w14:paraId="533D249F" w14:textId="77777777" w:rsidR="00000000" w:rsidRDefault="00CE39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Прояв</w:t>
      </w:r>
      <w:r>
        <w:rPr>
          <w:color w:val="000000"/>
          <w:sz w:val="24"/>
          <w:szCs w:val="24"/>
        </w:rPr>
        <w:t>ите эмпатию.</w:t>
      </w:r>
    </w:p>
    <w:p w14:paraId="6BB2D1DC" w14:textId="77777777" w:rsidR="00000000" w:rsidRDefault="00CE39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629C68E" w14:textId="77777777" w:rsidR="00CE3907" w:rsidRDefault="00CE390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http://www.elitarium.ru/</w:t>
        </w:r>
      </w:hyperlink>
    </w:p>
    <w:sectPr w:rsidR="00CE390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0EA"/>
    <w:multiLevelType w:val="hybridMultilevel"/>
    <w:tmpl w:val="E428513E"/>
    <w:lvl w:ilvl="0" w:tplc="18FCE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4D02C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608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DA2F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86C68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DA4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EED8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0867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346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38F0F8D"/>
    <w:multiLevelType w:val="hybridMultilevel"/>
    <w:tmpl w:val="89EA80F2"/>
    <w:lvl w:ilvl="0" w:tplc="6250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06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CF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CE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A6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6C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ED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CC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8EF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62D45"/>
    <w:multiLevelType w:val="hybridMultilevel"/>
    <w:tmpl w:val="EA9CF160"/>
    <w:lvl w:ilvl="0" w:tplc="98AE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01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A4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543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2E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4B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C9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C3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66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14612"/>
    <w:multiLevelType w:val="hybridMultilevel"/>
    <w:tmpl w:val="E8C8DF94"/>
    <w:lvl w:ilvl="0" w:tplc="C1883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5069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EF68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324BD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325D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505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2C6D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B4F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9EB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73AE2E38"/>
    <w:multiLevelType w:val="hybridMultilevel"/>
    <w:tmpl w:val="A548428A"/>
    <w:lvl w:ilvl="0" w:tplc="3EB2A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AA8F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96E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8284B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B25A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F63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D6D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6842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D8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01"/>
    <w:rsid w:val="003F0501"/>
    <w:rsid w:val="00C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C2F7B"/>
  <w14:defaultImageDpi w14:val="0"/>
  <w15:docId w15:val="{D244B75D-56E0-4CE5-9967-A1F1E07A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4429</Characters>
  <Application>Microsoft Office Word</Application>
  <DocSecurity>0</DocSecurity>
  <Lines>36</Lines>
  <Paragraphs>10</Paragraphs>
  <ScaleCrop>false</ScaleCrop>
  <Company>PERSONAL COMPUTERS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критики: исцелять, не раня</dc:title>
  <dc:subject/>
  <dc:creator>USER</dc:creator>
  <cp:keywords/>
  <dc:description/>
  <cp:lastModifiedBy>Igor_Trofimov</cp:lastModifiedBy>
  <cp:revision>2</cp:revision>
  <dcterms:created xsi:type="dcterms:W3CDTF">2025-10-28T05:21:00Z</dcterms:created>
  <dcterms:modified xsi:type="dcterms:W3CDTF">2025-10-28T05:21:00Z</dcterms:modified>
</cp:coreProperties>
</file>