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E505" w14:textId="77777777" w:rsidR="00B90AFB" w:rsidRPr="000043C5" w:rsidRDefault="00B90AFB" w:rsidP="00B90AFB">
      <w:pPr>
        <w:spacing w:before="120"/>
        <w:jc w:val="center"/>
        <w:rPr>
          <w:b/>
          <w:bCs/>
          <w:sz w:val="32"/>
          <w:szCs w:val="32"/>
        </w:rPr>
      </w:pPr>
      <w:r w:rsidRPr="000043C5">
        <w:rPr>
          <w:b/>
          <w:bCs/>
          <w:sz w:val="32"/>
          <w:szCs w:val="32"/>
        </w:rPr>
        <w:t xml:space="preserve">О некоторых российских педагогических концепциях в условиях американской системы образования </w:t>
      </w:r>
    </w:p>
    <w:p w14:paraId="5626D7EB" w14:textId="77777777" w:rsidR="00B90AFB" w:rsidRPr="000043C5" w:rsidRDefault="00B90AFB" w:rsidP="00B90AFB">
      <w:pPr>
        <w:spacing w:before="120"/>
        <w:ind w:firstLine="567"/>
        <w:jc w:val="both"/>
        <w:rPr>
          <w:sz w:val="28"/>
          <w:szCs w:val="28"/>
        </w:rPr>
      </w:pPr>
      <w:r w:rsidRPr="000043C5">
        <w:rPr>
          <w:rFonts w:ascii="Arial Cyr, Arial, Helvetica" w:hAnsi="Arial Cyr, Arial, Helvetica" w:cs="Arial Cyr, Arial, Helvetica"/>
          <w:sz w:val="28"/>
          <w:szCs w:val="28"/>
        </w:rPr>
        <w:t>А. В. Ястребов</w:t>
      </w:r>
    </w:p>
    <w:p w14:paraId="2B3629D0" w14:textId="77777777" w:rsidR="00B90AFB" w:rsidRPr="000043C5" w:rsidRDefault="00B90AFB" w:rsidP="00B90AFB">
      <w:pPr>
        <w:spacing w:before="120"/>
        <w:jc w:val="center"/>
        <w:rPr>
          <w:b/>
          <w:bCs/>
          <w:sz w:val="28"/>
          <w:szCs w:val="28"/>
        </w:rPr>
      </w:pPr>
      <w:r w:rsidRPr="000043C5">
        <w:rPr>
          <w:b/>
          <w:bCs/>
          <w:sz w:val="28"/>
          <w:szCs w:val="28"/>
        </w:rPr>
        <w:t xml:space="preserve">1. Первое сопоставление идей </w:t>
      </w:r>
    </w:p>
    <w:p w14:paraId="57EEE96D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Три года назад, в феврале 1993, был заключен меморандум о сотрудничестве между Дейтонским университетом (Дейтон, Огайо) и Ярославским педагогическим университетом. С тех пор преподаватели и студенты обоих вузов ездили друг к другу "в гости" для обучения и обмена опытом. С января по май текущего года мне выпала честь принять участие в этом обмене. </w:t>
      </w:r>
    </w:p>
    <w:p w14:paraId="037DE4C6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>Первое, что бросается в глаза, - чрезвычайная трудность организации профессиональной ориентации преподавания, в особенности на младших курсах. По американским традициям изучение математики начинается с математического анализа, который одновременно</w:t>
      </w:r>
      <w:r>
        <w:t xml:space="preserve"> </w:t>
      </w:r>
      <w:r w:rsidRPr="000043C5">
        <w:t xml:space="preserve">слушают студенты, готовящие себя к разным видам деятельности, - математика-исследователя, инженера, бизнесмена, учителя. В результате в каждый момент лекции часть слушателей инстинктивно отторгает излагаемый материал: абстрактные конструкции интересны только будущим математикам, взаимосвязи высшей математики со школьным курсом вряд ли заинтересуют будущего бизнесмена, а вопросы существования и эффективности вычислительных алгоритмов ориентированы преимущественно на будущего инженера. Таким образом преподаватели объективно находятся в трудном положении. </w:t>
      </w:r>
    </w:p>
    <w:p w14:paraId="0FBE422B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Следует отметить, что хотя мои американские коллеги не занимались специально вопросами профессиональной ориентации курсов и не знакомы с соответствующими работами русских авторов (например, А. Г. Мордковича [4]), они прекрасно понимали характер описанных трудностей и преодолевали их в своем стиле - путем насыщения лекций примерами из разных областей знания, трактовки традиционных вопросов в контексте математического моделирования и т.д. </w:t>
      </w:r>
    </w:p>
    <w:p w14:paraId="10FD34FB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>Первые утверждения апробируемой концепции состояли в следующем. Деятельность хорошего учителя является разновидностью исследовательской работы в специфической области знаний. Ее предметом служит</w:t>
      </w:r>
      <w:r>
        <w:t xml:space="preserve"> </w:t>
      </w:r>
      <w:r w:rsidRPr="000043C5">
        <w:t xml:space="preserve">частная методика преподавания, т.е. поиск эффективных методов изучения конкретных тем, а также методика воспитательной работы. Существует объективная потребность в учителях-исследователях. </w:t>
      </w:r>
    </w:p>
    <w:p w14:paraId="5CE62DFD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>Аргументы, приводимые обычно в обоснование этой точки зрения, поначалу не встречали понимания. Например, тот факт, что с середины прошлого и до середины нынешнего века школьные учебники в России писались школьными учителями (И. К. Андронов [1]), рассматривался как специфика России, мало применимая к Америке. Тот факт, что такие первоклассные математики, как Г. Грассман и К. Вейерштрасс, работали школьными учителями, первый всю жизнь, а второй в течение 13 лет (А. Н. Боголюбов [2], П. Я. Кочина [3]), cчитался слишком удаленным от нас во времени и потому также мало применимым. Перелом неожиданно наступил, когда была приведена выдержка из существующих учебных планов: более 1700 часов на чистую математику в течение первых трех курсов. (Эта цифра произвела эффект разорвавшейся бомбы: на одном из семинаров мне даже не дали продолжать и попросили подробнейших разъяснений.) Столь большой объем был признан достаточным не только для описательного изложения и строгих доказательств, но и для привития первоначальных навыков научной работы. В силу этого очередное утверждение рассматриваемой концепции, которое мы назовем принципом Моделирования Научных Исследований (МНИ), воспринималось как естественное:</w:t>
      </w:r>
      <w:r>
        <w:t xml:space="preserve"> </w:t>
      </w:r>
      <w:r w:rsidRPr="000043C5">
        <w:t xml:space="preserve">обучение математике в педвузе должно быть моделью исследовательской работы в сфере математики и методики преподавания математики. </w:t>
      </w:r>
    </w:p>
    <w:p w14:paraId="057F3495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lastRenderedPageBreak/>
        <w:t xml:space="preserve">Вытекающие из этого положения вопросы вполне естественны и были поставлены моими слушателями в той последовательности и форме, в какой они возникли и передо мной. Возможно ли такое моделирование? Если да, то насколько оно эффективно для подготовки будущих учителей? Каковы важнейшие черты научных исследований, подлежащие моделированию? Как оно осуществляется? </w:t>
      </w:r>
    </w:p>
    <w:p w14:paraId="7C10DA4B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>Детализированные ответы на эти вопросы составили основное содержание моей работы по пропаганде в США российских педагогических концепций. С этой целью было сделано 12 выступлений на семинарах в четырех университетах и доклад на региональной научной конференции. Ниже предлагается материал, частично раскрывающий данную тему.</w:t>
      </w:r>
    </w:p>
    <w:p w14:paraId="2D9368DB" w14:textId="77777777" w:rsidR="00B90AFB" w:rsidRPr="000043C5" w:rsidRDefault="00B90AFB" w:rsidP="00B90AFB">
      <w:pPr>
        <w:spacing w:before="120"/>
        <w:jc w:val="center"/>
        <w:rPr>
          <w:b/>
          <w:bCs/>
          <w:sz w:val="28"/>
          <w:szCs w:val="28"/>
        </w:rPr>
      </w:pPr>
      <w:r w:rsidRPr="000043C5">
        <w:rPr>
          <w:b/>
          <w:bCs/>
          <w:sz w:val="28"/>
          <w:szCs w:val="28"/>
        </w:rPr>
        <w:t>2. Некоторые характеристические свойства научных исследований</w:t>
      </w:r>
    </w:p>
    <w:p w14:paraId="0B2A6BE9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Для иллюстрации общих утверждений приведем несколько коллекций упражнений, каждая из которых, с одной стороны, выявляет характеристические черты научных исследований, а с другой стороны, основана на чрезвычайно простой математической технике. </w:t>
      </w:r>
    </w:p>
    <w:p w14:paraId="757A6EA8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>Рассмотрим векторные пространства C, C2, C[x]</w:t>
      </w:r>
      <w:r w:rsidRPr="000043C5">
        <w:t></w:t>
      </w:r>
      <w:r w:rsidRPr="000043C5">
        <w:t></w:t>
      </w:r>
      <w:r w:rsidRPr="000043C5">
        <w:t></w:t>
      </w:r>
      <w:r w:rsidRPr="000043C5">
        <w:t xml:space="preserve">(пространство многочленов с комплексными коэффициентами, степени которых не превосходят 2) и М2(C) из пединститутского курса. Стандартное упражнение состоит в том, чтобы найти их размерности над полями C и R. Результаты решений можно свести в таблицу: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33"/>
        <w:gridCol w:w="1917"/>
        <w:gridCol w:w="1917"/>
        <w:gridCol w:w="1917"/>
        <w:gridCol w:w="1932"/>
      </w:tblGrid>
      <w:tr w:rsidR="00B90AFB" w:rsidRPr="000043C5" w14:paraId="1ED5BA09" w14:textId="77777777" w:rsidTr="002E1A30">
        <w:trPr>
          <w:tblCellSpacing w:w="15" w:type="dxa"/>
        </w:trPr>
        <w:tc>
          <w:tcPr>
            <w:tcW w:w="9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418E4" w14:textId="77777777" w:rsidR="00B90AFB" w:rsidRPr="000043C5" w:rsidRDefault="00B90AFB" w:rsidP="002E1A30">
            <w:pPr>
              <w:jc w:val="both"/>
            </w:pP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BD864" w14:textId="77777777" w:rsidR="00B90AFB" w:rsidRPr="000043C5" w:rsidRDefault="00B90AFB" w:rsidP="002E1A30">
            <w:pPr>
              <w:jc w:val="both"/>
            </w:pPr>
            <w:r w:rsidRPr="000043C5">
              <w:t xml:space="preserve">C 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94E04" w14:textId="77777777" w:rsidR="00B90AFB" w:rsidRPr="000043C5" w:rsidRDefault="00B90AFB" w:rsidP="002E1A30">
            <w:pPr>
              <w:jc w:val="both"/>
            </w:pPr>
            <w:r w:rsidRPr="000043C5">
              <w:t xml:space="preserve">C2 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2D98D" w14:textId="77777777" w:rsidR="00B90AFB" w:rsidRPr="000043C5" w:rsidRDefault="00B90AFB" w:rsidP="002E1A30">
            <w:pPr>
              <w:jc w:val="both"/>
            </w:pPr>
            <w:r w:rsidRPr="000043C5">
              <w:t>C[x]</w:t>
            </w:r>
            <w:r w:rsidRPr="000043C5">
              <w:t></w:t>
            </w:r>
            <w:r w:rsidRPr="000043C5">
              <w:t></w:t>
            </w:r>
            <w:r w:rsidRPr="000043C5">
              <w:t xml:space="preserve"> 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A30D7DA" w14:textId="77777777" w:rsidR="00B90AFB" w:rsidRPr="000043C5" w:rsidRDefault="00B90AFB" w:rsidP="002E1A30">
            <w:pPr>
              <w:jc w:val="both"/>
            </w:pPr>
            <w:r w:rsidRPr="000043C5">
              <w:t xml:space="preserve">М2(C) </w:t>
            </w:r>
          </w:p>
        </w:tc>
      </w:tr>
      <w:tr w:rsidR="00B90AFB" w:rsidRPr="000043C5" w14:paraId="66846EB8" w14:textId="77777777" w:rsidTr="002E1A30">
        <w:trPr>
          <w:tblCellSpacing w:w="15" w:type="dxa"/>
        </w:trPr>
        <w:tc>
          <w:tcPr>
            <w:tcW w:w="9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EBE12" w14:textId="77777777" w:rsidR="00B90AFB" w:rsidRPr="000043C5" w:rsidRDefault="00B90AFB" w:rsidP="002E1A30">
            <w:pPr>
              <w:jc w:val="both"/>
            </w:pPr>
            <w:r w:rsidRPr="000043C5">
              <w:t xml:space="preserve">dimC 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E6100" w14:textId="77777777" w:rsidR="00B90AFB" w:rsidRPr="000043C5" w:rsidRDefault="00B90AFB" w:rsidP="002E1A30">
            <w:pPr>
              <w:jc w:val="both"/>
            </w:pPr>
            <w:r w:rsidRPr="000043C5">
              <w:t xml:space="preserve">1 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C1A23" w14:textId="77777777" w:rsidR="00B90AFB" w:rsidRPr="000043C5" w:rsidRDefault="00B90AFB" w:rsidP="002E1A30">
            <w:pPr>
              <w:jc w:val="both"/>
            </w:pPr>
            <w:r w:rsidRPr="000043C5">
              <w:t xml:space="preserve">2 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38217" w14:textId="77777777" w:rsidR="00B90AFB" w:rsidRPr="000043C5" w:rsidRDefault="00B90AFB" w:rsidP="002E1A30">
            <w:pPr>
              <w:jc w:val="both"/>
            </w:pPr>
            <w:r w:rsidRPr="000043C5">
              <w:t xml:space="preserve">3 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C6269DE" w14:textId="77777777" w:rsidR="00B90AFB" w:rsidRPr="000043C5" w:rsidRDefault="00B90AFB" w:rsidP="002E1A30">
            <w:pPr>
              <w:jc w:val="both"/>
            </w:pPr>
            <w:r w:rsidRPr="000043C5">
              <w:t xml:space="preserve">4 </w:t>
            </w:r>
          </w:p>
        </w:tc>
      </w:tr>
      <w:tr w:rsidR="00B90AFB" w:rsidRPr="000043C5" w14:paraId="235E91D9" w14:textId="77777777" w:rsidTr="002E1A30">
        <w:trPr>
          <w:tblCellSpacing w:w="15" w:type="dxa"/>
        </w:trPr>
        <w:tc>
          <w:tcPr>
            <w:tcW w:w="9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87977" w14:textId="77777777" w:rsidR="00B90AFB" w:rsidRPr="000043C5" w:rsidRDefault="00B90AFB" w:rsidP="002E1A30">
            <w:pPr>
              <w:jc w:val="both"/>
            </w:pPr>
            <w:r w:rsidRPr="000043C5">
              <w:t xml:space="preserve">dimR 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87DEE" w14:textId="77777777" w:rsidR="00B90AFB" w:rsidRPr="000043C5" w:rsidRDefault="00B90AFB" w:rsidP="002E1A30">
            <w:pPr>
              <w:jc w:val="both"/>
            </w:pPr>
            <w:r w:rsidRPr="000043C5">
              <w:t xml:space="preserve">2 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3FA0B" w14:textId="77777777" w:rsidR="00B90AFB" w:rsidRPr="000043C5" w:rsidRDefault="00B90AFB" w:rsidP="002E1A30">
            <w:pPr>
              <w:jc w:val="both"/>
            </w:pPr>
            <w:r w:rsidRPr="000043C5">
              <w:t xml:space="preserve">4 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C2A1F" w14:textId="77777777" w:rsidR="00B90AFB" w:rsidRPr="000043C5" w:rsidRDefault="00B90AFB" w:rsidP="002E1A30">
            <w:pPr>
              <w:jc w:val="both"/>
            </w:pPr>
            <w:r w:rsidRPr="000043C5">
              <w:t xml:space="preserve">6 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388D4F5" w14:textId="77777777" w:rsidR="00B90AFB" w:rsidRPr="000043C5" w:rsidRDefault="00B90AFB" w:rsidP="002E1A30">
            <w:pPr>
              <w:jc w:val="both"/>
            </w:pPr>
            <w:r w:rsidRPr="000043C5">
              <w:t xml:space="preserve">8 </w:t>
            </w:r>
          </w:p>
        </w:tc>
      </w:tr>
    </w:tbl>
    <w:p w14:paraId="7E0DF94F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>Дополним таблицу еще одним столбцом и вместо перечисленных конкретных пространств рассмотрим произвольное n-мерное векторное пространство над C. Какова его размерность над R? Многократная проверка в российских и американских вузах показывает, что студенты легко догадываются, какова она, и самостоятельно формулирует гипотезу</w:t>
      </w:r>
    </w:p>
    <w:p w14:paraId="792256D7" w14:textId="77777777" w:rsidR="00B90AFB" w:rsidRPr="00B90AFB" w:rsidRDefault="00B90AFB" w:rsidP="00B90AFB">
      <w:pPr>
        <w:spacing w:before="120"/>
        <w:ind w:firstLine="567"/>
        <w:jc w:val="both"/>
        <w:rPr>
          <w:lang w:val="en-US"/>
        </w:rPr>
      </w:pPr>
      <w:r w:rsidRPr="00B90AFB">
        <w:rPr>
          <w:lang w:val="en-US"/>
        </w:rPr>
        <w:t>dimC(V) = n</w:t>
      </w:r>
      <w:r>
        <w:rPr>
          <w:lang w:val="en-US"/>
        </w:rPr>
        <w:t xml:space="preserve"> </w:t>
      </w:r>
      <w:r w:rsidRPr="000043C5">
        <w:t></w:t>
      </w:r>
      <w:r w:rsidRPr="000043C5">
        <w:t></w:t>
      </w:r>
      <w:r w:rsidRPr="00B90AFB">
        <w:rPr>
          <w:lang w:val="en-US"/>
        </w:rPr>
        <w:t>dimR(V) = 2n (1)</w:t>
      </w:r>
    </w:p>
    <w:p w14:paraId="356A5BC9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>Приведенные простые упражнения хорошо иллюстрируют</w:t>
      </w:r>
      <w:r>
        <w:t xml:space="preserve"> </w:t>
      </w:r>
      <w:r w:rsidRPr="000043C5">
        <w:t>индуктивный характер математических умозаключений, что особенно важно для студентов, привыкших к дедуктивному изложению математики. Анализируя природу математического творчества, А. Пуанкаре в своей книге "Наука и гипотеза" [6. C.8] пишет следующее: "Какова природа умозаключения в математике? Действительно ли она дедуктивна, как думают обыкновенно? Более глубокий анализ показывает, что это не так, - что в известной мере ей свойственна природа индуктивного умозаключения, и</w:t>
      </w:r>
      <w:r>
        <w:t xml:space="preserve"> </w:t>
      </w:r>
      <w:r w:rsidRPr="000043C5">
        <w:t>потому-то она столь плодотворна. Но от этого она не теряет своего характера абсолютной строгости..." (Курсив мой - А.Я.) Вопрос о сущности математического творчества оказывается для А. Пуанкаре настолько важным, что он возвращается к нему вновь и вновь в своих последующих книгах "Ценность науки" и "Наука и метод". При этом дедуктивное и индуктивное начала выступают в виде конкретных проявлений деятельности математика - логики и интуиции соответственно. Замечательно, что вопрос о соотношении логики и интуиции разрешен поистине диалектически: "...Интуиция и логика играют каждая свою необходимую роль. Обе они неизбежны. Логика, которая одна может дать достоверность, есть орудие доказательства; интуиция есть орудие изобретательства". (С.167) Таким образом, обучая математике, мы должны, наряду с логикой, обучать студентов интуиции, изобретательству, так как в противном случае мы будем обучать их чему-то меньшему, чем математика. Здесь не играют большой роли содержание или важность финального утверждения. Не столь важна также величина логического скачка, приведшего от предварительных задач к финальному утверждению, тем более, что на ранних стадиях обучения она неизбежно будет весьма невелика. Важно, что студент действует</w:t>
      </w:r>
      <w:r>
        <w:t xml:space="preserve"> </w:t>
      </w:r>
      <w:r w:rsidRPr="000043C5">
        <w:t>самостоятельно;</w:t>
      </w:r>
      <w:r>
        <w:t xml:space="preserve"> </w:t>
      </w:r>
      <w:r w:rsidRPr="000043C5">
        <w:t>еще важнее, что он получает</w:t>
      </w:r>
      <w:r>
        <w:t xml:space="preserve"> </w:t>
      </w:r>
      <w:r w:rsidRPr="000043C5">
        <w:t>обобщение,</w:t>
      </w:r>
      <w:r>
        <w:t xml:space="preserve"> </w:t>
      </w:r>
      <w:r w:rsidRPr="000043C5">
        <w:t xml:space="preserve">пусть сколь </w:t>
      </w:r>
      <w:r w:rsidRPr="000043C5">
        <w:lastRenderedPageBreak/>
        <w:t xml:space="preserve">угодно малое. В своей самостоятельной обобщающей деятельности он становится подобен ученому, и у нас есть веские основания считать, что приобретенные навыки исследователя будут использованы им в последующей педагогической деятельности. </w:t>
      </w:r>
    </w:p>
    <w:p w14:paraId="4C4FF43A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>В предыдущих упражнениях поле С можно заменить на поля</w:t>
      </w:r>
    </w:p>
    <w:p w14:paraId="3259367A" w14:textId="4EE88728" w:rsidR="00B90AFB" w:rsidRPr="000043C5" w:rsidRDefault="00D164B8" w:rsidP="00B90AFB">
      <w:pPr>
        <w:spacing w:before="120"/>
        <w:ind w:firstLine="567"/>
        <w:jc w:val="both"/>
      </w:pPr>
      <w:r w:rsidRPr="000043C5">
        <w:rPr>
          <w:noProof/>
        </w:rPr>
        <w:drawing>
          <wp:inline distT="0" distB="0" distL="0" distR="0" wp14:anchorId="27D9ED0F" wp14:editId="29F8F555">
            <wp:extent cx="3629025" cy="809625"/>
            <wp:effectExtent l="0" t="0" r="0" b="0"/>
            <wp:docPr id="1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BC542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Если для каждого из них составить упражнения, аналогичные приведенным в таблице, и каждую из полученных групп решить в совокупности, то естественным образом возникают следующие гипотезы: (2,3,4) </w:t>
      </w:r>
    </w:p>
    <w:p w14:paraId="441B2DC6" w14:textId="4722CA6A" w:rsidR="00B90AFB" w:rsidRPr="000043C5" w:rsidRDefault="00D164B8" w:rsidP="00B90AFB">
      <w:pPr>
        <w:spacing w:before="120"/>
        <w:ind w:firstLine="567"/>
        <w:jc w:val="both"/>
      </w:pPr>
      <w:r w:rsidRPr="000043C5">
        <w:rPr>
          <w:noProof/>
        </w:rPr>
        <w:drawing>
          <wp:inline distT="0" distB="0" distL="0" distR="0" wp14:anchorId="6E6815F6" wp14:editId="72A88C7F">
            <wp:extent cx="1238250" cy="466725"/>
            <wp:effectExtent l="0" t="0" r="0" b="0"/>
            <wp:docPr id="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7D2A1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>Малополезное на первый взгляд тиражирование однотипных заданий дает преподавателю возможность распределить их между микрогруппами студентов, поручить каждой из них сформулировать и доказать обобщающее утверждение, а затем на практических занятиях организовать</w:t>
      </w:r>
      <w:r>
        <w:t xml:space="preserve"> </w:t>
      </w:r>
      <w:r w:rsidRPr="000043C5">
        <w:t xml:space="preserve">обмен информацией, полученной в результате личной деятельности. Так проявляется еще одно важное свойство научной работы. </w:t>
      </w:r>
    </w:p>
    <w:p w14:paraId="64185230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С организационной точки зрения научное сообщество представляет собой весьма сложное образование с разветвленной иерархией и многокомпонентными отношениями принадлежности. В него входят отдельные ученые, творческие коллективы, исследовательские институты, учебные заведения, научные журналы, органы по присуждению ученых степеней, ассоциации, национальные академии, международные комитеты. Если посмотреть на все это с точки зрения теории систем, то неизбежно возникает вопрос об условиях успешной работы такой системы. Необходимым и достаточным условием функционирования науки как единого целого является обмен информацией между ее представителями. Без обмена информацией наука в принципе невозможна, и он интенсивно осуществляется посредством публикаций, конференций, семинаров и других форм общения. Коль скоро в реальном научном мире объективно существует некое явление, оно должно в той или иной форме отражаться в процессе преподавания. К счастью, у нас "все готово" для такого отражения. </w:t>
      </w:r>
    </w:p>
    <w:p w14:paraId="1415E444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Переменим точку зрения на утверждения (1)-(4) и будем рассматривать их не как обобщающие утверждения, а как некие первоначальные факты. Нетрудно видеть, что в каждом из четырех случаев мы переходим от основного поля к его сужению: C </w:t>
      </w:r>
      <w:r w:rsidRPr="000043C5">
        <w:t xml:space="preserve"> R, k </w:t>
      </w:r>
      <w:r w:rsidRPr="000043C5">
        <w:t xml:space="preserve"> Q, k- </w:t>
      </w:r>
      <w:r w:rsidRPr="000043C5">
        <w:t xml:space="preserve"> Q, k~ </w:t>
      </w:r>
      <w:r w:rsidRPr="000043C5">
        <w:t> Q. Каждый раз при переходе к сужению размерность векторного пространства умножается на некий коэффициент, и каждый раз этот коэффициент равен размерности поля над своим подполем. Четырехкратное повторение любой ситуации, несомненно, является поводом для обсуждения. В нашем случае естественно возникает гипотеза: пусть f- - подполе поля f и V - векторное пространство над f; если dimf(V) = n и dimf- (f) = p, то dimf- (V) = np. Она является обобщением более высокого, по сравнению с предыдущим, уровня, обобщением ранее сделанных обобщений. Тем самым проявляется важная черта математики -</w:t>
      </w:r>
      <w:r>
        <w:t xml:space="preserve"> </w:t>
      </w:r>
      <w:r w:rsidRPr="000043C5">
        <w:t xml:space="preserve">иерархичность математических обобщений. </w:t>
      </w:r>
    </w:p>
    <w:p w14:paraId="26E2BC9A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Разумеется, трудно ожидать, что студенты самостоятельно сделают описанные выше наблюдения. Здесь должен вступить в дело преподаватель и дополнить произведенный ранее обмен гипотезами (или теоремами) (1)-(4) организацией обсуждения их как нового, впервые появившегося перед студентами явления. </w:t>
      </w:r>
    </w:p>
    <w:p w14:paraId="636A26C0" w14:textId="33432635" w:rsidR="00B90AFB" w:rsidRPr="000043C5" w:rsidRDefault="00B90AFB" w:rsidP="00B90AFB">
      <w:pPr>
        <w:spacing w:before="120"/>
        <w:ind w:firstLine="567"/>
        <w:jc w:val="both"/>
      </w:pPr>
      <w:r w:rsidRPr="000043C5">
        <w:lastRenderedPageBreak/>
        <w:t xml:space="preserve">Приведенные выше упражнения ориентированы не только на потребности математика-профессионала, как это может показаться на первый взгляд, но и на потребности будущего учителя. Рассмотрим, например, поле </w:t>
      </w:r>
      <w:r w:rsidR="00D164B8" w:rsidRPr="000043C5">
        <w:rPr>
          <w:noProof/>
        </w:rPr>
        <w:drawing>
          <wp:inline distT="0" distB="0" distL="0" distR="0" wp14:anchorId="2A1F8371" wp14:editId="760B86E6">
            <wp:extent cx="476250" cy="247650"/>
            <wp:effectExtent l="0" t="0" r="0" b="0"/>
            <wp:docPr id="3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3C5">
        <w:t>, которое является расширением поля Q с помощью не принадлежащего ему числа</w:t>
      </w:r>
      <w:r w:rsidRPr="000043C5">
        <w:t></w:t>
      </w:r>
      <w:r w:rsidR="00D164B8" w:rsidRPr="000043C5">
        <w:rPr>
          <w:noProof/>
        </w:rPr>
        <w:drawing>
          <wp:inline distT="0" distB="0" distL="0" distR="0" wp14:anchorId="1602504F" wp14:editId="6BC2F5A7">
            <wp:extent cx="247650" cy="219075"/>
            <wp:effectExtent l="0" t="0" r="0" b="0"/>
            <wp:docPr id="4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3C5">
        <w:t xml:space="preserve">и состоит из чисел вида </w:t>
      </w:r>
      <w:r w:rsidR="00D164B8" w:rsidRPr="000043C5">
        <w:rPr>
          <w:noProof/>
        </w:rPr>
        <w:drawing>
          <wp:inline distT="0" distB="0" distL="0" distR="0" wp14:anchorId="71CF9A66" wp14:editId="777E37CB">
            <wp:extent cx="542925" cy="219075"/>
            <wp:effectExtent l="0" t="0" r="0" b="0"/>
            <wp:docPr id="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3C5">
        <w:t xml:space="preserve">c рациональными а и b. Числа такого вида постоянно встречаются в школе. Действительно, если квадратное уравнение ax2 + bx + c = 0 имеет целые коэффициенты и его дискриминант не является точным квадратом, то корни этого уравнения </w:t>
      </w:r>
      <w:r w:rsidR="00D164B8" w:rsidRPr="000043C5">
        <w:rPr>
          <w:noProof/>
        </w:rPr>
        <w:drawing>
          <wp:inline distT="0" distB="0" distL="0" distR="0" wp14:anchorId="446321A2" wp14:editId="12EE431A">
            <wp:extent cx="647700" cy="323850"/>
            <wp:effectExtent l="0" t="0" r="0" b="0"/>
            <wp:docPr id="6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3C5">
        <w:t xml:space="preserve">принадлежат расширению поля Q с помощью числa </w:t>
      </w:r>
      <w:r w:rsidR="00D164B8" w:rsidRPr="000043C5">
        <w:rPr>
          <w:noProof/>
        </w:rPr>
        <w:drawing>
          <wp:inline distT="0" distB="0" distL="0" distR="0" wp14:anchorId="2A0E10F4" wp14:editId="57D93C4C">
            <wp:extent cx="276225" cy="219075"/>
            <wp:effectExtent l="0" t="0" r="0" b="0"/>
            <wp:docPr id="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3C5">
        <w:t></w:t>
      </w:r>
      <w:r w:rsidRPr="000043C5">
        <w:t xml:space="preserve">Аналогично, поле </w:t>
      </w:r>
      <w:r w:rsidR="00D164B8" w:rsidRPr="000043C5">
        <w:rPr>
          <w:noProof/>
        </w:rPr>
        <w:drawing>
          <wp:inline distT="0" distB="0" distL="0" distR="0" wp14:anchorId="78AD36F4" wp14:editId="37353AB6">
            <wp:extent cx="723900" cy="247650"/>
            <wp:effectExtent l="0" t="0" r="0" b="0"/>
            <wp:docPr id="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3C5">
        <w:t xml:space="preserve">- это расширение поля </w:t>
      </w:r>
      <w:r w:rsidR="00D164B8" w:rsidRPr="000043C5">
        <w:rPr>
          <w:noProof/>
        </w:rPr>
        <w:drawing>
          <wp:inline distT="0" distB="0" distL="0" distR="0" wp14:anchorId="2822386F" wp14:editId="66A4BC8B">
            <wp:extent cx="476250" cy="247650"/>
            <wp:effectExtent l="0" t="0" r="0" b="0"/>
            <wp:docPr id="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3C5">
        <w:t xml:space="preserve">с помощью числа </w:t>
      </w:r>
      <w:r w:rsidR="00D164B8" w:rsidRPr="000043C5">
        <w:rPr>
          <w:noProof/>
        </w:rPr>
        <w:drawing>
          <wp:inline distT="0" distB="0" distL="0" distR="0" wp14:anchorId="43DBD5A9" wp14:editId="5B2FF207">
            <wp:extent cx="238125" cy="219075"/>
            <wp:effectExtent l="0" t="0" r="0" b="0"/>
            <wp:docPr id="1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3C5">
        <w:t xml:space="preserve">. Не случайно все эти поля присутствуют в учебниках для педвузов, например, в классическом руководстве Л.Я.Окунева [5]. </w:t>
      </w:r>
    </w:p>
    <w:p w14:paraId="7A5D8689" w14:textId="24507CA5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Отступим на время от основной линии нашего изложения ради решения одного частного упражнения: какова размерность векторного пространства </w:t>
      </w:r>
      <w:r w:rsidR="00D164B8" w:rsidRPr="000043C5">
        <w:rPr>
          <w:noProof/>
        </w:rPr>
        <w:drawing>
          <wp:inline distT="0" distB="0" distL="0" distR="0" wp14:anchorId="63A09E57" wp14:editId="226C0034">
            <wp:extent cx="723900" cy="247650"/>
            <wp:effectExtent l="0" t="0" r="0" b="0"/>
            <wp:docPr id="1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3C5">
        <w:t xml:space="preserve">над полем </w:t>
      </w:r>
      <w:r w:rsidR="00D164B8" w:rsidRPr="000043C5">
        <w:rPr>
          <w:noProof/>
        </w:rPr>
        <w:drawing>
          <wp:inline distT="0" distB="0" distL="0" distR="0" wp14:anchorId="23E769AA" wp14:editId="2FCE9706">
            <wp:extent cx="466725" cy="247650"/>
            <wp:effectExtent l="0" t="0" r="0" b="0"/>
            <wp:docPr id="1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3C5">
        <w:t xml:space="preserve">? Для ответа на этот вопрос нужно представить число </w:t>
      </w:r>
      <w:r w:rsidR="00D164B8" w:rsidRPr="000043C5">
        <w:rPr>
          <w:noProof/>
        </w:rPr>
        <w:drawing>
          <wp:inline distT="0" distB="0" distL="0" distR="0" wp14:anchorId="7FCD7479" wp14:editId="476E2BD2">
            <wp:extent cx="3810000" cy="247650"/>
            <wp:effectExtent l="0" t="0" r="0" b="0"/>
            <wp:docPr id="1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3C5">
        <w:t xml:space="preserve">и рассмотреть его как линейную комбинацию векторов 1 и </w:t>
      </w:r>
      <w:r w:rsidR="00D164B8" w:rsidRPr="000043C5">
        <w:rPr>
          <w:noProof/>
        </w:rPr>
        <w:drawing>
          <wp:inline distT="0" distB="0" distL="0" distR="0" wp14:anchorId="07FA3E5F" wp14:editId="3EACCBA7">
            <wp:extent cx="247650" cy="219075"/>
            <wp:effectExtent l="0" t="0" r="0" b="0"/>
            <wp:docPr id="1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3C5">
        <w:t xml:space="preserve">c коэффициентами </w:t>
      </w:r>
      <w:r w:rsidR="00D164B8" w:rsidRPr="000043C5">
        <w:rPr>
          <w:noProof/>
        </w:rPr>
        <w:drawing>
          <wp:inline distT="0" distB="0" distL="0" distR="0" wp14:anchorId="26377218" wp14:editId="625E4B9E">
            <wp:extent cx="1162050" cy="219075"/>
            <wp:effectExtent l="0" t="0" r="0" b="0"/>
            <wp:docPr id="1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3C5">
        <w:t xml:space="preserve">Т.о., с технической точки зрения требуется немного - всего лишь школьные правила действий с радикалами, однако применение их отнюдь не просто для студента, так как требует опыта переосмысления школьного материала в контексте линейной алгебры. Именно такие двусторонне ориентированные упражнения и коллекции упражнений особенно ценились американскими коллегами. </w:t>
      </w:r>
    </w:p>
    <w:p w14:paraId="70FF4076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>Научная работа имеет одно свойство, отражение которого в процессе преподавания крайне желательно, - современность ведущихся исследований.</w:t>
      </w:r>
      <w:r>
        <w:t xml:space="preserve"> </w:t>
      </w:r>
      <w:r w:rsidRPr="000043C5">
        <w:t xml:space="preserve">Современность - вольный или невольный атрибут всякого научного исследования, наличие которого не зависит от воли и желания его автора. Причина такого неразрывного единства проста и прозаична: никто не будет печатать научных работ, если в них не изучаются находящиеся в центре внимания объекты исследования, или не вводятся новые, достойные изучения объекты, или не выявляются новые свойства классических объектов и т.д. Кратко говоря, несовременное, в широком смысле, исследование обречено на прекращение. Перед любой системой образования стоит проблема насыщения курсов материалом, который вводит студентов в круг изучаемых наукой проблем. Покажем, как приведенные выше простые примеры могут быть использованы для первоначального знакомства с супералгебрами, вошедшими в математику сравнительно недавно, порядка двадцати лет назад. Начнем с определения. </w:t>
      </w:r>
    </w:p>
    <w:p w14:paraId="0B58D11A" w14:textId="73C9F537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Пусть </w:t>
      </w:r>
      <w:r w:rsidR="00D164B8" w:rsidRPr="000043C5">
        <w:rPr>
          <w:noProof/>
        </w:rPr>
        <w:drawing>
          <wp:inline distT="0" distB="0" distL="0" distR="0" wp14:anchorId="3820C34F" wp14:editId="5296871B">
            <wp:extent cx="800100" cy="238125"/>
            <wp:effectExtent l="0" t="0" r="0" b="0"/>
            <wp:docPr id="1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3C5">
        <w:t xml:space="preserve">- поле классов вычетов по модулю 2. Алгебра Ј называется Z2 - градуированной (или супералгеброй), если она разлагается в прямую сумму подпространств </w:t>
      </w:r>
      <w:r w:rsidR="00D164B8" w:rsidRPr="000043C5">
        <w:rPr>
          <w:noProof/>
        </w:rPr>
        <w:drawing>
          <wp:inline distT="0" distB="0" distL="0" distR="0" wp14:anchorId="5BF17734" wp14:editId="3E3736B3">
            <wp:extent cx="885825" cy="219075"/>
            <wp:effectExtent l="0" t="0" r="0" b="0"/>
            <wp:docPr id="1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3C5">
        <w:t xml:space="preserve">таких, что ЈiЈj </w:t>
      </w:r>
      <w:r w:rsidRPr="000043C5">
        <w:t xml:space="preserve"> Јi+j , где i, j </w:t>
      </w:r>
      <w:r w:rsidRPr="000043C5">
        <w:t></w:t>
      </w:r>
      <w:r w:rsidRPr="000043C5">
        <w:t xml:space="preserve">Z2 . </w:t>
      </w:r>
    </w:p>
    <w:p w14:paraId="695A8B04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Cоотношения включения могут быть записаны более подробно: </w:t>
      </w:r>
    </w:p>
    <w:p w14:paraId="5193F79C" w14:textId="13BB320F" w:rsidR="00B90AFB" w:rsidRPr="000043C5" w:rsidRDefault="00D164B8" w:rsidP="00B90AFB">
      <w:pPr>
        <w:spacing w:before="120"/>
        <w:ind w:firstLine="567"/>
        <w:jc w:val="both"/>
      </w:pPr>
      <w:r w:rsidRPr="000043C5">
        <w:rPr>
          <w:noProof/>
        </w:rPr>
        <w:drawing>
          <wp:inline distT="0" distB="0" distL="0" distR="0" wp14:anchorId="5976E6FF" wp14:editId="310E7C16">
            <wp:extent cx="3248025" cy="219075"/>
            <wp:effectExtent l="0" t="0" r="0" b="0"/>
            <wp:docPr id="1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F0FBD" w14:textId="35873AC3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Покажем, что </w:t>
      </w:r>
      <w:r w:rsidR="00D164B8" w:rsidRPr="000043C5">
        <w:rPr>
          <w:noProof/>
        </w:rPr>
        <w:drawing>
          <wp:inline distT="0" distB="0" distL="0" distR="0" wp14:anchorId="4188AE10" wp14:editId="238EBA21">
            <wp:extent cx="723900" cy="247650"/>
            <wp:effectExtent l="0" t="0" r="0" b="0"/>
            <wp:docPr id="1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3C5">
        <w:t xml:space="preserve">является супер-алгеброй над Q. Для этого рассмотрим подпространства </w:t>
      </w:r>
      <w:r w:rsidR="00D164B8" w:rsidRPr="000043C5">
        <w:rPr>
          <w:noProof/>
        </w:rPr>
        <w:drawing>
          <wp:inline distT="0" distB="0" distL="0" distR="0" wp14:anchorId="338A6518" wp14:editId="1C9B7660">
            <wp:extent cx="3676650" cy="257175"/>
            <wp:effectExtent l="0" t="0" r="0" b="0"/>
            <wp:docPr id="2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B86FF" w14:textId="191B0581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Очевидно, что </w:t>
      </w:r>
      <w:r w:rsidR="00D164B8" w:rsidRPr="000043C5">
        <w:rPr>
          <w:noProof/>
        </w:rPr>
        <w:drawing>
          <wp:inline distT="0" distB="0" distL="0" distR="0" wp14:anchorId="5F5515EB" wp14:editId="1BDD6FE9">
            <wp:extent cx="1428750" cy="257175"/>
            <wp:effectExtent l="0" t="0" r="0" b="0"/>
            <wp:docPr id="2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3C5">
        <w:t xml:space="preserve">Проверим соотношения включения. </w:t>
      </w:r>
    </w:p>
    <w:p w14:paraId="2556CD77" w14:textId="52C7961D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а) Если </w:t>
      </w:r>
      <w:r w:rsidR="00D164B8" w:rsidRPr="000043C5">
        <w:rPr>
          <w:noProof/>
        </w:rPr>
        <w:drawing>
          <wp:inline distT="0" distB="0" distL="0" distR="0" wp14:anchorId="5E36CE28" wp14:editId="54977DF2">
            <wp:extent cx="3324225" cy="257175"/>
            <wp:effectExtent l="0" t="0" r="0" b="0"/>
            <wp:docPr id="2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3C5">
        <w:t xml:space="preserve">следовательно, </w:t>
      </w:r>
      <w:r w:rsidR="00D164B8" w:rsidRPr="000043C5">
        <w:rPr>
          <w:noProof/>
        </w:rPr>
        <w:drawing>
          <wp:inline distT="0" distB="0" distL="0" distR="0" wp14:anchorId="778FC30C" wp14:editId="182EED47">
            <wp:extent cx="800100" cy="219075"/>
            <wp:effectExtent l="0" t="0" r="0" b="0"/>
            <wp:docPr id="2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50635" w14:textId="0C0C002E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б) Если </w:t>
      </w:r>
      <w:r w:rsidR="00D164B8" w:rsidRPr="000043C5">
        <w:rPr>
          <w:noProof/>
        </w:rPr>
        <w:drawing>
          <wp:inline distT="0" distB="0" distL="0" distR="0" wp14:anchorId="613AA07D" wp14:editId="36B655F2">
            <wp:extent cx="2266950" cy="257175"/>
            <wp:effectExtent l="0" t="0" r="0" b="0"/>
            <wp:docPr id="2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64B8" w:rsidRPr="000043C5">
        <w:rPr>
          <w:noProof/>
        </w:rPr>
        <w:drawing>
          <wp:inline distT="0" distB="0" distL="0" distR="0" wp14:anchorId="212BC270" wp14:editId="02009F2A">
            <wp:extent cx="3629025" cy="257175"/>
            <wp:effectExtent l="0" t="0" r="0" b="0"/>
            <wp:docPr id="2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BC6AA" w14:textId="23DFE7B6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cледовательно, </w:t>
      </w:r>
      <w:r w:rsidR="00D164B8" w:rsidRPr="000043C5">
        <w:rPr>
          <w:noProof/>
        </w:rPr>
        <w:drawing>
          <wp:inline distT="0" distB="0" distL="0" distR="0" wp14:anchorId="26CF132A" wp14:editId="260834D7">
            <wp:extent cx="800100" cy="219075"/>
            <wp:effectExtent l="0" t="0" r="0" b="0"/>
            <wp:docPr id="2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566E" w14:textId="1D0E6B6B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в) Если </w:t>
      </w:r>
      <w:r w:rsidR="00D164B8" w:rsidRPr="000043C5">
        <w:rPr>
          <w:noProof/>
        </w:rPr>
        <w:drawing>
          <wp:inline distT="0" distB="0" distL="0" distR="0" wp14:anchorId="711EE8E1" wp14:editId="452AFBE5">
            <wp:extent cx="2447925" cy="257175"/>
            <wp:effectExtent l="0" t="0" r="0" b="0"/>
            <wp:docPr id="2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64B8" w:rsidRPr="000043C5">
        <w:rPr>
          <w:noProof/>
        </w:rPr>
        <w:drawing>
          <wp:inline distT="0" distB="0" distL="0" distR="0" wp14:anchorId="49D8E989" wp14:editId="17D5E8B2">
            <wp:extent cx="3848100" cy="257175"/>
            <wp:effectExtent l="0" t="0" r="0" b="0"/>
            <wp:docPr id="2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D784D" w14:textId="266FBF88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следовательно </w:t>
      </w:r>
      <w:r w:rsidR="00D164B8" w:rsidRPr="000043C5">
        <w:rPr>
          <w:noProof/>
        </w:rPr>
        <w:drawing>
          <wp:inline distT="0" distB="0" distL="0" distR="0" wp14:anchorId="218418E5" wp14:editId="0710B155">
            <wp:extent cx="800100" cy="219075"/>
            <wp:effectExtent l="0" t="0" r="0" b="0"/>
            <wp:docPr id="2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D009C" w14:textId="419334C0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Таким образом, </w:t>
      </w:r>
      <w:r w:rsidR="00D164B8" w:rsidRPr="000043C5">
        <w:rPr>
          <w:noProof/>
        </w:rPr>
        <w:drawing>
          <wp:inline distT="0" distB="0" distL="0" distR="0" wp14:anchorId="63BBC0C9" wp14:editId="1726ABA2">
            <wp:extent cx="714375" cy="247650"/>
            <wp:effectExtent l="0" t="0" r="0" b="0"/>
            <wp:docPr id="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3C5">
        <w:t xml:space="preserve">действительно является супералгеброй. </w:t>
      </w:r>
    </w:p>
    <w:p w14:paraId="6A0D23F5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С педагогической точки зрения мы вновь имеем многосторонне ориентированное упражнение. Действительно, для его решения нам пришлось применить правила действий с радикалами, и в этом выражается его связь со школой. В то же время оно оперирует с понятием суммы подпространств, которое изучается в педагогических институтах. Наконец, оно несет пропедевтическую нагрузку по отношению к возможным спецкурсам, дипломным работам или обучению в аспирантуре. </w:t>
      </w:r>
    </w:p>
    <w:p w14:paraId="15294C31" w14:textId="5B0C296E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Интересно, что алгебра </w:t>
      </w:r>
      <w:r w:rsidR="00D164B8" w:rsidRPr="000043C5">
        <w:rPr>
          <w:noProof/>
        </w:rPr>
        <w:drawing>
          <wp:inline distT="0" distB="0" distL="0" distR="0" wp14:anchorId="34DFD6AE" wp14:editId="68428599">
            <wp:extent cx="714375" cy="247650"/>
            <wp:effectExtent l="0" t="0" r="0" b="0"/>
            <wp:docPr id="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3C5">
        <w:t xml:space="preserve">несет на себе по крайней мере две суперструктуры. Вторая из них задается парой подпространств </w:t>
      </w:r>
      <w:r w:rsidR="00D164B8" w:rsidRPr="000043C5">
        <w:rPr>
          <w:noProof/>
        </w:rPr>
        <w:drawing>
          <wp:inline distT="0" distB="0" distL="0" distR="0" wp14:anchorId="0A3BAE20" wp14:editId="2DEAF4AE">
            <wp:extent cx="3676650" cy="247650"/>
            <wp:effectExtent l="0" t="0" r="0" b="0"/>
            <wp:docPr id="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CB3A3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Предлагаем читателю перечислить все суперструктуры на этой алгебре в качестве "упражнения". </w:t>
      </w:r>
    </w:p>
    <w:p w14:paraId="3B646B20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Итак, мы проиллюстрировали возможность моделирования в процессе преподавания таких важных черт работы математика, как ее индуктивный характер, иерархическая структура обобщений, процессы информационного обмена, сопричастность к современным теориям. Весьма важно, что это было сделано с помощью предельно простых заданий. Автор надеется показать более детализированные и выразительные коллекции упражнений в специальной статье. </w:t>
      </w:r>
    </w:p>
    <w:p w14:paraId="166E8EA8" w14:textId="77777777" w:rsidR="00B90AFB" w:rsidRPr="000043C5" w:rsidRDefault="00B90AFB" w:rsidP="00B90AFB">
      <w:pPr>
        <w:spacing w:before="120"/>
        <w:jc w:val="center"/>
        <w:rPr>
          <w:b/>
          <w:bCs/>
          <w:sz w:val="28"/>
          <w:szCs w:val="28"/>
        </w:rPr>
      </w:pPr>
      <w:r w:rsidRPr="000043C5">
        <w:rPr>
          <w:b/>
          <w:bCs/>
          <w:sz w:val="28"/>
          <w:szCs w:val="28"/>
        </w:rPr>
        <w:t xml:space="preserve">3. Точки соприкосновения </w:t>
      </w:r>
    </w:p>
    <w:p w14:paraId="2A638951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Американская и российская системы образования развиваются, к обоюдному сожалению, почти независимо друг от друга. Тем более удивительной оказалась хорошая согласованность и взаимная полезность авторской концепции и одной из американских традиций преподавания - большого внимания к вопросам математического моделирования. В Дейтонском университете регулярно ведется семинар по математическому моделированию, а работа над магистерскими диссертациями связана с применением дифференциальных уравнений к решению некоторых медицинских проблем. Кафедра математики гордится победой своих студентов в региональном конкурсе работ в этой области. В июле текущего года проводился общенациональный симпозиум под названием "Математическое моделирование в учебном процессе". В самом его названии отражается возможность согласования разных подходов. </w:t>
      </w:r>
    </w:p>
    <w:p w14:paraId="4797AA70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>По сути дела, речь идет о нескольких</w:t>
      </w:r>
      <w:r>
        <w:t xml:space="preserve"> </w:t>
      </w:r>
      <w:r w:rsidRPr="000043C5">
        <w:t xml:space="preserve">явлениях и двух последовательных ступенях моделирования. Во-первых, имеются природные процессы и математические объекты. Описание природных процессов в терминах математики составляет предмет науки и называется математическим моделированием. Во-вторых, сам процесс математического моделирования превращается, в свою очередь, в предмет моделирования особого типа, педагогического моделирования. Результатом педагогического моделирования становятся явления в сфере образования - новые курсы, планы, программы, методики. Относительная независимость двух этапов моделирования может быть проиллюстрирована простым примером: математическое моделирование колебательных движений было выполнено во времена Ньютона и Фурье, а педагогическое моделирование составляет предмет деятельности преподавателей в настоящее время и зависит от конкретных условий преподавания. </w:t>
      </w:r>
    </w:p>
    <w:p w14:paraId="20726581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>Другой подход состоит в том, чтобы рассматривать</w:t>
      </w:r>
      <w:r>
        <w:t xml:space="preserve"> </w:t>
      </w:r>
      <w:r w:rsidRPr="000043C5">
        <w:t>два</w:t>
      </w:r>
      <w:r>
        <w:t xml:space="preserve"> </w:t>
      </w:r>
      <w:r w:rsidRPr="000043C5">
        <w:t xml:space="preserve">объекта, математику и образование, выделить в математическом творчестве его характеристические свойства, не зависящие от предметной области математики и уровня исследований, а затем моделировать эти свойства в процессе преподавания. Обобщенность такого подхода выражается в том, что значительная часть математики не имеет дела с математическим моделированием, однако становится, наряду с ним, объектом педагогического моделирования. В то же время мы имеем хорошее согласование с традиционным взглядом на математическое моделирование - достаточно объявить его одной из характерных черт математики и работать в обычном ключе. </w:t>
      </w:r>
    </w:p>
    <w:p w14:paraId="5FACBF08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Итак, нам есть что "продать" американской системе образования. В то же время необходимо многое перенять. Большой по объему и богатый по содержанию курс статистики, читаемый в университетах США, отражает ее место в современной науке. Применение компьютеров в преподавании классических дисциплин - другая область, в которой американцы имеют богатый опыт. Достаточно сказать, что в течение уже десяти лет существует движение университетских профессоров за реформу преподавания математического анализа, суть которого - создать условия для самостоятельного переоткрытия студентами многих теорем с помощью компьютеров. Американский прагматизм, помноженный на американский энтузиазм, придает классическим курсам очень мощную прикладную направленность. Было бы интересно посмотреть, что может дать соединение российского и американского энтузиазма. </w:t>
      </w:r>
    </w:p>
    <w:p w14:paraId="01298674" w14:textId="77777777" w:rsidR="00B90AFB" w:rsidRPr="000043C5" w:rsidRDefault="00B90AFB" w:rsidP="00B90AFB">
      <w:pPr>
        <w:spacing w:before="120"/>
        <w:jc w:val="center"/>
        <w:rPr>
          <w:b/>
          <w:bCs/>
          <w:sz w:val="28"/>
          <w:szCs w:val="28"/>
        </w:rPr>
      </w:pPr>
      <w:r w:rsidRPr="000043C5">
        <w:rPr>
          <w:b/>
          <w:bCs/>
          <w:sz w:val="28"/>
          <w:szCs w:val="28"/>
        </w:rPr>
        <w:t>Список литературы</w:t>
      </w:r>
    </w:p>
    <w:p w14:paraId="3117BCE0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 [1] Андронов И.К. Полвека развития школьного математического образования в СССР. М.: Просвещение, 1967. </w:t>
      </w:r>
    </w:p>
    <w:p w14:paraId="76B5A1B5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[2] Боголюбов А.Н. Математики и механики. Киев: Наукова думка, 1983. </w:t>
      </w:r>
    </w:p>
    <w:p w14:paraId="31099B46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[3] Кочина П.Я. Карл Вейрштрасс. М.: Наука, 1985. </w:t>
      </w:r>
    </w:p>
    <w:p w14:paraId="589687B2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[4] Мордкович А.Г. О профессионально-педагогической направленности математической подготовки студентов //Советская педагогика. 1985. №12. C.52-57. </w:t>
      </w:r>
    </w:p>
    <w:p w14:paraId="21E0AB81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[5] Окунев Л.Я. Высшая алгебра. М.: Просвещение, 1966. </w:t>
      </w:r>
    </w:p>
    <w:p w14:paraId="432046A9" w14:textId="77777777" w:rsidR="00B90AFB" w:rsidRPr="000043C5" w:rsidRDefault="00B90AFB" w:rsidP="00B90AFB">
      <w:pPr>
        <w:spacing w:before="120"/>
        <w:ind w:firstLine="567"/>
        <w:jc w:val="both"/>
      </w:pPr>
      <w:r w:rsidRPr="000043C5">
        <w:t xml:space="preserve">[6] Пуанкаре А. О науке. М.: Наука, 1983. </w:t>
      </w:r>
    </w:p>
    <w:p w14:paraId="48439038" w14:textId="77777777" w:rsidR="00B90AFB" w:rsidRDefault="00B90AFB" w:rsidP="00B90AFB">
      <w:pPr>
        <w:spacing w:before="120"/>
        <w:ind w:firstLine="567"/>
        <w:jc w:val="both"/>
      </w:pPr>
      <w:r w:rsidRPr="000043C5">
        <w:t xml:space="preserve">Для подготовки данной работы были использованы материалы с сайта </w:t>
      </w:r>
      <w:hyperlink r:id="rId30" w:history="1">
        <w:r w:rsidRPr="000043C5">
          <w:rPr>
            <w:rStyle w:val="a3"/>
          </w:rPr>
          <w:t>http://www.yspu.yar.ru</w:t>
        </w:r>
      </w:hyperlink>
    </w:p>
    <w:p w14:paraId="6300917A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, Arial, Helve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FB"/>
    <w:rsid w:val="000043C5"/>
    <w:rsid w:val="002E1A30"/>
    <w:rsid w:val="00616072"/>
    <w:rsid w:val="006A5004"/>
    <w:rsid w:val="008B35EE"/>
    <w:rsid w:val="00B42C45"/>
    <w:rsid w:val="00B47B6A"/>
    <w:rsid w:val="00B90AFB"/>
    <w:rsid w:val="00D1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FAD84"/>
  <w14:defaultImageDpi w14:val="0"/>
  <w15:docId w15:val="{7F32D9D7-A4EA-42FB-83A5-91597B98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AFB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90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2681</Words>
  <Characters>15287</Characters>
  <Application>Microsoft Office Word</Application>
  <DocSecurity>0</DocSecurity>
  <Lines>127</Lines>
  <Paragraphs>35</Paragraphs>
  <ScaleCrop>false</ScaleCrop>
  <Company>Home</Company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некоторых российских педагогических концепциях в условиях американской системы образования</dc:title>
  <dc:subject/>
  <dc:creator>User</dc:creator>
  <cp:keywords/>
  <dc:description/>
  <cp:lastModifiedBy>Пользователь</cp:lastModifiedBy>
  <cp:revision>3</cp:revision>
  <dcterms:created xsi:type="dcterms:W3CDTF">2025-10-26T15:00:00Z</dcterms:created>
  <dcterms:modified xsi:type="dcterms:W3CDTF">2025-10-26T15:00:00Z</dcterms:modified>
</cp:coreProperties>
</file>