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8A8F" w14:textId="77777777" w:rsidR="0042697E" w:rsidRPr="0064710A" w:rsidRDefault="0042697E" w:rsidP="0042697E">
      <w:pPr>
        <w:spacing w:before="120"/>
        <w:jc w:val="center"/>
        <w:rPr>
          <w:b/>
          <w:bCs/>
          <w:sz w:val="32"/>
          <w:szCs w:val="32"/>
        </w:rPr>
      </w:pPr>
      <w:r w:rsidRPr="0064710A">
        <w:rPr>
          <w:b/>
          <w:bCs/>
          <w:sz w:val="32"/>
          <w:szCs w:val="32"/>
        </w:rPr>
        <w:t>О социальной регуляции деятельности коммуниканта в акте общения</w:t>
      </w:r>
    </w:p>
    <w:p w14:paraId="79866836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Владимир Николаевич Бабаян, старший преподаватель кафедры иностранных языков ЯГПУ, кандидат филологических наук</w:t>
      </w:r>
      <w:r>
        <w:t xml:space="preserve">, </w:t>
      </w:r>
      <w:r w:rsidRPr="00F441C4">
        <w:t>Круглова Светлана Львовна, старший преподаватель кафедры английского языка ЯГПУ, кандидат филологических наук</w:t>
      </w:r>
    </w:p>
    <w:p w14:paraId="3458DEC6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Психика личности - канал социальной регуляции деятельности личности со стороны общества, в</w:t>
      </w:r>
      <w:r>
        <w:t xml:space="preserve"> к</w:t>
      </w:r>
      <w:r w:rsidRPr="00F441C4">
        <w:t>отором сформировалась</w:t>
      </w:r>
      <w:r>
        <w:t xml:space="preserve"> </w:t>
      </w:r>
      <w:r w:rsidRPr="00F441C4">
        <w:t>эта личность. Вся актуальная регуляция деятельности собеседника, будь то инструментальная-вербальная (путем приказов, инструкций, побуждений и т.п.) и невербальная (при помощи невербальных знаков, путем обмена деятельности) или символическая-вербальная (при помощи выбора альтернативных языковых средств, маркирующих социальные отношения) и невербальная (демонстрацией невербальных знаков, престижной информации, определенного образа жизни и т.п.), осуществляется на фоне этой глобальной социальной регуляции. Формирование психики личности создает основу для всех иных видов регуляции деятельности человека.</w:t>
      </w:r>
    </w:p>
    <w:p w14:paraId="50670ED9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Рассматриваемая проблема является весьма актуальной и изучается в современных психологических, психолингвистических, социолингвистических и лингвистических исследованиях (1, 8, 9).</w:t>
      </w:r>
    </w:p>
    <w:p w14:paraId="1CB16829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Управление деятельностью собеседника - это только один из видов регуляции деятельности человека.</w:t>
      </w:r>
    </w:p>
    <w:p w14:paraId="5CF5B1C1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Дифференцированное рассмотрение видов регуляции рассматривается в лингвистической прагматике, психологии и психолингвистике. Следует отметить, что в лингвистике основная задача коммуникантов - только передача некоторой информации друг другу.</w:t>
      </w:r>
    </w:p>
    <w:p w14:paraId="58B1102E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В настоящее время большой интерес представляет исследование способа регуляции деятельности собеседника, - и особенно - социального символизма в речи. Суть регуляции деятельности собеседника социально-символическими средствами состоит в демонстрации социальных отношений, в</w:t>
      </w:r>
      <w:r>
        <w:t xml:space="preserve"> </w:t>
      </w:r>
      <w:r w:rsidRPr="00F441C4">
        <w:t>структуре</w:t>
      </w:r>
      <w:r>
        <w:t xml:space="preserve"> </w:t>
      </w:r>
      <w:r w:rsidRPr="00F441C4">
        <w:t>которых</w:t>
      </w:r>
      <w:r>
        <w:t xml:space="preserve"> </w:t>
      </w:r>
      <w:r w:rsidRPr="00F441C4">
        <w:t>один из</w:t>
      </w:r>
      <w:r>
        <w:t xml:space="preserve"> </w:t>
      </w:r>
      <w:r w:rsidRPr="00F441C4">
        <w:t>собеседников</w:t>
      </w:r>
      <w:r>
        <w:t xml:space="preserve"> </w:t>
      </w:r>
      <w:r w:rsidRPr="00F441C4">
        <w:t>предлагает</w:t>
      </w:r>
      <w:r>
        <w:t xml:space="preserve"> </w:t>
      </w:r>
      <w:r w:rsidRPr="00F441C4">
        <w:t>развернуть</w:t>
      </w:r>
      <w:r>
        <w:t xml:space="preserve"> </w:t>
      </w:r>
      <w:r w:rsidRPr="00F441C4">
        <w:t>взаимодействие.</w:t>
      </w:r>
    </w:p>
    <w:p w14:paraId="1BC6911A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Речевые действия совершаются в структуре специфической деятельности - в структуре социального взаимодействия, регулируемого ролевыми предписаниями, содержание которых зависит от ролей коммуникантов (если принять положение, обоснованное в теории деятельности, что жизнь человека можно представить как систему последовательно сменяющих друг друга деятельностей, совершаемых им, то в изучении речевого общения можно исходить из правдоподобного допущения о невозможности речевого общения, выключенного из социального взаимодействия коммуникантов). Ролевые предписания, понимаемые как социальные нормы, которые рассматриваются “со стороны их функциональной значимости для личности” (2), включают акт коммуникации в более широкие социальные системы. Коммуникация включена в социальные отношения общающихся - это две неразрывные стороны речевого взаимодействия. Человек, вступая в контакт с другим человеком, оказывается включенным в систему социальных отношений и должен оформлять свою деятельность по правилам, реализующим эти социальные отношения. Правила социального взаимодействия, трансформировавшись в социогенные компоненты психики личности (сформировавшиеся в ходе социализации личности), обусловливают деятельность в соответствии с социальными правилами (ролевыми предписаниями) уже независимо от ее контроля. Как справедливо считает К.А.Абульханова-Славская, психика личности, сформировавшись в процессе социализации под влиянием усвоения социального опыта общества, становится каналом социальной регуляции и устраняет, хотя и не полностью, произвол коммуникантов в выборе альтернативных </w:t>
      </w:r>
      <w:r w:rsidRPr="00F441C4">
        <w:lastRenderedPageBreak/>
        <w:t>языковых средств (3). Каналом социальной регуляции взаимодействия, не зависимой от воли коммуникантов, является сама социальная деятельность, обусловливающая в свою очередь регулятивный характер психики личности.</w:t>
      </w:r>
    </w:p>
    <w:p w14:paraId="2BB94480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Данный вывод основывается на идее о социальной обусловленности сознания людей.</w:t>
      </w:r>
    </w:p>
    <w:p w14:paraId="7D85A2DC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Здесь существенно отметить, что социальное взаимодействие носит ролевой характер, что</w:t>
      </w:r>
      <w:r>
        <w:t xml:space="preserve"> </w:t>
      </w:r>
      <w:r w:rsidRPr="00F441C4">
        <w:t>проявляется</w:t>
      </w:r>
      <w:r>
        <w:t xml:space="preserve"> </w:t>
      </w:r>
      <w:r w:rsidRPr="00F441C4">
        <w:t>уже</w:t>
      </w:r>
      <w:r>
        <w:t xml:space="preserve"> </w:t>
      </w:r>
      <w:r w:rsidRPr="00F441C4">
        <w:t>на стадии восприятия</w:t>
      </w:r>
      <w:r>
        <w:t xml:space="preserve"> </w:t>
      </w:r>
      <w:r w:rsidRPr="00F441C4">
        <w:t>коммуникантами друг</w:t>
      </w:r>
      <w:r>
        <w:t xml:space="preserve"> </w:t>
      </w:r>
      <w:r w:rsidRPr="00F441C4">
        <w:t>друга.</w:t>
      </w:r>
      <w:r>
        <w:t xml:space="preserve"> </w:t>
      </w:r>
      <w:r w:rsidRPr="00F441C4">
        <w:t>Экспериментальным</w:t>
      </w:r>
      <w:r>
        <w:t xml:space="preserve"> </w:t>
      </w:r>
      <w:r w:rsidRPr="00F441C4">
        <w:t>путемА.Бодалев показал, что “другой человек воспринимается не только в своих исходных физических качествах (такой-то рост, пол,</w:t>
      </w:r>
      <w:r>
        <w:t xml:space="preserve"> </w:t>
      </w:r>
      <w:r w:rsidRPr="00F441C4">
        <w:t>возраст,</w:t>
      </w:r>
      <w:r>
        <w:t xml:space="preserve"> </w:t>
      </w:r>
      <w:r w:rsidRPr="00F441C4">
        <w:t>фигура, лицо, глаза и пр.), но и как личность, занимающая определенное положение в обществе и играющая ту или иную роль в жизни как воспринимающего, так и общества”(4).</w:t>
      </w:r>
    </w:p>
    <w:p w14:paraId="0AC5D340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Резюмируя сказанное о социальной роли, можно сделать вывод о том, что роль - это форма общественного поведения человека, обусловленная его положением в некоторой социальной группе (например, в семье, в учебной, производственной, спортивной, военной группе: ср. роли отца и сына, начальника и подчиненного, тренера и спортсмена, учителя и ученика, командира и солдата) и в некоторой ситуации общения - например, в ситуации купли-продажи, приема у врача, судебного заседания и т.п. (ср. роли покупателя и продавца, врача и пациента, судьи и подсудимого).</w:t>
      </w:r>
    </w:p>
    <w:p w14:paraId="62460581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Как видно из приведенных примеров, пары социальныхролей -наиболее типичная форма ролевого взаимодействия людей. Соотношение ролей в таких парах может быть трояким:</w:t>
      </w:r>
    </w:p>
    <w:p w14:paraId="334E1C1A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роль первого участника ситуации (Х) выше роли второго участника ситуации (У): Рх &gt; Ру; </w:t>
      </w:r>
    </w:p>
    <w:p w14:paraId="5698DD0C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роль первого участника ситуации (Х) ниже роли второго участника ситуации (У): Рх &lt; Ру; </w:t>
      </w:r>
    </w:p>
    <w:p w14:paraId="4164F9C3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роли обоих участников ситуации равны: Рх = Ру.</w:t>
      </w:r>
    </w:p>
    <w:p w14:paraId="59CE96F7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Для ролевых отношений всех трех типов в языке существуют многочисленные лексические обозначения. При этом значения слов, называющих ролевые отношения первых двух типов, можно охарактеризовать как социально ориентированные, а слова третьей группы (такие, как дружить, сотрудничать, сослуживец, сосед, однокурсник и т.д.) - как социально не ориентированные. </w:t>
      </w:r>
    </w:p>
    <w:p w14:paraId="65825580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Значительная часть слов первой группы - это обозначения действий, которые связаны с выполнением данной социально-ролевой функции: командир должен командовать, подчиненный должен подчиняться, невзрослый сын должен слушаться родителей и не должен их ослушиваться и т.д. Компонент смысла, указывающий на неравенство ролей участников ситуации, здесь вполне очевиден.</w:t>
      </w:r>
    </w:p>
    <w:p w14:paraId="5416EC2F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Что касается социально-психологических аспектов непосредственного речевого (диалогического) общения, то здесь наибольший интерес представляет начальный этап коммуникативного акта. </w:t>
      </w:r>
    </w:p>
    <w:p w14:paraId="0E6FBB5E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Для общения коммуникантам необходима общность знаковых средств и определенная общность социального опыта. Общность социального опыта, социальных знаний никогда не бывает у них полной, поэтому для эффективного общения коммуникантам необходимы сведения: 1) о социальных знаниях собеседника, позволяющих сделать вывод о его апперцепционных способностях и ориентировать на них свои речевые действия и 2) об иерархическом соотношении своих статусов, чтобы регулировать действия этических правил отбора языковых средств.</w:t>
      </w:r>
    </w:p>
    <w:p w14:paraId="6F73B506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Ориентация в собеседнике и в речевой ситуации на начальном этапе общения (но не только на начальном) осуществляется при помощи целого набора средств: языковых, </w:t>
      </w:r>
      <w:r w:rsidRPr="00F441C4">
        <w:lastRenderedPageBreak/>
        <w:t>паралингвистических (степень громкости, диапазон модуляций голоса, специфическая экспрессивно-эмоциональная окраска; жесты, мимика, ситуация речи и т.д.), кинесических (движение органов речи, голосовых связок, губ, языка), проксемических. Именно для ориентации собеседника в адресанте служит система обращений, хотя и специфическая для носителей разных языков, но предназначенная для установления социальных отношений между собеседниками.</w:t>
      </w:r>
    </w:p>
    <w:p w14:paraId="44F4AA01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Ориентация в собеседнике осуществляется по признакам статусных ролей (пол, возраст, национальность, образование, профессия) и такой важной позиционной ролью, как занимаемая должность, тесно связанная с социальным статусом. Эти роли личности, идентифицированные в процессе ориентировки, обусловливают и выбор языка (при билингвизме) и выбор языкового кода (при диглоссии).</w:t>
      </w:r>
    </w:p>
    <w:p w14:paraId="792AC7E5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По мнению А.А.Бодалева, путем визуального восприятия ролевых знаков коммуниканты строят гипотезы о социальных характеристиках друг друга, намеренно или ненамеренно демонстрируют знаки своего статуса, корректируют свои гипотезы (4). Можно предполагать, что уточнение гипотез об апперцепционных способностях и статусах коммуникантов происходит одновременно, ибо те и другие гипотезы строятся на основе одних и тех же ролевых знаков.</w:t>
      </w:r>
    </w:p>
    <w:p w14:paraId="79438CBB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Из проблем начального этапа коммуникативного акта особенно интенсивно обсуждалась проблема социально-символической регуляции поведения коммуникантов. Здесь в первую очередь необходимо назвать серию работ Л.С.Школьника (5,6).</w:t>
      </w:r>
    </w:p>
    <w:p w14:paraId="2F7ADB8B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Л.С.Школьником было показано, что коммуниканты в неопределенной ситуации общения при отсутствии четкой платформы взаимодействия создают ее или инструментально (путем прямых указаний на предлагаемые для реализации социальные отношения), или социально-символическим путем, демонстрируя знаки этих социальных отношений. В частности, было экспериментально установлено, что представления о речи носителей социальных ролей основываются не на реальных наблюдениях носителей языка, а формируются как социальные стереотипы. Следует заметить, что демонстрация однозначно идентифицируемых признаков речи носителя определенной роли есть средство демонстрации этой роли. </w:t>
      </w:r>
    </w:p>
    <w:p w14:paraId="174535D8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Таким образом, рассматриваемый в данной работе материал рекомендуется учитывать при обучении устной речевой коммуникации в вузовской аудитории, что повышает качество процесса общения как в режиме “преподаватель - учебная группа/ студент”, так и “студент - студент(ы)”.</w:t>
      </w:r>
    </w:p>
    <w:p w14:paraId="552F6AD8" w14:textId="77777777" w:rsidR="0042697E" w:rsidRPr="0064710A" w:rsidRDefault="0042697E" w:rsidP="0042697E">
      <w:pPr>
        <w:spacing w:before="120"/>
        <w:jc w:val="center"/>
        <w:rPr>
          <w:b/>
          <w:bCs/>
          <w:sz w:val="28"/>
          <w:szCs w:val="28"/>
        </w:rPr>
      </w:pPr>
      <w:r w:rsidRPr="0064710A">
        <w:rPr>
          <w:b/>
          <w:bCs/>
          <w:sz w:val="28"/>
          <w:szCs w:val="28"/>
        </w:rPr>
        <w:t>Список литературы</w:t>
      </w:r>
    </w:p>
    <w:p w14:paraId="1722D655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Психологические проблемы социальной регуляции. М., 1976. </w:t>
      </w:r>
    </w:p>
    <w:p w14:paraId="2E854A01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Кречмар А.О. О понятийном аппарате социальной концепции личности// Социальные исследования, вып.5, М., 1970. </w:t>
      </w:r>
    </w:p>
    <w:p w14:paraId="4A74DB02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Абульханова-Славская К.А. О субъекте психической деятельности. М., 1973. </w:t>
      </w:r>
    </w:p>
    <w:p w14:paraId="0002C2FB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Бодалев А.А. Восприятие человека человеком. Л., 1970. </w:t>
      </w:r>
    </w:p>
    <w:p w14:paraId="04FED634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Школьник Л.С. Место речевого социального символизма в системе социальной регуляции поведения коммуникантов// Аспекты лингвистического анализа (на материале языков разных систем). М.,1974. </w:t>
      </w:r>
    </w:p>
    <w:p w14:paraId="3F6C3327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Школьник Л.С. Социальный символизм и педагогическая техника// Воспитание, обучение и развитие школьников. М., 1975. </w:t>
      </w:r>
    </w:p>
    <w:p w14:paraId="34F33190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Бабаян В.Н. Триада: адресант - адресат - молчащий наблюдатель// Общество, язык и мышление: Материалы Всероссийской научной конференции. Вып. 1. - М., 1996. С.72-73. </w:t>
      </w:r>
    </w:p>
    <w:p w14:paraId="70C12C3D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lastRenderedPageBreak/>
        <w:t xml:space="preserve">.Бабаян В.Н. Особенности диалога при молчащем наблюдателе. - Автореф. дисс. ...канд. филол. наук. Ярославль, 1998. </w:t>
      </w:r>
    </w:p>
    <w:p w14:paraId="3DCB1293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>Круглова С.Л. Полилогическая речь (на материале англ. языка). - Автореф. дисс. ...канд. филол. наук. М., 1997.</w:t>
      </w:r>
    </w:p>
    <w:p w14:paraId="32947954" w14:textId="77777777" w:rsidR="0042697E" w:rsidRPr="00F441C4" w:rsidRDefault="0042697E" w:rsidP="0042697E">
      <w:pPr>
        <w:spacing w:before="120"/>
        <w:ind w:firstLine="567"/>
        <w:jc w:val="both"/>
      </w:pPr>
      <w:r w:rsidRPr="00F441C4">
        <w:t xml:space="preserve">Для подготовки данной работы были использованы материалы с сайта </w:t>
      </w:r>
      <w:hyperlink r:id="rId4" w:history="1">
        <w:r w:rsidRPr="00F441C4">
          <w:rPr>
            <w:rStyle w:val="a3"/>
          </w:rPr>
          <w:t>http://www.yspu.yar.ru</w:t>
        </w:r>
      </w:hyperlink>
    </w:p>
    <w:p w14:paraId="04FF62E3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E"/>
    <w:rsid w:val="0042697E"/>
    <w:rsid w:val="00616072"/>
    <w:rsid w:val="0064710A"/>
    <w:rsid w:val="006A5004"/>
    <w:rsid w:val="007C3C7D"/>
    <w:rsid w:val="008B35EE"/>
    <w:rsid w:val="00B42C45"/>
    <w:rsid w:val="00B47B6A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0A9ED"/>
  <w14:defaultImageDpi w14:val="0"/>
  <w15:docId w15:val="{54489101-E2E8-49A4-AE00-7C0ED2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7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26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8756</Characters>
  <Application>Microsoft Office Word</Application>
  <DocSecurity>0</DocSecurity>
  <Lines>72</Lines>
  <Paragraphs>20</Paragraphs>
  <ScaleCrop>false</ScaleCrop>
  <Company>Home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социальной регуляции деятельности коммуниканта в акте общения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