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E9DD" w14:textId="77777777" w:rsidR="00FF372D" w:rsidRPr="00B60900" w:rsidRDefault="00FF372D" w:rsidP="00FF372D">
      <w:pPr>
        <w:spacing w:before="120"/>
        <w:jc w:val="center"/>
        <w:rPr>
          <w:b/>
          <w:bCs/>
          <w:sz w:val="32"/>
          <w:szCs w:val="32"/>
        </w:rPr>
      </w:pPr>
      <w:r w:rsidRPr="00B60900">
        <w:rPr>
          <w:b/>
          <w:bCs/>
          <w:sz w:val="32"/>
          <w:szCs w:val="32"/>
        </w:rPr>
        <w:t>Перспективы третьего сектора в России с позиции психологии личности</w:t>
      </w:r>
    </w:p>
    <w:p w14:paraId="495DB4E0" w14:textId="77777777" w:rsidR="00FF372D" w:rsidRPr="00B60900" w:rsidRDefault="00FF372D" w:rsidP="00FF372D">
      <w:pPr>
        <w:spacing w:before="120"/>
        <w:ind w:firstLine="567"/>
        <w:jc w:val="both"/>
        <w:rPr>
          <w:sz w:val="28"/>
          <w:szCs w:val="28"/>
        </w:rPr>
      </w:pPr>
      <w:r w:rsidRPr="00B60900">
        <w:rPr>
          <w:sz w:val="28"/>
          <w:szCs w:val="28"/>
        </w:rPr>
        <w:t>Юлия Качалова</w:t>
      </w:r>
    </w:p>
    <w:p w14:paraId="2AF0DD4D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Постепенная, но закономерная трансформация российского общества в общество постиндустриального типа позволяет сделать вывод о том, что перспективы развития третьего сектора в России зависят от способности некоммерческих организаций устанавливать связь между глубинными духовными потребностями личности и возможностью личности влиять на общество. В первую очередь, эта способность проявляется в умении формировать устойчивую мотивацию к добровольческой и иной альтруистической деятельности.</w:t>
      </w:r>
    </w:p>
    <w:p w14:paraId="7566AA56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Стандартная схема мотивационного отношения</w:t>
      </w:r>
      <w:r>
        <w:t xml:space="preserve"> </w:t>
      </w:r>
      <w:r w:rsidRPr="00FD266C">
        <w:t>[1] моделируется цепочкой: потребность-мотив-цель-смысл. Цепочка «потребность-мотив-цель» – отражает общее для иудео-христианской культуры вообще (и западной и восточной) дуалистическое мировосприятие, в котором</w:t>
      </w:r>
      <w:r>
        <w:t xml:space="preserve"> </w:t>
      </w:r>
      <w:r w:rsidRPr="00FD266C">
        <w:t xml:space="preserve">между «я» и «не я», между субъектом и объектом всегда стоит проблема, которая порождает цель: «решить проблему», то есть определенным образом воздействовать на «объект», чтобы в результате изменились некоторые характеристики объекта и он перестал восприниматься субъектом как проблема. При этом «цель» – «решить проблему» не может быть завершением цепочки в стратегии формирования мотивационного отношения. За «целью» должен следовать «смысл». </w:t>
      </w:r>
    </w:p>
    <w:p w14:paraId="7EA19D80" w14:textId="77777777" w:rsidR="00FF372D" w:rsidRDefault="00FF372D" w:rsidP="00FF372D">
      <w:pPr>
        <w:spacing w:before="120"/>
        <w:ind w:firstLine="567"/>
        <w:jc w:val="both"/>
      </w:pPr>
      <w:r w:rsidRPr="00FD266C">
        <w:t>Зона «смысла» при мотивировании к добровольчеству лежит в архетипической, трансперсональной области, которые в цивилизации понимания (западно-христианской) и цивилизации восприятия (восточно-христианской) имеют разное содержание. Архетипический «смысл», который стоит за «целью» (решением проблемы) у представителя цивилизации понимания, скорее всего, будет заключаться в том, что правильное поведение заслуживает поощрения со стороны Абсолюта и компенсирует чувство вины за несоответствие всем требованиям Абсолюта.</w:t>
      </w:r>
      <w:r>
        <w:t xml:space="preserve"> </w:t>
      </w:r>
    </w:p>
    <w:p w14:paraId="192425DF" w14:textId="77777777" w:rsidR="00FF372D" w:rsidRDefault="00FF372D" w:rsidP="00FF372D">
      <w:pPr>
        <w:spacing w:before="120"/>
        <w:ind w:firstLine="567"/>
        <w:jc w:val="both"/>
      </w:pPr>
      <w:r w:rsidRPr="00FD266C">
        <w:t>«Смысл» у представителя цивилизации восприятия – это достижение некоего состояния души,</w:t>
      </w:r>
      <w:r>
        <w:t xml:space="preserve"> </w:t>
      </w:r>
      <w:r w:rsidRPr="00FD266C">
        <w:t>в котором чувствуешь гармонию с миром, благодать и т.п. Этот смысл очень близок к восточной (в первую очередь, даосской) философии, предлагающей правильную стратегию жизни и использующей состояние человека (его целостность, естественность, ощущение гармонии с внешним миром) в качестве критерия «правильности»</w:t>
      </w:r>
      <w:r>
        <w:t xml:space="preserve"> </w:t>
      </w:r>
      <w:r w:rsidRPr="00FD266C">
        <w:t>[2].</w:t>
      </w:r>
      <w:r>
        <w:t xml:space="preserve"> </w:t>
      </w:r>
    </w:p>
    <w:p w14:paraId="1ACDA4EB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Таким образом, для формирования мотивации к добровольчеству у представителя цивилизации восприятия более эффективно будет применять процессуальную модель, ориентированную на состояние. Разработка и экспериментальная проверка ориентированной на состояние</w:t>
      </w:r>
      <w:r>
        <w:t xml:space="preserve"> </w:t>
      </w:r>
      <w:r w:rsidRPr="00FD266C">
        <w:t xml:space="preserve">модели формирования мотивации к добровольческой деятельности, выполненные в ходе диссертационного исследования, показали, что это действительно так, если мы хотим добиться пролонгированной и устойчивой мотивации. </w:t>
      </w:r>
    </w:p>
    <w:p w14:paraId="5E3C9B18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Для формирования первичной мотивации вполне применима субстациональная модель. Кроме того, в тех областях, которые связаны с поверхностными слоями сознания (например, когда требуется укрепить имидж общественных групп в глазах определенных социальных институтов -</w:t>
      </w:r>
      <w:r>
        <w:t xml:space="preserve"> </w:t>
      </w:r>
      <w:r w:rsidRPr="00FD266C">
        <w:t>средств массовой информации, органов власти и т.д.) субстациональная модель может применяться в цивилизации восприятия не менее успешно, чем в цивилизации понимания</w:t>
      </w:r>
      <w:r>
        <w:t xml:space="preserve"> </w:t>
      </w:r>
      <w:r w:rsidRPr="00FD266C">
        <w:t>[3].</w:t>
      </w:r>
    </w:p>
    <w:p w14:paraId="5616CBBF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Широкое использование модели, ориентированной на состояние, затруднено ввиду следующих причин:</w:t>
      </w:r>
    </w:p>
    <w:p w14:paraId="43934B08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lastRenderedPageBreak/>
        <w:t>а). сложности для понимания на ментальном уровне и передаче на вербальном уровне таких расплывчатых и неуловимых понятий как «состояние», «атмосфера». Передача состояния осуществляется не столько за счет применения специальных технологий (использования «правильных» слов и других конвенциональных символов, правильного времени и места), сколько за счет способности мотивирующей группы соотноситься с глубинными слоями сознания – своими и других людей. Как заметила Симона Вейль: «Одни и те же слова могут прозвучать обыденно или необыкновенно, в зависимости от того, как они произнесены. А это зависит от того, насколько глубоко внутри человека лежит источник этих слов, причем произвольно управлять этим невозможно. И благодаря волшебному совпадению они проникают в слушателя на такую же глубину»</w:t>
      </w:r>
      <w:r>
        <w:t xml:space="preserve"> </w:t>
      </w:r>
      <w:r w:rsidRPr="00FD266C">
        <w:t xml:space="preserve">[4]. </w:t>
      </w:r>
    </w:p>
    <w:p w14:paraId="04B25A49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б). Отсутствия среди представителей НКО достаточного количества лидеров, обладающих специфическим набором качеств, необходимых для использования процессуальной модели. К этим качествам относятся ясное и глубокое осознавание своей миссии и пути, достаточная гибкость и</w:t>
      </w:r>
      <w:r>
        <w:t xml:space="preserve"> </w:t>
      </w:r>
      <w:r w:rsidRPr="00FD266C">
        <w:t xml:space="preserve">открытость для обсуждений, умение передавать свое «состояние». Подобным качествам (в отличие от организационных навыков, умения планировать и разбираться в «системе вознаграждений», требующихся для успешного применения субстациональной модели) невозможно научиться. Они являются не результатом обучения, а результатом интенсивной работы по развитию собственной личности. Можно дать внешний импульс, к тому, чтобы человек открыл в себе и со временем самостоятельно развил подобные качества, но научить им невозможно. </w:t>
      </w:r>
    </w:p>
    <w:p w14:paraId="493E56F8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Сравнение поведения групп НКО в ходе 3-х недельных образовательных</w:t>
      </w:r>
      <w:r>
        <w:t xml:space="preserve"> </w:t>
      </w:r>
      <w:r w:rsidRPr="00FD266C">
        <w:t>программ, о которых уже говорилось выше (в первой программе участвовало 35 человек, во второй 18, в третьей – 33), и других групп, участвовавших в тренингах Института развития личности, позволяют сделать вывод, что для групп НКО свойственно:</w:t>
      </w:r>
    </w:p>
    <w:p w14:paraId="779B47A0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1.</w:t>
      </w:r>
      <w:r>
        <w:t xml:space="preserve"> </w:t>
      </w:r>
      <w:r w:rsidRPr="00FD266C">
        <w:t>Сильное сопротивление внешним рамкам – ограничениям в поведении,</w:t>
      </w:r>
      <w:r>
        <w:t xml:space="preserve"> </w:t>
      </w:r>
      <w:r w:rsidRPr="00FD266C">
        <w:t>накладываемым участием в программе. Принятие правил (в частности, воздержание от алкоголя и просмотра телевизора в течение всего времени прохождения участником программы) вызывало бурные дискуссии о правах человека, демократии, манипуляции. При этом наблюдался высокий уровень послушания, но слабое осознавание личной ответственности за выполнение принятых на себя обязательств. То есть привычная модель взаимоотношения, используя терминологию трансактного анализа</w:t>
      </w:r>
      <w:r>
        <w:t xml:space="preserve"> </w:t>
      </w:r>
      <w:r w:rsidRPr="00FD266C">
        <w:t>[5], для участников была «ребенок-родитель», а не «взрослый-взрослый».</w:t>
      </w:r>
    </w:p>
    <w:p w14:paraId="1B17B5AB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2.</w:t>
      </w:r>
      <w:r>
        <w:t xml:space="preserve"> </w:t>
      </w:r>
      <w:r w:rsidRPr="00FD266C">
        <w:t xml:space="preserve">Сильная сопротивляемость личностным интервенциям, большой слой защит при обращении к глубинным уровням сознания. </w:t>
      </w:r>
    </w:p>
    <w:p w14:paraId="77A1345D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3.</w:t>
      </w:r>
      <w:r>
        <w:t xml:space="preserve"> </w:t>
      </w:r>
      <w:r w:rsidRPr="00FD266C">
        <w:t>Постоянное возвращение на социально-адаптативный уровень.</w:t>
      </w:r>
    </w:p>
    <w:p w14:paraId="7E62CC6B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Для объяснения этих явлений воспользуемся концепцией сверхценного экрана, разработанной в кластерной модели сознания</w:t>
      </w:r>
      <w:r>
        <w:t xml:space="preserve"> </w:t>
      </w:r>
      <w:r w:rsidRPr="00FD266C">
        <w:t>[6]. Согласно этой концепции, нерезонансность адаптативного и духовного уровней приводит к возникновению напряжения в системе, причем чем сильнее модель поведения и восприятия на адаптативном уровне отличается от ценностей, связанных с глубокими слоями сознания, тем больше будет это напряжение (рис.</w:t>
      </w:r>
      <w:r>
        <w:t xml:space="preserve"> </w:t>
      </w:r>
      <w:r w:rsidRPr="00FD266C">
        <w:t xml:space="preserve">5а). </w:t>
      </w:r>
    </w:p>
    <w:p w14:paraId="2F490FCC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Появление такого напряжения приводит к нестабильности адаптативного слоя и, следовательно, к необходимости для всей системы сознания найти способ стабилизации. Наиболее естественным способом стабилизации была бы подстройка адаптативного уровня к глубоким экзистенциальным слоям (построение канального кластера), однако такая подстройка представляет сложности, и система может выбрать гораздо более простой способ стабилизации</w:t>
      </w:r>
      <w:r>
        <w:t xml:space="preserve"> </w:t>
      </w:r>
      <w:r w:rsidRPr="00FD266C">
        <w:t>— сформировать свой собственный экранирующий слой над энергетическим барьером (рис.</w:t>
      </w:r>
      <w:r>
        <w:t xml:space="preserve"> </w:t>
      </w:r>
      <w:r w:rsidRPr="00FD266C">
        <w:t xml:space="preserve">5б). </w:t>
      </w:r>
    </w:p>
    <w:p w14:paraId="20EFC061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lastRenderedPageBreak/>
        <w:t>Этот экранирующий слой «замещает» слой универсального единства для поверхностных слоев сознания и становится своего рода «заместителем бога», кумиром . К</w:t>
      </w:r>
      <w:r>
        <w:t xml:space="preserve"> </w:t>
      </w:r>
      <w:r w:rsidRPr="00FD266C">
        <w:t>таким кумирам могут относиться религиозные и социальные идолы, идеи, идеологии и т.д. В отличие от кропотливой работы по формированию канального кластера процесс создания кумира или сверхценного экрана (СЭ) относительно прост, более того, при изменении внешних условий можно легко и просто изменить экран, приспособив его к новым условиям. Например, нет ничего особо удивительного в том, насколько легко и быстро в России произошел переход: дореволюционная религиозность ® коммунизм</w:t>
      </w:r>
      <w:r>
        <w:t xml:space="preserve"> </w:t>
      </w:r>
      <w:r w:rsidRPr="00FD266C">
        <w:t>® постперестроечная религиозность -</w:t>
      </w:r>
      <w:r>
        <w:t xml:space="preserve"> </w:t>
      </w:r>
      <w:r w:rsidRPr="00FD266C">
        <w:t xml:space="preserve">так как фактически произошла лишь смена ярлыков сверхценного экран. </w:t>
      </w:r>
    </w:p>
    <w:p w14:paraId="28B416B7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Сверхценный экран , как правило, оформляется в конкретную суженую модель духовности</w:t>
      </w:r>
      <w:r>
        <w:t xml:space="preserve"> </w:t>
      </w:r>
      <w:r w:rsidRPr="00FD266C">
        <w:t xml:space="preserve">— следование форме, а не духу учения. </w:t>
      </w:r>
    </w:p>
    <w:p w14:paraId="1FD83D47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Мы уже упоминали выше о столь распространенном среди участников наших образовательных программ абстрактном представлении об альтруизме как о необходимости приносить себя в жертву общественному благу. </w:t>
      </w:r>
    </w:p>
    <w:p w14:paraId="45B39B9E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Положительной стороной формирования сверхценного экрана является быстрый перевод системы в более стабильное состояние, когда вектор напряженности экранируется. Однако при наличии такого экрана система никогда не приходит в состояние гармонии. При анализе высказываний участников фокус-групп мы обратили внимание на то, что очень многие представители НКО главным преимуществом своего стиля жизни считают высокую насыщенность жизни, постоянное перемещение («все время в пути, в дороге», «вечный драйв» и т.д.). Как справедливо заметил Н.Хамитов, «главная проблема наших дней состоит в замене подлинности интенсивностью»</w:t>
      </w:r>
      <w:r>
        <w:t xml:space="preserve"> </w:t>
      </w:r>
      <w:bookmarkStart w:id="0" w:name="_ednref7"/>
      <w:r w:rsidRPr="00FD266C">
        <w:t>[7]</w:t>
      </w:r>
      <w:bookmarkEnd w:id="0"/>
      <w:r w:rsidRPr="00FD266C">
        <w:t xml:space="preserve">. Это вечное движение есть не что иное, как бегство от самих себя, оно необходимо, чтобы избежать чувства дисгармонии, которое порождается вследствие экранирования духовного слоя. </w:t>
      </w:r>
    </w:p>
    <w:p w14:paraId="1665D98A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Если сверхценный экран перестроить определенным образом, он может быть использован для прохода в глубокие духовные слои. Если экран подстраивается не под верхние адаптативные слои, а под глубинные, то он может стать своего рода мостиком, ступенькой для постепенной подстройки всей системы к нижнему духовному слою. При этом такой экран должен постоянно изменяться, отражая внутреннее развитие системы, и для его успешной динамики очень желательна поддержка извне. Такой ступенькой может служить ритуал или ритуализованные практики (но если такая ступенька перестает развиваться, она превращается в уже описанный сверхценный экран).</w:t>
      </w:r>
    </w:p>
    <w:p w14:paraId="5C572E24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На наш взгляд, перестройка сверхценного экрана и постепенное углубление уровней самоидентификации (как было отмечено при анализе фокус-групп, большинство участников, определяя собственную идентификацию, концентрировались на</w:t>
      </w:r>
      <w:r>
        <w:t xml:space="preserve"> </w:t>
      </w:r>
      <w:r w:rsidRPr="00FD266C">
        <w:t>верхнем социально-профессиональном уровне), может</w:t>
      </w:r>
      <w:r>
        <w:t xml:space="preserve"> </w:t>
      </w:r>
      <w:r w:rsidRPr="00FD266C">
        <w:t xml:space="preserve">осуществляться за счет ритуалов инициации. </w:t>
      </w:r>
    </w:p>
    <w:p w14:paraId="1791FEF6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В любом традиционном обществе известны два основных типа инициаций: возрастные и специализированные</w:t>
      </w:r>
      <w:r>
        <w:t xml:space="preserve"> </w:t>
      </w:r>
      <w:bookmarkStart w:id="1" w:name="_ednref8"/>
      <w:r w:rsidRPr="00FD266C">
        <w:t>[8]</w:t>
      </w:r>
      <w:bookmarkEnd w:id="1"/>
      <w:r w:rsidRPr="00FD266C">
        <w:t xml:space="preserve">. </w:t>
      </w:r>
    </w:p>
    <w:p w14:paraId="56EEDBB6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Возрастные инициации или «обряды перехода» отделяют одну стадию жизни «обращаемого» от другой. На протяжении своей жизни человек проходит через ряд кризисных точек, связанных с фазами развития сознания: от детства к отрочеству, от отрочества к юности, от юности к ранней зрелости, от ранней зрелости</w:t>
      </w:r>
      <w:r>
        <w:t xml:space="preserve"> </w:t>
      </w:r>
      <w:r w:rsidRPr="00FD266C">
        <w:t xml:space="preserve">к средним годам, от средних лет к старости. Эти критические периоды требуют большого осмысления и духовных усилий, и ритуалы «посвящения» (естественно, зависящие от возраста и несущие явно выраженный мирской характер в юношеские годы, и более религиозную окраску в возрасте) направлены на то, чтобы облегчить этот процесс. У молодых людей наиболее распространенной моделью обряда инициации является суровое испытание на силу и выносливость. При этом задача испытуемого не выбиваться из сил, пытаясь достичь амбициозной цели, но покориться суровому испытанию, отказаться от всех амбиций и </w:t>
      </w:r>
      <w:r w:rsidRPr="00FD266C">
        <w:lastRenderedPageBreak/>
        <w:t>желаний, участвовать в испытании без надежды на успех – фактически быть готовым к смерти. Независимо от того, в мягкой или жесткой форме осуществляется испытание, оно преследует одну цель – вызвать символическое переживание смерти, из которого может возникнуть символическое переживание нового рождения</w:t>
      </w:r>
      <w:r>
        <w:t xml:space="preserve"> </w:t>
      </w:r>
      <w:bookmarkStart w:id="2" w:name="_ednref9"/>
      <w:r w:rsidRPr="00FD266C">
        <w:t>[9]</w:t>
      </w:r>
      <w:bookmarkEnd w:id="2"/>
      <w:r w:rsidRPr="00FD266C">
        <w:t xml:space="preserve">. </w:t>
      </w:r>
    </w:p>
    <w:p w14:paraId="246FC5BD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Специализированные инициации определяют вхождение человека в то или иное объединение сакрального характера (каста, орден, тайный союз) или получение им доступа к того или иного рода сакральным ценностям (например, обретение «шаманского зрения»). Схемы, по которым они проходят, практически те же, что и в возрастных инициациях, поскольку они имеют общий смысл. </w:t>
      </w:r>
    </w:p>
    <w:p w14:paraId="6F01975C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Он заключается в</w:t>
      </w:r>
      <w:r>
        <w:t xml:space="preserve"> </w:t>
      </w:r>
      <w:r w:rsidRPr="00FD266C">
        <w:t>том, что люди до и после прохождения инициации отличаются не только своим социальным статусом, но своей внутренней сутью. Если вспомнить советские годы, то легко проследить аналогию между прохождением своеобразных обрядов инициации (приемом в октябрята, в пионеры, в комсомол, в партию) и правом занимать более высокий статус в общественной иерархии. Однако, как и в любом обществе, построенном на системе сверхценных экранов, эти «квази» инициации следовали (причем очень плоско и формально) форме, нежели духу Традиции. Ни о каком сущностном изменение после подобной «инициации» и речи быть не могло.</w:t>
      </w:r>
      <w:r>
        <w:t xml:space="preserve"> </w:t>
      </w:r>
      <w:r w:rsidRPr="00FD266C">
        <w:t xml:space="preserve">Как отмечает А.Платов: «Раб может убить своего хозяина, завладеть его имуществом и даже социальным статусом, но, не будучи инициирован в свободные люди, сущностно останется рабом. Не пройдя должной инициации, человек, взявший в руки автомат, может стать солдатом, но не Воином; человек, овладевший навыками «биоэнергетики», станет экстрасенсом, но не Магом, а человек, победивший на демократических выборах, – президентом, но не Истинным Королем...» </w:t>
      </w:r>
      <w:bookmarkStart w:id="3" w:name="_ednref10"/>
      <w:r w:rsidRPr="00FD266C">
        <w:t>[10]</w:t>
      </w:r>
      <w:bookmarkEnd w:id="3"/>
      <w:r w:rsidRPr="00FD266C">
        <w:t>.</w:t>
      </w:r>
    </w:p>
    <w:p w14:paraId="2B188B00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Мы так подробно останавливаемся на ритуалах перехода и инициации, поскольку они архетипически связаны с идеей «принятия ответственности». Мы понимаем под ответственностью:</w:t>
      </w:r>
    </w:p>
    <w:p w14:paraId="67994C19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а). готовность отвечать, то есть активно реагировать;</w:t>
      </w:r>
    </w:p>
    <w:p w14:paraId="7F0957C2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б). готовность принимать последствия своих выборов.</w:t>
      </w:r>
    </w:p>
    <w:p w14:paraId="2478B746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Идея принятия ответственности своими корнями уходит в «обряд перехода», отделяющего одну стадию жизни «обращаемого» от другой. Только после прохождения возрастной инициации молодой человек может включиться в роль, отведенную взрослым в жизни традиционного сообщества, со всеми вытекающими из нее правами и уровнем ответственности. Идея ответственности адресована</w:t>
      </w:r>
      <w:r>
        <w:t xml:space="preserve"> </w:t>
      </w:r>
      <w:r w:rsidRPr="00FD266C">
        <w:t>взрослому сознанию, осознающему причинно-следственные связи.</w:t>
      </w:r>
    </w:p>
    <w:p w14:paraId="461BAD67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В России и до, и после советской власти традиционной моделью взаимоотношений между государством и населением была трансактная модель «родитель-ребенок». Случившееся после перестройки крушение этой привычной модели у значительной части населения вызвало ощущение острого сиротства. Исследования, проведенные в конце 90-х годов </w:t>
      </w:r>
      <w:bookmarkStart w:id="4" w:name="_ednref11"/>
      <w:r w:rsidRPr="00FD266C">
        <w:t>[11]</w:t>
      </w:r>
      <w:bookmarkEnd w:id="4"/>
      <w:r w:rsidRPr="00FD266C">
        <w:t xml:space="preserve">, показали, что не только среднее и старшее поколения, но и значительная часть молодежи стала чувствовать «социальную покинутость». Подобное социально-психологическое состояние населения, особенно в хронической форме, способствует полной стагнации и экономики и вообще какого-либо развития. Изменить это состояние возможно, с одной стороны, вернувшись к старой патерналистской модели взаимоотношений государство-граждане. Второй вариант – формирование у населения взрослого самосознания, означающего принятие ответственности и за собственную локальную ситуацию, и за свою жизнь в целом, и за общество. </w:t>
      </w:r>
    </w:p>
    <w:p w14:paraId="2ED8325E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В преломлении представлений человека о собственной национальной идентичности, эта идея формирует то, что называется гражданской ответственностью. Немецкий философ Карл Ясперс </w:t>
      </w:r>
      <w:bookmarkStart w:id="5" w:name="_ednref12"/>
      <w:r w:rsidRPr="00FD266C">
        <w:t>[12]</w:t>
      </w:r>
      <w:bookmarkEnd w:id="5"/>
      <w:r w:rsidRPr="00FD266C">
        <w:t xml:space="preserve"> в своих работах, посвященных фашизму,</w:t>
      </w:r>
      <w:r>
        <w:t xml:space="preserve"> </w:t>
      </w:r>
      <w:r w:rsidRPr="00FD266C">
        <w:t xml:space="preserve">призывал всех немцев, в том числе и антифашистов, к осознанию моральной и политической ответственности за </w:t>
      </w:r>
      <w:r w:rsidRPr="00FD266C">
        <w:lastRenderedPageBreak/>
        <w:t>преступления Германии во Второй Мировой войне. Он писал о "малодушии духовности", которое не позволяет пройти по пути очищения души, а значит достичь политической свободы. Свобода начинается с того, что в большинстве народа отдельный человек чувствует и себя ответственным за политику своего общества. Ясперс подчеркивал, что у современных немцев есть только две альтернативы – либо заурядность безразличного существования, либо</w:t>
      </w:r>
      <w:r>
        <w:t xml:space="preserve"> </w:t>
      </w:r>
      <w:r w:rsidRPr="00FD266C">
        <w:t xml:space="preserve">признание ответственности, духовная работа анализа и покаяния. </w:t>
      </w:r>
    </w:p>
    <w:p w14:paraId="371113D8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Российское общество может пойти своим традиционным путем: создать новых идолов и начать новый исторический пласт, на первый взгляд, не связанный с предыдущим, и в то же время копирующий его основные патологические черты.</w:t>
      </w:r>
      <w:r>
        <w:t xml:space="preserve"> </w:t>
      </w:r>
      <w:r w:rsidRPr="00FD266C">
        <w:t>Альтернатива</w:t>
      </w:r>
      <w:r>
        <w:t xml:space="preserve"> </w:t>
      </w:r>
      <w:r w:rsidRPr="00FD266C">
        <w:t xml:space="preserve">- направить энергию в духовный слой, осознать себя гражданами, которые несут ответственность за то, как ими правят, а не только лишь поддерживают или терпят действия своих правителей по национальным и патриотическим соображениям. </w:t>
      </w:r>
    </w:p>
    <w:p w14:paraId="25331B30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В этом отношении – в привитии людям идеи ответственности – ведущая роль на Западе принадлежит третьему сектору. Как пишет Питер Друкер в статье «Век социальной трансформации», на которую мы ссылались во введении: организации третьего сектора «все больше служат еще одной важной цели: они создают чувство гражданства. Современное общество и государственное устройство стали настолько крупными и сложными, что гражданство, то есть ответственное участие – уже невозможно. Все, что мы можем делать в качестве граждан – это голосовать один раз в несколько лет и постоянно платить налоги. Участвуя в работе организаций третьего сектора в качестве добровольца, можно внести в такое положение определенные коррективы».</w:t>
      </w:r>
    </w:p>
    <w:p w14:paraId="34A6D27C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>На наш взгляд, усилия российских некоммерческих организаций по формированию у населения мотивации к добровольчеству, через которое постепенно происходит формирование взрослого самосознания, чрезвычайно важны. Однако их способность выполнять воспитательную функцию связана с тем, насколько люди, берущиеся за решение подобной задачи, сумеют быть лидерами не только социальными, но духовными. Эту мысль прекрасно выразил Э.Фромм в своем «Кредо»: «Воспитание означает знакомство с лучшим из наследия человечества. Но так как большая часть этого наследия выражается словами, то воспитание эффективно только, если эти слова обрели реальность в лице учителя, в практике и устройстве общества. Только материализованная во плоти идея может оказать влияние на человека; идея, которая остается лишь словами, способна изменять только слова»</w:t>
      </w:r>
      <w:r>
        <w:t xml:space="preserve"> </w:t>
      </w:r>
      <w:bookmarkStart w:id="6" w:name="_ednref13"/>
      <w:r w:rsidRPr="00FD266C">
        <w:t>[13]</w:t>
      </w:r>
      <w:bookmarkEnd w:id="6"/>
      <w:r w:rsidRPr="00FD266C">
        <w:t xml:space="preserve">. </w:t>
      </w:r>
    </w:p>
    <w:p w14:paraId="7EE5B4E9" w14:textId="77777777" w:rsidR="00FF372D" w:rsidRPr="00B60900" w:rsidRDefault="00FF372D" w:rsidP="00FF372D">
      <w:pPr>
        <w:spacing w:before="120"/>
        <w:jc w:val="center"/>
        <w:rPr>
          <w:b/>
          <w:bCs/>
          <w:sz w:val="28"/>
          <w:szCs w:val="28"/>
        </w:rPr>
      </w:pPr>
      <w:r w:rsidRPr="00B60900">
        <w:rPr>
          <w:b/>
          <w:bCs/>
          <w:sz w:val="28"/>
          <w:szCs w:val="28"/>
        </w:rPr>
        <w:t>Список литературы</w:t>
      </w:r>
    </w:p>
    <w:p w14:paraId="4D5A54FE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 [1] А.Орлов. «Личность и сущность: внешнее и внутренне Я человека». Вопросы психологии 1995, №2. Стр. 509-532. </w:t>
      </w:r>
    </w:p>
    <w:p w14:paraId="1D7B61FA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[2] А. Уотс. «Природа, мужчина и женщина». София, 1999. </w:t>
      </w:r>
    </w:p>
    <w:p w14:paraId="216A7529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[3] Е. Алексеева, Ю. Качалова, Е. Тополева. «Тропой социального маркетинга» М., 1999. </w:t>
      </w:r>
    </w:p>
    <w:p w14:paraId="0C1D685C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[4] Э.Фромм «Искусство любить» в сб. «Искусство любить». СПб. 2001, стр.69-208 </w:t>
      </w:r>
    </w:p>
    <w:p w14:paraId="5F394951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[5] Э.Берн «Игры, в которые играют люди. Психология человеческих взаимоотношений. Люди, которые играют в игры. Психология человеческой судьбы». СПб-М., 1996. </w:t>
      </w:r>
    </w:p>
    <w:p w14:paraId="33BE9599" w14:textId="77777777" w:rsidR="00FF372D" w:rsidRPr="00FD266C" w:rsidRDefault="00FF372D" w:rsidP="00FF372D">
      <w:pPr>
        <w:spacing w:before="120"/>
        <w:ind w:firstLine="567"/>
        <w:jc w:val="both"/>
      </w:pPr>
      <w:r w:rsidRPr="00FD266C">
        <w:t xml:space="preserve">[6] М. Щербаков «Модель сверхценного экрана». Здесь и сейчас. Вып.2, 1998. </w:t>
      </w:r>
    </w:p>
    <w:p w14:paraId="317DDB03" w14:textId="77777777" w:rsidR="00FF372D" w:rsidRPr="00FD266C" w:rsidRDefault="00FF372D" w:rsidP="00FF372D">
      <w:pPr>
        <w:spacing w:before="120"/>
        <w:ind w:firstLine="567"/>
        <w:jc w:val="both"/>
      </w:pPr>
      <w:bookmarkStart w:id="7" w:name="_edn7"/>
      <w:r w:rsidRPr="00FD266C">
        <w:t>[7]</w:t>
      </w:r>
      <w:bookmarkEnd w:id="7"/>
      <w:r w:rsidRPr="00FD266C">
        <w:t xml:space="preserve"> Н.Хамитов. Философия и психология пола. Киев, 2001. </w:t>
      </w:r>
    </w:p>
    <w:p w14:paraId="4447C00E" w14:textId="77777777" w:rsidR="00FF372D" w:rsidRPr="00FD266C" w:rsidRDefault="00FF372D" w:rsidP="00FF372D">
      <w:pPr>
        <w:spacing w:before="120"/>
        <w:ind w:firstLine="567"/>
        <w:jc w:val="both"/>
      </w:pPr>
      <w:bookmarkStart w:id="8" w:name="_edn8"/>
      <w:r w:rsidRPr="00FD266C">
        <w:t>[8]</w:t>
      </w:r>
      <w:bookmarkEnd w:id="8"/>
      <w:r w:rsidRPr="00FD266C">
        <w:t xml:space="preserve"> М.Элиаде. «Обряды и символы инициации». В альманахе «Мифы и магия индоевропейцев». Вып.10, М. 2002. Стр. 138-145. </w:t>
      </w:r>
    </w:p>
    <w:p w14:paraId="0F9FBB3F" w14:textId="77777777" w:rsidR="00FF372D" w:rsidRPr="00FD266C" w:rsidRDefault="00FF372D" w:rsidP="00FF372D">
      <w:pPr>
        <w:spacing w:before="120"/>
        <w:ind w:firstLine="567"/>
        <w:jc w:val="both"/>
      </w:pPr>
      <w:bookmarkStart w:id="9" w:name="_edn9"/>
      <w:r w:rsidRPr="00FD266C">
        <w:t>[9]</w:t>
      </w:r>
      <w:bookmarkEnd w:id="9"/>
      <w:r w:rsidRPr="00FD266C">
        <w:t xml:space="preserve"> К.Юнг «Человек и его символы».</w:t>
      </w:r>
      <w:r>
        <w:t xml:space="preserve"> </w:t>
      </w:r>
      <w:r w:rsidRPr="00FD266C">
        <w:t xml:space="preserve">М. 1997. </w:t>
      </w:r>
    </w:p>
    <w:p w14:paraId="7DDF1169" w14:textId="77777777" w:rsidR="00FF372D" w:rsidRPr="00FD266C" w:rsidRDefault="00FF372D" w:rsidP="00FF372D">
      <w:pPr>
        <w:spacing w:before="120"/>
        <w:ind w:firstLine="567"/>
        <w:jc w:val="both"/>
      </w:pPr>
      <w:bookmarkStart w:id="10" w:name="_edn10"/>
      <w:r w:rsidRPr="00FD266C">
        <w:lastRenderedPageBreak/>
        <w:t>[10]</w:t>
      </w:r>
      <w:bookmarkEnd w:id="10"/>
      <w:r w:rsidRPr="00FD266C">
        <w:t xml:space="preserve"> А.Платонов. «Традиционные посвящения: бессмертие и свобода». В альманахе «Мифы и магия индоевропейцев». Вып.10, М. 2002. Стр. 124-137. </w:t>
      </w:r>
    </w:p>
    <w:p w14:paraId="71ABEBD1" w14:textId="77777777" w:rsidR="00FF372D" w:rsidRPr="00FD266C" w:rsidRDefault="00FF372D" w:rsidP="00FF372D">
      <w:pPr>
        <w:spacing w:before="120"/>
        <w:ind w:firstLine="567"/>
        <w:jc w:val="both"/>
      </w:pPr>
      <w:bookmarkStart w:id="11" w:name="_edn11"/>
      <w:r w:rsidRPr="00FD266C">
        <w:t>[11]</w:t>
      </w:r>
      <w:bookmarkEnd w:id="11"/>
      <w:r w:rsidRPr="00FD266C">
        <w:t xml:space="preserve"> О.Здравомыслова, М.Арутюнян, И.Шурыгина. Социальная дифференциация семей и альтернативные жизненные стратегии. Отчет по результатам исследования. М.,1997. </w:t>
      </w:r>
    </w:p>
    <w:p w14:paraId="6B82A8BC" w14:textId="77777777" w:rsidR="00FF372D" w:rsidRPr="00FD266C" w:rsidRDefault="00FF372D" w:rsidP="00FF372D">
      <w:pPr>
        <w:spacing w:before="120"/>
        <w:ind w:firstLine="567"/>
        <w:jc w:val="both"/>
      </w:pPr>
      <w:bookmarkStart w:id="12" w:name="_edn12"/>
      <w:r w:rsidRPr="00FD266C">
        <w:t>[12]</w:t>
      </w:r>
      <w:bookmarkEnd w:id="12"/>
      <w:r w:rsidRPr="00FD266C">
        <w:t xml:space="preserve"> К.Ясперс. «Смысл и назначение истории». Изд. Второе. М., 1994 </w:t>
      </w:r>
    </w:p>
    <w:p w14:paraId="0E901F39" w14:textId="77777777" w:rsidR="00FF372D" w:rsidRPr="00FD266C" w:rsidRDefault="00FF372D" w:rsidP="00FF372D">
      <w:pPr>
        <w:spacing w:before="120"/>
        <w:ind w:firstLine="567"/>
        <w:jc w:val="both"/>
      </w:pPr>
      <w:bookmarkStart w:id="13" w:name="_edn13"/>
      <w:r w:rsidRPr="00FD266C">
        <w:t>[13]</w:t>
      </w:r>
      <w:bookmarkEnd w:id="13"/>
      <w:r w:rsidRPr="00FD266C">
        <w:t xml:space="preserve"> Э.Фромм «Кредо» в сб. «Искусство любить». СПб. 2001, стр.211-220 </w:t>
      </w:r>
    </w:p>
    <w:p w14:paraId="4A0A88FA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2D"/>
    <w:rsid w:val="00616072"/>
    <w:rsid w:val="008B35EE"/>
    <w:rsid w:val="00B42C45"/>
    <w:rsid w:val="00B47B6A"/>
    <w:rsid w:val="00B60900"/>
    <w:rsid w:val="00D52E7F"/>
    <w:rsid w:val="00FD266C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FB268"/>
  <w14:defaultImageDpi w14:val="0"/>
  <w15:docId w15:val="{CA952CD1-6344-461F-BB45-405B2BF1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72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2699</Words>
  <Characters>15388</Characters>
  <Application>Microsoft Office Word</Application>
  <DocSecurity>0</DocSecurity>
  <Lines>128</Lines>
  <Paragraphs>36</Paragraphs>
  <ScaleCrop>false</ScaleCrop>
  <Company>Home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Перспективы третьего сектора в России с позиции психологии личности</dc:title>
  <dc:subject/>
  <dc:creator>User</dc:creator>
  <cp:keywords/>
  <dc:description/>
  <cp:lastModifiedBy>Igor_Trofimov</cp:lastModifiedBy>
  <cp:revision>2</cp:revision>
  <dcterms:created xsi:type="dcterms:W3CDTF">2025-10-30T05:30:00Z</dcterms:created>
  <dcterms:modified xsi:type="dcterms:W3CDTF">2025-10-30T05:30:00Z</dcterms:modified>
</cp:coreProperties>
</file>