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DCD0" w14:textId="77777777" w:rsidR="00000000" w:rsidRDefault="00C74985">
      <w:pPr>
        <w:widowControl w:val="0"/>
        <w:spacing w:before="120"/>
        <w:jc w:val="center"/>
        <w:rPr>
          <w:rStyle w:val="content"/>
          <w:b/>
          <w:bCs/>
          <w:color w:val="000000"/>
          <w:sz w:val="32"/>
          <w:szCs w:val="32"/>
        </w:rPr>
      </w:pPr>
      <w:r>
        <w:rPr>
          <w:rStyle w:val="content"/>
          <w:b/>
          <w:bCs/>
          <w:color w:val="000000"/>
          <w:sz w:val="32"/>
          <w:szCs w:val="32"/>
        </w:rPr>
        <w:t>Психология политических клик</w:t>
      </w:r>
    </w:p>
    <w:p w14:paraId="04730E07" w14:textId="77777777" w:rsidR="00000000" w:rsidRDefault="00C74985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content"/>
          <w:color w:val="000000"/>
          <w:sz w:val="28"/>
          <w:szCs w:val="28"/>
        </w:rPr>
        <w:t>Э. Н. Ожиганов, доктор философских наук</w:t>
      </w:r>
    </w:p>
    <w:p w14:paraId="4CEDDCB0" w14:textId="77777777" w:rsidR="00000000" w:rsidRDefault="00C74985">
      <w:pPr>
        <w:widowControl w:val="0"/>
        <w:spacing w:before="120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"Клики" и "социальные сети": интеграция методологических подходов</w:t>
      </w:r>
    </w:p>
    <w:p w14:paraId="5C3823FA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Политическая клика - это "группа" раг ехе</w:t>
      </w:r>
      <w:r>
        <w:rPr>
          <w:rStyle w:val="content"/>
          <w:color w:val="000000"/>
          <w:sz w:val="24"/>
          <w:szCs w:val="24"/>
        </w:rPr>
        <w:t>llence, которая предстает перед исследователем как набор признаков и условий, определяющих "сетевую" природу ее возникновения и существования.</w:t>
      </w:r>
    </w:p>
    <w:p w14:paraId="70C91811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Анализ "социальных сетей" стал развиваться в сравнительно неформализованном виде на основе структурных исследован</w:t>
      </w:r>
      <w:r>
        <w:rPr>
          <w:rStyle w:val="content"/>
          <w:color w:val="000000"/>
          <w:sz w:val="24"/>
          <w:szCs w:val="24"/>
        </w:rPr>
        <w:t>ий известного антрополога Ред-клифф-Брауна. Начиная с 30-х гг., многие антропологи, социологи и социальные психологи стали пользоваться его концепцией "социальной структуры" и при этом широко применять его "тканевые" метафоры. Из этих научных метафор, пред</w:t>
      </w:r>
      <w:r>
        <w:rPr>
          <w:rStyle w:val="content"/>
          <w:color w:val="000000"/>
          <w:sz w:val="24"/>
          <w:szCs w:val="24"/>
        </w:rPr>
        <w:t>назначенных для анализа "переплетения" или "перекрещивания" межличностных связей, посредством которых организуются социальные действия, впоследствии возникли концепции "межличностных конфигураций" и "клик"</w:t>
      </w:r>
    </w:p>
    <w:p w14:paraId="6DAD33BE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Направление, изучавшее "клики", "кластеры" или "бл</w:t>
      </w:r>
      <w:r>
        <w:rPr>
          <w:rStyle w:val="content"/>
          <w:color w:val="000000"/>
          <w:sz w:val="24"/>
          <w:szCs w:val="24"/>
        </w:rPr>
        <w:t>оки", получило свое развитие в Гарвардском университете в 30-х и 40-х гг. (Л. Уорнер, Э Мейо и др.) Значительные усилия были предприняты для нахождения способов декомпозиции "социальных сетей" на составляющие их подгруппы. Эмпирическое исследование "неформ</w:t>
      </w:r>
      <w:r>
        <w:rPr>
          <w:rStyle w:val="content"/>
          <w:color w:val="000000"/>
          <w:sz w:val="24"/>
          <w:szCs w:val="24"/>
        </w:rPr>
        <w:t>альных отношений" в крупномасштабных системах привело к открытию, что эти системы содержали внутри себя скрытые сплоченные подгруппы. Возникла необходимость разработки методов, с помощью которых можно было бы выявить структуру подгрупп любой социальной сис</w:t>
      </w:r>
      <w:r>
        <w:rPr>
          <w:rStyle w:val="content"/>
          <w:color w:val="000000"/>
          <w:sz w:val="24"/>
          <w:szCs w:val="24"/>
        </w:rPr>
        <w:t>темы с относительно доступными реляционными данными. В процессе реализации гарвардских программ, направленных на исследование социальных отношений в промышленности и городских общинах, Уорнер и его коллеги придали этим концепциям эмпирическое измерение. Уо</w:t>
      </w:r>
      <w:r>
        <w:rPr>
          <w:rStyle w:val="content"/>
          <w:color w:val="000000"/>
          <w:sz w:val="24"/>
          <w:szCs w:val="24"/>
        </w:rPr>
        <w:t>рнер, в частности, считал, что социальная конфигурация, которая охватывает современную социальную общину, состоит из различных подгрупп типа семьи, церкви, классов и ассоциаций. Наряду с ними существуют подгруппы, названные им "кликами" -это неформальные о</w:t>
      </w:r>
      <w:r>
        <w:rPr>
          <w:rStyle w:val="content"/>
          <w:color w:val="000000"/>
          <w:sz w:val="24"/>
          <w:szCs w:val="24"/>
        </w:rPr>
        <w:t>бъединения индивидов, между которыми существует определенная степень чувства группы и близости, и на основе которых устанавливаются специфические групповые нормы поведения.</w:t>
      </w:r>
    </w:p>
    <w:p w14:paraId="28A6EBB2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Для Уорнера "клика" имела то же значение в исследованиях социальной общности, что и</w:t>
      </w:r>
      <w:r>
        <w:rPr>
          <w:rStyle w:val="content"/>
          <w:color w:val="000000"/>
          <w:sz w:val="24"/>
          <w:szCs w:val="24"/>
        </w:rPr>
        <w:t xml:space="preserve"> неформальная группа для Мейо в исследованиях социальных отношений в промышленности, поскольку само понятие "клики" относится к специфической конфигурации неформальных межличностных отношений. В 1936 г. сотрудники Уорнера провели исследование городских общ</w:t>
      </w:r>
      <w:r>
        <w:rPr>
          <w:rStyle w:val="content"/>
          <w:color w:val="000000"/>
          <w:sz w:val="24"/>
          <w:szCs w:val="24"/>
        </w:rPr>
        <w:t>ин в южных штатах Америки, в результате которого концепция "клик" получила" свое дальнейшее развитие. Они анализируют "клики" как пересекающиеся круги, отображающие накладывающиеся характеристики членов наиболее активных клик в "социальном пространстве" кл</w:t>
      </w:r>
      <w:r>
        <w:rPr>
          <w:rStyle w:val="content"/>
          <w:color w:val="000000"/>
          <w:sz w:val="24"/>
          <w:szCs w:val="24"/>
        </w:rPr>
        <w:t>асса и возраста. Главное новшество состояло в попытке исследовать внутреннюю структуру "клик" - ядро, первичный и вторичный круги.</w:t>
      </w:r>
    </w:p>
    <w:p w14:paraId="26ACE641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Позднее ученые стали анализировать такие характеристики групп, как "плотность" и "текстура" социальных сетей, однако формальн</w:t>
      </w:r>
      <w:r>
        <w:rPr>
          <w:rStyle w:val="content"/>
          <w:color w:val="000000"/>
          <w:sz w:val="24"/>
          <w:szCs w:val="24"/>
        </w:rPr>
        <w:t>ые математические методы, которые специально приспособлены к так называемым реляционным данным, разрабатывались вне рамок основного направления исследовательских методов, пока в начале 50-х гг. не был осуществлен прорыв в структурном анализе "социальных се</w:t>
      </w:r>
      <w:r>
        <w:rPr>
          <w:rStyle w:val="content"/>
          <w:color w:val="000000"/>
          <w:sz w:val="24"/>
          <w:szCs w:val="24"/>
        </w:rPr>
        <w:t>тей" (М. Глукман, Д. Барнс, К. Митчелл, Э. Ботт и др.).</w:t>
      </w:r>
    </w:p>
    <w:p w14:paraId="520A163E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 30-х и 40-х гг. концепции "клик" развивались параллельно с традициями социометрических исследований малых групп (К. Левин, Д. Морено, Ф. Хайдер и др.), не обнаруживая какого-либо взаимовлияния. Перв</w:t>
      </w:r>
      <w:r>
        <w:rPr>
          <w:rStyle w:val="content"/>
          <w:color w:val="000000"/>
          <w:sz w:val="24"/>
          <w:szCs w:val="24"/>
        </w:rPr>
        <w:t xml:space="preserve">ые признаки пересечения этих двух направлений появились в работах Д. Хоманса, который полагал, что социальная теория </w:t>
      </w:r>
      <w:r>
        <w:rPr>
          <w:rStyle w:val="content"/>
          <w:color w:val="000000"/>
          <w:sz w:val="24"/>
          <w:szCs w:val="24"/>
        </w:rPr>
        <w:lastRenderedPageBreak/>
        <w:t xml:space="preserve">должна быть создана на основании исследований социального взаимодействия внутри малых групп. Он попытался осуществить теоретический синтез </w:t>
      </w:r>
      <w:r>
        <w:rPr>
          <w:rStyle w:val="content"/>
          <w:color w:val="000000"/>
          <w:sz w:val="24"/>
          <w:szCs w:val="24"/>
        </w:rPr>
        <w:t>результатов экспериментальных работ социальных психологов и эмпирических наблюдений социологов и антропологов. Ученые стали интересоваться разработкой более формальных приложений теории "социальных сетей", а с начала 70-х гг. растет поток технических и спе</w:t>
      </w:r>
      <w:r>
        <w:rPr>
          <w:rStyle w:val="content"/>
          <w:color w:val="000000"/>
          <w:sz w:val="24"/>
          <w:szCs w:val="24"/>
        </w:rPr>
        <w:t>циализированных приложений в этой области [4] .</w:t>
      </w:r>
    </w:p>
    <w:p w14:paraId="68041F10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 процессе развития теории "социальных сетей" сложились представления об основных видах научных данных, каждому из которых соответствуют и определенные методы анализа - "реляционные", "атрибутивные" и "мотива</w:t>
      </w:r>
      <w:r>
        <w:rPr>
          <w:rStyle w:val="content"/>
          <w:color w:val="000000"/>
          <w:sz w:val="24"/>
          <w:szCs w:val="24"/>
        </w:rPr>
        <w:t>ционные".</w:t>
      </w:r>
    </w:p>
    <w:p w14:paraId="0128A127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Реляционные данные относятся к связям, контактам и "подключениям" индивидов в социальную сеть, а также к отношениям между группами, которые связывают "акторов" социальных сетей между собой и не могут быть сведены непосредственно к свойствам отдел</w:t>
      </w:r>
      <w:r>
        <w:rPr>
          <w:rStyle w:val="content"/>
          <w:color w:val="000000"/>
          <w:sz w:val="24"/>
          <w:szCs w:val="24"/>
        </w:rPr>
        <w:t>ьных индивидов. Отношения - это свойства не "акторов", а их систем, поскольку эти отношения подключают "акторов" в большие реляционные системы. Методы, соответствующие реляционным данным - это методы сетевого анализа, посредством которых отношения рассматр</w:t>
      </w:r>
      <w:r>
        <w:rPr>
          <w:rStyle w:val="content"/>
          <w:color w:val="000000"/>
          <w:sz w:val="24"/>
          <w:szCs w:val="24"/>
        </w:rPr>
        <w:t>иваются как выражение связей, действующих между "акторами". При наличии доступных сведений структура политической "клики" может быть достаточно четко выявлена социометрическими методами. Здесь решающими критериями является частота контактов и вес "акторов"</w:t>
      </w:r>
      <w:r>
        <w:rPr>
          <w:rStyle w:val="content"/>
          <w:color w:val="000000"/>
          <w:sz w:val="24"/>
          <w:szCs w:val="24"/>
        </w:rPr>
        <w:t xml:space="preserve"> в процессах принятия ключевых политических решений [5]. Наряду с применением количественных и статистических методов анализа отношений, сетевой анализ включает ряд качественных измерений сетевой структуры.</w:t>
      </w:r>
    </w:p>
    <w:p w14:paraId="0EBAFDB5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Атрибутивные данные касаются мнений и поведения и</w:t>
      </w:r>
      <w:r>
        <w:rPr>
          <w:rStyle w:val="content"/>
          <w:color w:val="000000"/>
          <w:sz w:val="24"/>
          <w:szCs w:val="24"/>
        </w:rPr>
        <w:t>ндивидов в той степени, в которой они рассматриваются как свойства, качества или характеристики, принадлежащие им как "акторам" социальных сетей. Показатели, собранные с помощью опросов и интервью, рассматриваются как "атрибуты", которые могут быть определ</w:t>
      </w:r>
      <w:r>
        <w:rPr>
          <w:rStyle w:val="content"/>
          <w:color w:val="000000"/>
          <w:sz w:val="24"/>
          <w:szCs w:val="24"/>
        </w:rPr>
        <w:t>ены количественно и проанализированы на основе стандартных статистических процедур. Методы, соответствующие атрибутивным данным, относятся к анализу переменных, посредством которого "атрибуты" измеряются как значения специфических переменных (доходы, занят</w:t>
      </w:r>
      <w:r>
        <w:rPr>
          <w:rStyle w:val="content"/>
          <w:color w:val="000000"/>
          <w:sz w:val="24"/>
          <w:szCs w:val="24"/>
        </w:rPr>
        <w:t>ия, образование и т. д.).</w:t>
      </w:r>
    </w:p>
    <w:p w14:paraId="36A3C67F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Третий вид представлен мотивационными данными, которые относятся непосредственно к психологическим установкам и мотивам "акторов" социальных сетей и клик. Несмотря на их ключевое значение для социальных наук, методы анализа мотива</w:t>
      </w:r>
      <w:r>
        <w:rPr>
          <w:rStyle w:val="content"/>
          <w:color w:val="000000"/>
          <w:sz w:val="24"/>
          <w:szCs w:val="24"/>
        </w:rPr>
        <w:t>ций "акторов" гораздо менее разработаны, чем методы анализа атрибутивных и реляционных данных. Считается, что типологический анализ такого вида, содержащийся в работах М. Вебера, представляет собой наиболее плодотворный подход в этой области, однако он тре</w:t>
      </w:r>
      <w:r>
        <w:rPr>
          <w:rStyle w:val="content"/>
          <w:color w:val="000000"/>
          <w:sz w:val="24"/>
          <w:szCs w:val="24"/>
        </w:rPr>
        <w:t>бует дальнейшего развития.</w:t>
      </w:r>
    </w:p>
    <w:p w14:paraId="4402CEE4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Исследования "реляционных" характеристик по необходимости "отстраиваются" от психологических аспектов формирования и действий политических клик, однако интеграция методологических подходов стимулируется общей задачей - изучением </w:t>
      </w:r>
      <w:r>
        <w:rPr>
          <w:rStyle w:val="content"/>
          <w:color w:val="000000"/>
          <w:sz w:val="24"/>
          <w:szCs w:val="24"/>
        </w:rPr>
        <w:t>отношений власти и господства внутри человеческих групп.</w:t>
      </w:r>
    </w:p>
    <w:p w14:paraId="3AC7CD68" w14:textId="77777777" w:rsidR="00000000" w:rsidRDefault="00C74985">
      <w:pPr>
        <w:widowControl w:val="0"/>
        <w:spacing w:before="120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"Клики" и "распределение власти"</w:t>
      </w:r>
    </w:p>
    <w:p w14:paraId="1E1FDAB0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Вебер стремился создать такую методологическую перспективу, которая позволила бы связать как психологические аспекты (мотивация), так и "реляционные" характеристики с</w:t>
      </w:r>
      <w:r>
        <w:rPr>
          <w:rStyle w:val="content"/>
          <w:color w:val="000000"/>
          <w:sz w:val="24"/>
          <w:szCs w:val="24"/>
        </w:rPr>
        <w:t>оциального действия. "Социология, - подчеркивал он, - категорически отвергает утверждение, будто "понимание" и "объяснение" не взаимосвязаны, хотя совершенно верно, что исследование в обоих случаях начинается на противоположных полюсах происходящего; в час</w:t>
      </w:r>
      <w:r>
        <w:rPr>
          <w:rStyle w:val="content"/>
          <w:color w:val="000000"/>
          <w:sz w:val="24"/>
          <w:szCs w:val="24"/>
        </w:rPr>
        <w:t>тности, статистическая повторяемость явления ни на йоту не делает "понятнее" его смысл, а оптимальная степень "понятности" как таковая не влияет на его статистику" [7, 5. 412].</w:t>
      </w:r>
    </w:p>
    <w:p w14:paraId="4715457D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lastRenderedPageBreak/>
        <w:t>Вместе с тем, значение методологического подхода _Вебера может быть оценено тол</w:t>
      </w:r>
      <w:r>
        <w:rPr>
          <w:rStyle w:val="content"/>
          <w:color w:val="000000"/>
          <w:sz w:val="24"/>
          <w:szCs w:val="24"/>
        </w:rPr>
        <w:t>ько с учетом его взглядов на природу социального действия. При переходе от анализа "социальных действий" к анализу "социальных структур" Вебер формулирует центральную для всей его "понимающей социологии" концепцию о способах ориентации действий на определе</w:t>
      </w:r>
      <w:r>
        <w:rPr>
          <w:rStyle w:val="content"/>
          <w:color w:val="000000"/>
          <w:sz w:val="24"/>
          <w:szCs w:val="24"/>
        </w:rPr>
        <w:t>нный легитимный порядок - целе-рациональный, аффектуальный, традиционный и ценностно-рациональный. Тем самым задается такой масштаб исследований, который выводит на первый план борьбу за господство или, говоря словами Вебера, "борьбу за условия внутреннего</w:t>
      </w:r>
      <w:r>
        <w:rPr>
          <w:rStyle w:val="content"/>
          <w:color w:val="000000"/>
          <w:sz w:val="24"/>
          <w:szCs w:val="24"/>
        </w:rPr>
        <w:t xml:space="preserve"> и внешнего распределения власти".</w:t>
      </w:r>
    </w:p>
    <w:p w14:paraId="1617A50E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Политическая власть, согласно Веберу, изначально связана с применением психического и физического насилия: "Политический характер определенного объединения может быть установлен лишь на уровне средства, которое, не будучи</w:t>
      </w:r>
      <w:r>
        <w:rPr>
          <w:rStyle w:val="content"/>
          <w:color w:val="000000"/>
          <w:sz w:val="24"/>
          <w:szCs w:val="24"/>
        </w:rPr>
        <w:t xml:space="preserve"> свойственным исключительно данному объединению, все же специфично и необходимо для его существования, а именно - насилия" [8, 3. 30]. Хотя Вебер не сводил все содержание господства к насилию, очевидно, что насилие трактовалось как основа политических отно</w:t>
      </w:r>
      <w:r>
        <w:rPr>
          <w:rStyle w:val="content"/>
          <w:color w:val="000000"/>
          <w:sz w:val="24"/>
          <w:szCs w:val="24"/>
        </w:rPr>
        <w:t>шений, "первичный фактор" в возникновении социального порядка и политических структур. Насильственные социальные действия - исторически абсолютно "изначальные" явления, и только в процессе длительной эволюции совершается переход к монополизации легитимного</w:t>
      </w:r>
      <w:r>
        <w:rPr>
          <w:rStyle w:val="content"/>
          <w:color w:val="000000"/>
          <w:sz w:val="24"/>
          <w:szCs w:val="24"/>
        </w:rPr>
        <w:t xml:space="preserve"> насилия в руках специальных институтов политико-территориальных сообществ. Сходную точку зрения выражает и 3. Фрейд, когда говорит, что "воедино общество связуют две вещи: насильственное принуждение и эмоциональные связи между членами общества -технически</w:t>
      </w:r>
      <w:r>
        <w:rPr>
          <w:rStyle w:val="content"/>
          <w:color w:val="000000"/>
          <w:sz w:val="24"/>
          <w:szCs w:val="24"/>
        </w:rPr>
        <w:t xml:space="preserve"> именуемые идентификациями" [1, с. 262-263].</w:t>
      </w:r>
    </w:p>
    <w:p w14:paraId="2423B8FE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Вебер придавал первостепенное значение психическим или эмоциональным основам оправдания деятельности этих институтов, тому особому престижу власти, который возникает ввиду ее притязаний на само существование как</w:t>
      </w:r>
      <w:r>
        <w:rPr>
          <w:rStyle w:val="content"/>
          <w:color w:val="000000"/>
          <w:sz w:val="24"/>
          <w:szCs w:val="24"/>
        </w:rPr>
        <w:t xml:space="preserve"> отдельных индивидов, так и целых социальных групп: "Современное положение политических объединений основывается на престиже, создаваемом специфической верой их членов в особое предназначение данных объединений. Регулируемые ими социальные действия приобре</w:t>
      </w:r>
      <w:r>
        <w:rPr>
          <w:rStyle w:val="content"/>
          <w:color w:val="000000"/>
          <w:sz w:val="24"/>
          <w:szCs w:val="24"/>
        </w:rPr>
        <w:t>тают "легитимность" постольку, поскольку они соединяют физическое насилие с властью над жизнью и смертью своих членов".</w:t>
      </w:r>
    </w:p>
    <w:p w14:paraId="097CB6E0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С этой точки зрения "политическая клика" - это неформальная группа, психологическим основанием которой является опыт применения "узаконе</w:t>
      </w:r>
      <w:r>
        <w:rPr>
          <w:rStyle w:val="content"/>
          <w:color w:val="000000"/>
          <w:sz w:val="24"/>
          <w:szCs w:val="24"/>
        </w:rPr>
        <w:t>нного" насилия при достижении целей, выходящих за рамки формальных политических структур. Групповое сознание "политической клики" формируется в процессе борьбы за распределение власти в пространстве, занимаемом формальными политическими "союзами" и "инстит</w:t>
      </w:r>
      <w:r>
        <w:rPr>
          <w:rStyle w:val="content"/>
          <w:color w:val="000000"/>
          <w:sz w:val="24"/>
          <w:szCs w:val="24"/>
        </w:rPr>
        <w:t>утами".</w:t>
      </w:r>
    </w:p>
    <w:p w14:paraId="1080779C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"Клику" следует отличать от "клана". В отличие от "клана", который формируется на родовой, племенной либо территориальной основе, "клика" - это, прежде всего, негласная групповая принадлежность. Например, на родоплеменной основе формируются господс</w:t>
      </w:r>
      <w:r>
        <w:rPr>
          <w:rStyle w:val="content"/>
          <w:color w:val="000000"/>
          <w:sz w:val="24"/>
          <w:szCs w:val="24"/>
        </w:rPr>
        <w:t>твующие группы в ряде национальных республик Российской Федерации. На федеральном уровне в различные периоды имели значение свердловский, петербургский, нижегородский территориальные кланы и т. д. Клики же возникают на почве дефективности формальных полити</w:t>
      </w:r>
      <w:r>
        <w:rPr>
          <w:rStyle w:val="content"/>
          <w:color w:val="000000"/>
          <w:sz w:val="24"/>
          <w:szCs w:val="24"/>
        </w:rPr>
        <w:t>ческих структур в качестве негласных (теневых) организаций господствующего класса, борющихся за неформальное распределение власти. Теневыми субъектами, действующими на российской политической сцене, являются "политические", "придворные", "военные", "промыш</w:t>
      </w:r>
      <w:r>
        <w:rPr>
          <w:rStyle w:val="content"/>
          <w:color w:val="000000"/>
          <w:sz w:val="24"/>
          <w:szCs w:val="24"/>
        </w:rPr>
        <w:t>ленные", или, в случае перекрещивания коммерческой и политической активности, "финансово-политические" клики. Все вместе они образуют определенную сеть отношений, которая может быть определена как "теневое государство". Прогрессирующий коллапс дееспособнос</w:t>
      </w:r>
      <w:r>
        <w:rPr>
          <w:rStyle w:val="content"/>
          <w:color w:val="000000"/>
          <w:sz w:val="24"/>
          <w:szCs w:val="24"/>
        </w:rPr>
        <w:t>ти "формального государства" создает вакуум государственной власти, который заполняется системой теневых контактов между кликами. Ряд серьезных зарубежных специалистов также считают, что в деятельности "теневого государства", как параллельного образования,</w:t>
      </w:r>
      <w:r>
        <w:rPr>
          <w:rStyle w:val="content"/>
          <w:color w:val="000000"/>
          <w:sz w:val="24"/>
          <w:szCs w:val="24"/>
        </w:rPr>
        <w:t xml:space="preserve"> существующего за фасадом "формального государства", следует искать все ответы на парадоксы социально-экономической ситуации, </w:t>
      </w:r>
      <w:r>
        <w:rPr>
          <w:rStyle w:val="content"/>
          <w:color w:val="000000"/>
          <w:sz w:val="24"/>
          <w:szCs w:val="24"/>
        </w:rPr>
        <w:lastRenderedPageBreak/>
        <w:t>национальной идентичности и глобальной роли России [6].</w:t>
      </w:r>
    </w:p>
    <w:p w14:paraId="2B79530C" w14:textId="77777777" w:rsidR="00000000" w:rsidRDefault="00C74985">
      <w:pPr>
        <w:widowControl w:val="0"/>
        <w:spacing w:before="120"/>
        <w:ind w:firstLine="567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Психология политических клик</w:t>
      </w:r>
    </w:p>
    <w:p w14:paraId="6873AFC0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Необходимый элемент "коллективной" природы кл</w:t>
      </w:r>
      <w:r>
        <w:rPr>
          <w:rStyle w:val="content"/>
          <w:color w:val="000000"/>
          <w:sz w:val="24"/>
          <w:szCs w:val="24"/>
        </w:rPr>
        <w:t>ик - наличие доминирующего признака (или системы признаков) группо-образования. Каждый член клики должен "узнать" другого, т. е. "признать" обоснованность его притязаний на членство в клике, только так может возникнуть основа для взаимодействия. "Узнавание</w:t>
      </w:r>
      <w:r>
        <w:rPr>
          <w:rStyle w:val="content"/>
          <w:color w:val="000000"/>
          <w:sz w:val="24"/>
          <w:szCs w:val="24"/>
        </w:rPr>
        <w:t>" - это важнейший группообразующий механизм, достигший в человеческих кликах высокого уровня сложности. У многих видов живых существ, например, у насекомых или крыс, узнавание осуществляется с помощью запаха, служащего "удостоверением личности". В человече</w:t>
      </w:r>
      <w:r>
        <w:rPr>
          <w:rStyle w:val="content"/>
          <w:color w:val="000000"/>
          <w:sz w:val="24"/>
          <w:szCs w:val="24"/>
        </w:rPr>
        <w:t>ских группах, особенно в скрытых сообществах, большую роль играют ритуальные действия и психологическое состояние, или особая "теневая" ментальность, отделяющая членов клик от остальных членов общества. С помощью этой ментальности они отделяют "своих" от "</w:t>
      </w:r>
      <w:r>
        <w:rPr>
          <w:rStyle w:val="content"/>
          <w:color w:val="000000"/>
          <w:sz w:val="24"/>
          <w:szCs w:val="24"/>
        </w:rPr>
        <w:t>чужих", одновременно создавая психологические основы своих притязаний на господство в данном обществе. Данный тип ментальности задает шаблоны поведения клики как по отношению к своим членам, так и по отношению к другим кликам и обществу в целом.</w:t>
      </w:r>
    </w:p>
    <w:p w14:paraId="392A4206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"Теневой" </w:t>
      </w:r>
      <w:r>
        <w:rPr>
          <w:rStyle w:val="content"/>
          <w:color w:val="000000"/>
          <w:sz w:val="24"/>
          <w:szCs w:val="24"/>
        </w:rPr>
        <w:t>тип ментальности имеет много схожих черт с психологией криминальных сообществ, поскольку в основе психологии членов политических клик и ядра уголовного сообщества лежит общий "базовый инстинкт" - болезненное навязчивое чувство раздвоения человеческого сооб</w:t>
      </w:r>
      <w:r>
        <w:rPr>
          <w:rStyle w:val="content"/>
          <w:color w:val="000000"/>
          <w:sz w:val="24"/>
          <w:szCs w:val="24"/>
        </w:rPr>
        <w:t>щества на две неравные группы - избранного "ордена посвященных", так сказать, "аристократии" теневого мира, и "населения", или, по терминологии уголовной среды, "мужиков".</w:t>
      </w:r>
    </w:p>
    <w:p w14:paraId="2533C1E3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Принадлежность к этому "теневому ордену" подтверждается двумя основными способами - </w:t>
      </w:r>
      <w:r>
        <w:rPr>
          <w:rStyle w:val="content"/>
          <w:color w:val="000000"/>
          <w:sz w:val="24"/>
          <w:szCs w:val="24"/>
        </w:rPr>
        <w:t>"потомственностью" и "признанием", при этом большую роль в "узнавании" играют традиции, нормы и ритуальное поведение, которые, конечно, изменяются стечением времени. Однако ментальность групп относительно устойчива и изменяется гораздо медленнее, чем физич</w:t>
      </w:r>
      <w:r>
        <w:rPr>
          <w:rStyle w:val="content"/>
          <w:color w:val="000000"/>
          <w:sz w:val="24"/>
          <w:szCs w:val="24"/>
        </w:rPr>
        <w:t>еские и социальные условия их существования. Как говорил К. Юнг, "социальные и политические обстоятельства времени, несомненно, имеют большое значение, но их роль в радостях и бедах индивида гигантски преувеличена, поскольку они воспринимаются как единстве</w:t>
      </w:r>
      <w:r>
        <w:rPr>
          <w:rStyle w:val="content"/>
          <w:color w:val="000000"/>
          <w:sz w:val="24"/>
          <w:szCs w:val="24"/>
        </w:rPr>
        <w:t>нные решающие факторы. В этом смысле всем нашим общественным устремлениям присуща общая ошибка - не принимается во внимание психология личности".</w:t>
      </w:r>
    </w:p>
    <w:p w14:paraId="4DA1F5E9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Политические клики в современной Российской Федерации имеют номенклатурное происхождение. В 'наши дни новая но</w:t>
      </w:r>
      <w:r>
        <w:rPr>
          <w:rStyle w:val="content"/>
          <w:color w:val="000000"/>
          <w:sz w:val="24"/>
          <w:szCs w:val="24"/>
        </w:rPr>
        <w:t>менклатура воспроизводит основные фрагменты психологии старой номенклатуры, но в специфической психопатологической форме, что вызвано резкой сменой идеологических установок господствующего класса. В основе этого беспрецедентного коллективного феномена, сра</w:t>
      </w:r>
      <w:r>
        <w:rPr>
          <w:rStyle w:val="content"/>
          <w:color w:val="000000"/>
          <w:sz w:val="24"/>
          <w:szCs w:val="24"/>
        </w:rPr>
        <w:t>внимого разве что с разгромом язычества и принятием христианства на Руси, лежит конфликт двух "базовых" психологических комплексов, которые можно условно назвать "протокоммунистическим" и "протолиберальным". Оба комплекса получили свое воплощение в организ</w:t>
      </w:r>
      <w:r>
        <w:rPr>
          <w:rStyle w:val="content"/>
          <w:color w:val="000000"/>
          <w:sz w:val="24"/>
          <w:szCs w:val="24"/>
        </w:rPr>
        <w:t>ации религиозных "сообществ-сект". Историческая наука свидетельствует о существовании подобных сообществ у многих народов древности. Эти комплексы проявляют себя в форме типичных ментальных состояний, актуализирующих бессознательные представления о "порядк</w:t>
      </w:r>
      <w:r>
        <w:rPr>
          <w:rStyle w:val="content"/>
          <w:color w:val="000000"/>
          <w:sz w:val="24"/>
          <w:szCs w:val="24"/>
        </w:rPr>
        <w:t>е" и допустимости применения "насилия".</w:t>
      </w:r>
    </w:p>
    <w:p w14:paraId="5963BA51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"Прото-коммунистические" секты, обладали строгой организационной структурой и соответствующими моральной и идеологической доктринами. "Они презирают богатство, - писал один из историков, - и достойна удивления у них </w:t>
      </w:r>
      <w:r>
        <w:rPr>
          <w:rStyle w:val="content"/>
          <w:color w:val="000000"/>
          <w:sz w:val="24"/>
          <w:szCs w:val="24"/>
        </w:rPr>
        <w:t>общность имущества, ибо среди них нет ни одного, который был бы богаче другого. По существующему у них правилу всякий, присоединяющийся к секте, должен уступить свое состояние общине, а потому у них нигде нельзя видеть ни крайней нужды, ни блестящего богат</w:t>
      </w:r>
      <w:r>
        <w:rPr>
          <w:rStyle w:val="content"/>
          <w:color w:val="000000"/>
          <w:sz w:val="24"/>
          <w:szCs w:val="24"/>
        </w:rPr>
        <w:t xml:space="preserve">ства - все, как братья, владеют одним общим состоянием, образующимся от соединения в одно целое отдельных имуществ </w:t>
      </w:r>
      <w:r>
        <w:rPr>
          <w:rStyle w:val="content"/>
          <w:color w:val="000000"/>
          <w:sz w:val="24"/>
          <w:szCs w:val="24"/>
        </w:rPr>
        <w:lastRenderedPageBreak/>
        <w:t>каждого из них" [2, с. 169]. Соответственно товарно-денежные отношения были замещены чисто распределительной системой, что подразумевало нали</w:t>
      </w:r>
      <w:r>
        <w:rPr>
          <w:rStyle w:val="content"/>
          <w:color w:val="000000"/>
          <w:sz w:val="24"/>
          <w:szCs w:val="24"/>
        </w:rPr>
        <w:t>чие строгого административного контроля над общим имуществом и хозяйственной жизнью секты: "Все действия совершаются ими не иначе как по указаниям лиц, стоящих во главе их; только в двух случаях они пользуются полной свободой: в оказании помощи и в делах м</w:t>
      </w:r>
      <w:r>
        <w:rPr>
          <w:rStyle w:val="content"/>
          <w:color w:val="000000"/>
          <w:sz w:val="24"/>
          <w:szCs w:val="24"/>
        </w:rPr>
        <w:t>илосердия" [2, с. 171]. Социальная структура секты имела строго выраженный иерархический характер: "Они делятся на четыре класса: причем младшие члены так далеко отстоят от старших, что последние, при прикосновении к ним первых, умывают свое тело, точно их</w:t>
      </w:r>
      <w:r>
        <w:rPr>
          <w:rStyle w:val="content"/>
          <w:color w:val="000000"/>
          <w:sz w:val="24"/>
          <w:szCs w:val="24"/>
        </w:rPr>
        <w:t xml:space="preserve"> осквернил чужеземец" [2, с. 173]. Политическая идеология "прото-коммунистических" сект была последовательно "патриотической" и "государственнической".</w:t>
      </w:r>
    </w:p>
    <w:p w14:paraId="61EFAAFD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"Прото-либеральные" секты представляли собой зеркальную противоположность "прото-коммунистическим" по в</w:t>
      </w:r>
      <w:r>
        <w:rPr>
          <w:rStyle w:val="content"/>
          <w:color w:val="000000"/>
          <w:sz w:val="24"/>
          <w:szCs w:val="24"/>
        </w:rPr>
        <w:t>сем основным характеристикам организации социального, политического и морального порядка. В таких сектах "выбор между добром и злом предоставлен вполне свободной воле человека, и каждый по своему собственному усмотрению переходит на ту или иную сторону" [2</w:t>
      </w:r>
      <w:r>
        <w:rPr>
          <w:rStyle w:val="content"/>
          <w:color w:val="000000"/>
          <w:sz w:val="24"/>
          <w:szCs w:val="24"/>
        </w:rPr>
        <w:t>, с. 177]. Подразумеваемыми целями "прото-либеральных" сект были неограниченная материальная нажива, достижение высокого социального статуса и политического влияния. Ее члены были сторонниками "экономической свободы" и "космополитами", однако в реальной по</w:t>
      </w:r>
      <w:r>
        <w:rPr>
          <w:rStyle w:val="content"/>
          <w:color w:val="000000"/>
          <w:sz w:val="24"/>
          <w:szCs w:val="24"/>
        </w:rPr>
        <w:t>литической жизни поддерживали автократические системы власти.</w:t>
      </w:r>
    </w:p>
    <w:p w14:paraId="427F8586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Сравнительный исторический экскурс иллюстрирует тот факт, что содержанием обоих комплексов служат взаимоисключающие образы "порядка", которые проявляются как в поведенческих реакциях клик, так и</w:t>
      </w:r>
      <w:r>
        <w:rPr>
          <w:rStyle w:val="content"/>
          <w:color w:val="000000"/>
          <w:sz w:val="24"/>
          <w:szCs w:val="24"/>
        </w:rPr>
        <w:t xml:space="preserve"> в изменениях личности, вызванных идентификацией с тем или иным комплексом. Клики, как ни одна другая человеческая группа, испытывают острую потребность в чувстве идентификации. Групповая функция комплекса состоит в том, что на его основе обеспечивается пс</w:t>
      </w:r>
      <w:r>
        <w:rPr>
          <w:rStyle w:val="content"/>
          <w:color w:val="000000"/>
          <w:sz w:val="24"/>
          <w:szCs w:val="24"/>
        </w:rPr>
        <w:t>ихологическая сплоченность клики. В то же самое время идентификация на основе комплекса является источником психологического напряжения и коллективных неврозов.</w:t>
      </w:r>
    </w:p>
    <w:p w14:paraId="313248D0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Ментальность российской номенклатуры в качестве особой социальной группы созрела под лучами "кл</w:t>
      </w:r>
      <w:r>
        <w:rPr>
          <w:rStyle w:val="content"/>
          <w:color w:val="000000"/>
          <w:sz w:val="24"/>
          <w:szCs w:val="24"/>
        </w:rPr>
        <w:t>ассической" сталинской формулы - массовой расправы с политическими врагами с помощью уголовных статей. Насилие над другими группами, которые рассматривались как "классовые" конкуренты, приобрело особый, "этический" статус в психологической структуре номенк</w:t>
      </w:r>
      <w:r>
        <w:rPr>
          <w:rStyle w:val="content"/>
          <w:color w:val="000000"/>
          <w:sz w:val="24"/>
          <w:szCs w:val="24"/>
        </w:rPr>
        <w:t>латуры. Цель насилия - поддержание такого типа социального порядка, который принято называть "коммунистическим", и соответствующего ему "лагерного типа" экономики.</w:t>
      </w:r>
    </w:p>
    <w:p w14:paraId="712012F3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Когда под воздействием определенного набора внешних факторов конфликт комплексов достиг опре</w:t>
      </w:r>
      <w:r>
        <w:rPr>
          <w:rStyle w:val="content"/>
          <w:color w:val="000000"/>
          <w:sz w:val="24"/>
          <w:szCs w:val="24"/>
        </w:rPr>
        <w:t>деленной интенсивности, наступила психическая дезинтеграция номенклатуры, как на групповом, так и на личностном уровне. Открытая манифестация этого конфликта вызвала перегруппировку внутри номенклатуры и переход к "либеральному" типу социального порядка. О</w:t>
      </w:r>
      <w:r>
        <w:rPr>
          <w:rStyle w:val="content"/>
          <w:color w:val="000000"/>
          <w:sz w:val="24"/>
          <w:szCs w:val="24"/>
        </w:rPr>
        <w:t>днако это вовсе не означает, что коллективная психология господствующего класса избавилась от своего "базового" комплекса. В маргинальных формах он продолжает действовать на периферии нового социального порядка, однако более важно то, что его структуры сох</w:t>
      </w:r>
      <w:r>
        <w:rPr>
          <w:rStyle w:val="content"/>
          <w:color w:val="000000"/>
          <w:sz w:val="24"/>
          <w:szCs w:val="24"/>
        </w:rPr>
        <w:t>раняют свое ключевое значение в самом ядре групповой психологии политических клик.</w:t>
      </w:r>
    </w:p>
    <w:p w14:paraId="7683E7BD" w14:textId="77777777" w:rsidR="00000000" w:rsidRDefault="00C74985">
      <w:pPr>
        <w:widowControl w:val="0"/>
        <w:spacing w:before="120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Список литературы</w:t>
      </w:r>
    </w:p>
    <w:p w14:paraId="3D5E3A6B" w14:textId="77777777" w:rsidR="00000000" w:rsidRDefault="00C74985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http://psychology.net.ru/</w:t>
        </w:r>
      </w:hyperlink>
    </w:p>
    <w:p w14:paraId="62F3DEFB" w14:textId="77777777" w:rsidR="00C74985" w:rsidRDefault="00C74985"/>
    <w:sectPr w:rsidR="00C74985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DD"/>
    <w:rsid w:val="00C74985"/>
    <w:rsid w:val="00C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0197B"/>
  <w14:defaultImageDpi w14:val="0"/>
  <w15:docId w15:val="{3DEAB245-4FE2-43F4-85A6-34D13E3A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uiPriority w:val="99"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chology.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2774</Words>
  <Characters>15813</Characters>
  <Application>Microsoft Office Word</Application>
  <DocSecurity>0</DocSecurity>
  <Lines>131</Lines>
  <Paragraphs>37</Paragraphs>
  <ScaleCrop>false</ScaleCrop>
  <Company>PERSONAL COMPUTERS</Company>
  <LinksUpToDate>false</LinksUpToDate>
  <CharactersWithSpaces>18550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 политических клик</dc:title>
  <dc:subject/>
  <dc:creator>USER</dc:creator>
  <cp:keywords/>
  <dc:description/>
  <cp:lastModifiedBy>Igor_Trofimov</cp:lastModifiedBy>
  <cp:revision>2</cp:revision>
  <dcterms:created xsi:type="dcterms:W3CDTF">2025-10-28T05:47:00Z</dcterms:created>
  <dcterms:modified xsi:type="dcterms:W3CDTF">2025-10-28T05:47:00Z</dcterms:modified>
</cp:coreProperties>
</file>