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C85B" w14:textId="77777777" w:rsidR="00000000" w:rsidRDefault="005E3F5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Ситуативные детерминанты поведения </w:t>
      </w:r>
    </w:p>
    <w:p w14:paraId="2C8AF971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(Мотивация и Деятельность т.1, стр. 165-178)]</w:t>
      </w:r>
    </w:p>
    <w:p w14:paraId="6A90283C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Когнитивный баланс (Ф. Хайдер).</w:t>
      </w:r>
    </w:p>
    <w:p w14:paraId="37646AE0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основе теории – принцип "хорошей формы" [если </w:t>
      </w:r>
      <w:r>
        <w:rPr>
          <w:color w:val="000000"/>
        </w:rPr>
        <w:sym w:font="Symbol" w:char="F024"/>
      </w:r>
      <w:r>
        <w:rPr>
          <w:color w:val="000000"/>
        </w:rPr>
        <w:t xml:space="preserve"> различные возможности расчленения и орг-и воспринимаемого материала, то предпочитаются сбалансированные конфигурации (нам нравятся люди и вещи нам близкие), конфигурации, противоречащие этим гарм. отн-ям вызывают напряженность (ссора др</w:t>
      </w:r>
      <w:r>
        <w:rPr>
          <w:color w:val="000000"/>
        </w:rPr>
        <w:t xml:space="preserve">узей)]. </w:t>
      </w:r>
      <w:r>
        <w:rPr>
          <w:color w:val="000000"/>
        </w:rPr>
        <w:sym w:font="Symbol" w:char="F024"/>
      </w:r>
      <w:r>
        <w:rPr>
          <w:color w:val="000000"/>
        </w:rPr>
        <w:t xml:space="preserve"> ситуации, в которых стремление к когнитивному балансу м. объяснить возникающие в итроге эмоции и поступки. Теория сформулирована для </w:t>
      </w:r>
      <w:r>
        <w:rPr>
          <w:color w:val="000000"/>
          <w:lang w:val="en-US"/>
        </w:rPr>
        <w:t>S</w:t>
      </w:r>
      <w:r>
        <w:rPr>
          <w:color w:val="000000"/>
        </w:rPr>
        <w:t>-</w:t>
      </w:r>
      <w:r>
        <w:rPr>
          <w:color w:val="000000"/>
          <w:lang w:val="en-US"/>
        </w:rPr>
        <w:t>O</w:t>
      </w:r>
      <w:r>
        <w:rPr>
          <w:color w:val="000000"/>
        </w:rPr>
        <w:t>-Х-системы [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-субъект, О- др. чел., Х- предмет или убеждение] </w:t>
      </w:r>
    </w:p>
    <w:p w14:paraId="2264EE7D" w14:textId="0B72CDA0" w:rsidR="00000000" w:rsidRDefault="00657472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D5612B" wp14:editId="7A1B7C0C">
                <wp:simplePos x="0" y="0"/>
                <wp:positionH relativeFrom="column">
                  <wp:posOffset>228600</wp:posOffset>
                </wp:positionH>
                <wp:positionV relativeFrom="paragraph">
                  <wp:posOffset>75565</wp:posOffset>
                </wp:positionV>
                <wp:extent cx="4800600" cy="711200"/>
                <wp:effectExtent l="5715" t="29210" r="13335" b="50165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711200"/>
                          <a:chOff x="2061" y="5141"/>
                          <a:chExt cx="7560" cy="112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524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D5941" w14:textId="77777777" w:rsidR="00000000" w:rsidRDefault="005E3F5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524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54F68" w14:textId="77777777" w:rsidR="00000000" w:rsidRDefault="005E3F5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580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972AFF" w14:textId="77777777" w:rsidR="00000000" w:rsidRDefault="005E3F54">
                              <w:pPr>
                                <w:pStyle w:val="a3"/>
                                <w:ind w:right="-5"/>
                                <w:jc w:val="both"/>
                              </w:pPr>
                              <w:r>
                                <w:t>Х</w:t>
                              </w:r>
                            </w:p>
                            <w:p w14:paraId="2D597971" w14:textId="77777777" w:rsidR="00000000" w:rsidRDefault="005E3F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21" y="5181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21" y="5181"/>
                            <a:ext cx="54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61" y="5181"/>
                            <a:ext cx="72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514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E777CF" w14:textId="77777777" w:rsidR="00000000" w:rsidRDefault="005E3F5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941" y="5181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514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5322E" w14:textId="77777777" w:rsidR="00000000" w:rsidRDefault="005E3F5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580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7867A" w14:textId="77777777" w:rsidR="00000000" w:rsidRDefault="005E3F54">
                              <w:pPr>
                                <w:pStyle w:val="a3"/>
                                <w:ind w:right="-5"/>
                                <w:jc w:val="both"/>
                              </w:pPr>
                              <w:r>
                                <w:t>Х</w:t>
                              </w:r>
                            </w:p>
                            <w:p w14:paraId="618ED76D" w14:textId="77777777" w:rsidR="00000000" w:rsidRDefault="005E3F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661" y="5361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41" y="5361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514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E96176" w14:textId="77777777" w:rsidR="00000000" w:rsidRDefault="005E3F5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081" y="524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E59F7" w14:textId="77777777" w:rsidR="00000000" w:rsidRDefault="005E3F54">
                              <w:r>
                                <w:t>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5801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107B3C" w14:textId="77777777" w:rsidR="00000000" w:rsidRDefault="005E3F54">
                              <w: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641" y="5181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461" y="5361"/>
                            <a:ext cx="9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8541" y="5181"/>
                            <a:ext cx="72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5612B" id="Group 2" o:spid="_x0000_s1026" style="position:absolute;left:0;text-align:left;margin-left:18pt;margin-top:5.95pt;width:378pt;height:56pt;z-index:251658240" coordorigin="2061,5141" coordsize="7560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1;top:524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EFD5941" w14:textId="77777777" w:rsidR="00000000" w:rsidRDefault="005E3F5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Text Box 4" o:spid="_x0000_s1028" type="#_x0000_t202" style="position:absolute;left:2061;top:524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5654F68" w14:textId="77777777" w:rsidR="00000000" w:rsidRDefault="005E3F5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Text Box 5" o:spid="_x0000_s1029" type="#_x0000_t202" style="position:absolute;left:2781;top:580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7972AFF" w14:textId="77777777" w:rsidR="00000000" w:rsidRDefault="005E3F54">
                        <w:pPr>
                          <w:pStyle w:val="a3"/>
                          <w:ind w:right="-5"/>
                          <w:jc w:val="both"/>
                        </w:pPr>
                        <w:r>
                          <w:t>Х</w:t>
                        </w:r>
                      </w:p>
                      <w:p w14:paraId="2D597971" w14:textId="77777777" w:rsidR="00000000" w:rsidRDefault="005E3F54"/>
                    </w:txbxContent>
                  </v:textbox>
                </v:shape>
                <v:line id="Line 6" o:spid="_x0000_s1030" style="position:absolute;visibility:visible;mso-wrap-style:square" from="2421,5181" to="3681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" o:spid="_x0000_s1031" style="position:absolute;visibility:visible;mso-wrap-style:square" from="2421,5181" to="2961,6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8" o:spid="_x0000_s1032" style="position:absolute;flip:x;visibility:visible;mso-wrap-style:square" from="2961,5181" to="3681,6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<v:stroke endarrow="block"/>
                </v:line>
                <v:shape id="Text Box 9" o:spid="_x0000_s1033" type="#_x0000_t202" style="position:absolute;left:6021;top:514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CE777CF" w14:textId="77777777" w:rsidR="00000000" w:rsidRDefault="005E3F5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line id="Line 10" o:spid="_x0000_s1034" style="position:absolute;visibility:visible;mso-wrap-style:square" from="4941,5181" to="6201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shape id="Text Box 11" o:spid="_x0000_s1035" type="#_x0000_t202" style="position:absolute;left:4581;top:514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0965322E" w14:textId="77777777" w:rsidR="00000000" w:rsidRDefault="005E3F5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Text Box 12" o:spid="_x0000_s1036" type="#_x0000_t202" style="position:absolute;left:5301;top:580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4017867A" w14:textId="77777777" w:rsidR="00000000" w:rsidRDefault="005E3F54">
                        <w:pPr>
                          <w:pStyle w:val="a3"/>
                          <w:ind w:right="-5"/>
                          <w:jc w:val="both"/>
                        </w:pPr>
                        <w:r>
                          <w:t>Х</w:t>
                        </w:r>
                      </w:p>
                      <w:p w14:paraId="618ED76D" w14:textId="77777777" w:rsidR="00000000" w:rsidRDefault="005E3F54"/>
                    </w:txbxContent>
                  </v:textbox>
                </v:shape>
                <v:line id="Line 13" o:spid="_x0000_s1037" style="position:absolute;flip:x;visibility:visible;mso-wrap-style:square" from="5661,5361" to="6201,6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4941,5361" to="5481,6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">
                  <v:stroke dashstyle="dash" endarrow="block"/>
                </v:line>
                <v:shape id="Text Box 15" o:spid="_x0000_s1039" type="#_x0000_t202" style="position:absolute;left:7101;top:514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42E96176" w14:textId="77777777" w:rsidR="00000000" w:rsidRDefault="005E3F5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Text Box 16" o:spid="_x0000_s1040" type="#_x0000_t202" style="position:absolute;left:9081;top:524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303E59F7" w14:textId="77777777" w:rsidR="00000000" w:rsidRDefault="005E3F54">
                        <w:r>
                          <w:t>О</w:t>
                        </w:r>
                      </w:p>
                    </w:txbxContent>
                  </v:textbox>
                </v:shape>
                <v:shape id="Text Box 17" o:spid="_x0000_s1041" type="#_x0000_t202" style="position:absolute;left:8181;top:580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30107B3C" w14:textId="77777777" w:rsidR="00000000" w:rsidRDefault="005E3F54">
                        <w:r>
                          <w:t>Х</w:t>
                        </w:r>
                      </w:p>
                    </w:txbxContent>
                  </v:textbox>
                </v:shape>
                <v:line id="Line 18" o:spid="_x0000_s1042" style="position:absolute;visibility:visible;mso-wrap-style:square" from="7641,5181" to="9081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">
                  <v:stroke dashstyle="dash" endarrow="block"/>
                </v:line>
                <v:line id="Line 19" o:spid="_x0000_s1043" style="position:absolute;visibility:visible;mso-wrap-style:square" from="7461,5361" to="8361,6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">
                  <v:stroke dashstyle="dash" endarrow="block"/>
                </v:line>
                <v:line id="Line 20" o:spid="_x0000_s1044" style="position:absolute;flip:x;visibility:visible;mso-wrap-style:square" from="8541,5181" to="9261,6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151E0675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</w:p>
    <w:p w14:paraId="3BEA7033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</w:p>
    <w:p w14:paraId="2BDF291F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</w:p>
    <w:p w14:paraId="2B3966E0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Первая и третьи триады сбалансированы, вторая - нет (- - - - – негативные  отношения, — -   позитивные)</w:t>
      </w:r>
    </w:p>
    <w:p w14:paraId="542C6655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Когнитивный диссонанс (Л. Фестингер).</w:t>
      </w:r>
    </w:p>
    <w:p w14:paraId="465EA53E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Теория исходит из теории поля Левина и теории когнитивного баланса + Индийское землетряс</w:t>
      </w:r>
      <w:r>
        <w:rPr>
          <w:color w:val="000000"/>
        </w:rPr>
        <w:t>ение. Осн. постулат:  стремление к гармонии и конгруэнтности когнитивных репрезентаций внешнего мира и себя.</w:t>
      </w:r>
    </w:p>
    <w:p w14:paraId="37F6179C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Виды отношений между когнитивными эл-тами (отдельные сведенья, в т. ч. убеждения и ценности): 1. Иррелевантные (</w:t>
      </w:r>
      <w:r>
        <w:rPr>
          <w:color w:val="000000"/>
        </w:rPr>
        <w:sym w:font="Symbol" w:char="F0D8"/>
      </w:r>
      <w:r>
        <w:rPr>
          <w:color w:val="000000"/>
        </w:rPr>
        <w:t>((А</w:t>
      </w:r>
      <w:r>
        <w:rPr>
          <w:color w:val="000000"/>
        </w:rPr>
        <w:sym w:font="Symbol" w:char="F0C9"/>
      </w:r>
      <w:r>
        <w:rPr>
          <w:color w:val="000000"/>
        </w:rPr>
        <w:t>В)</w:t>
      </w:r>
      <w:r>
        <w:rPr>
          <w:color w:val="000000"/>
        </w:rPr>
        <w:sym w:font="Symbol" w:char="F0DA"/>
      </w:r>
      <w:r>
        <w:rPr>
          <w:color w:val="000000"/>
        </w:rPr>
        <w:t>(В</w:t>
      </w:r>
      <w:r>
        <w:rPr>
          <w:color w:val="000000"/>
        </w:rPr>
        <w:sym w:font="Symbol" w:char="F0C9"/>
      </w:r>
      <w:r>
        <w:rPr>
          <w:color w:val="000000"/>
        </w:rPr>
        <w:t>А)), 2. консонансные (А</w:t>
      </w:r>
      <w:r>
        <w:rPr>
          <w:color w:val="000000"/>
        </w:rPr>
        <w:sym w:font="Symbol" w:char="F0C9"/>
      </w:r>
      <w:r>
        <w:rPr>
          <w:color w:val="000000"/>
        </w:rPr>
        <w:t>В), диссонантные (</w:t>
      </w:r>
      <w:r>
        <w:rPr>
          <w:color w:val="000000"/>
          <w:lang w:val="en-US"/>
        </w:rPr>
        <w:t>A</w:t>
      </w:r>
      <w:r>
        <w:rPr>
          <w:color w:val="000000"/>
        </w:rPr>
        <w:sym w:font="Symbol" w:char="F0C9"/>
      </w:r>
      <w:r>
        <w:rPr>
          <w:color w:val="000000"/>
        </w:rPr>
        <w:sym w:font="Symbol" w:char="F0D8"/>
      </w:r>
      <w:r>
        <w:rPr>
          <w:color w:val="000000"/>
        </w:rPr>
        <w:t xml:space="preserve"> В).   </w:t>
      </w:r>
    </w:p>
    <w:p w14:paraId="76F49E93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9 постулатов Зайо</w:t>
      </w:r>
      <w:r>
        <w:rPr>
          <w:color w:val="000000"/>
        </w:rPr>
        <w:t>нка:</w:t>
      </w:r>
    </w:p>
    <w:p w14:paraId="2174649E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1. КД (дисс. меж собственных, за которые взялся, значимых ("обязательство") когн. эл-тов) – негативное сост-е.</w:t>
      </w:r>
    </w:p>
    <w:p w14:paraId="0944B494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2. Чел. хочет редуцировать его и избегать всего с ним связанного, могущего его увеличить. (редуцировать можно:*).</w:t>
      </w:r>
    </w:p>
    <w:p w14:paraId="2BD04791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3. При нал-и согласованнос</w:t>
      </w:r>
      <w:r>
        <w:rPr>
          <w:color w:val="000000"/>
        </w:rPr>
        <w:t xml:space="preserve">ти,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старается избегать соб-й, рожд. КД</w:t>
      </w:r>
    </w:p>
    <w:p w14:paraId="7056492F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4. Глубина КД зависит от значимости соотв. знаний и их количества</w:t>
      </w:r>
    </w:p>
    <w:p w14:paraId="3942832A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5. Сила тенденций 2. и 3. ~ губиной диссонанса.</w:t>
      </w:r>
    </w:p>
    <w:p w14:paraId="47AEBC19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6-8. 1.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несколько эл-тов в дисс. отн. (если новое сод-е делает их менее противоречащими остальным з</w:t>
      </w:r>
      <w:r>
        <w:rPr>
          <w:color w:val="000000"/>
        </w:rPr>
        <w:t>н-м или пониж. их значимость), 2. добавив новые (если они усиливают одну из сторон [</w:t>
      </w:r>
      <w:r>
        <w:rPr>
          <w:color w:val="000000"/>
          <w:lang w:val="en-US"/>
        </w:rPr>
        <w:sym w:font="Wingdings" w:char="F0E8"/>
      </w:r>
      <w:r>
        <w:rPr>
          <w:color w:val="000000"/>
        </w:rPr>
        <w:t xml:space="preserve">уменьшают долю дисс. эл-тов] или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значимость дисс. эл-тов).  </w:t>
      </w:r>
    </w:p>
    <w:p w14:paraId="1572DCC2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9. Если пассивных проц. не хватает – особое пов-е (ех: поиск инф.)</w:t>
      </w:r>
    </w:p>
    <w:p w14:paraId="728BB180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5 осн</w:t>
      </w:r>
      <w:r>
        <w:rPr>
          <w:color w:val="000000"/>
        </w:rPr>
        <w:t xml:space="preserve">. областей феноменов, где важна ред-я КД (по Фестингеру): </w:t>
      </w:r>
    </w:p>
    <w:p w14:paraId="74257016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конфликт после принятия р-я.</w:t>
      </w:r>
    </w:p>
    <w:p w14:paraId="5B49EE1B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Волевое р-е конфликта м. вызвать КД. (ех: выбор: диссонируют "+" стороны отвергнутого и "-" стороны выбранного </w:t>
      </w:r>
      <w:r>
        <w:rPr>
          <w:color w:val="000000"/>
          <w:lang w:val="en-US"/>
        </w:rPr>
        <w:sym w:font="Wingdings" w:char="F0E0"/>
      </w:r>
      <w:r>
        <w:rPr>
          <w:color w:val="000000"/>
        </w:rPr>
        <w:t xml:space="preserve"> предвзятая оценка выбр</w:t>
      </w:r>
      <w:r>
        <w:rPr>
          <w:color w:val="000000"/>
        </w:rPr>
        <w:t>анного как лучшего("эффект расхождения") [редукция КД], иногда – наоборот [попытка отменить принятое р-е])</w:t>
      </w:r>
    </w:p>
    <w:p w14:paraId="3E407439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вынужденное сов-е поступков (д, кот сам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для себя не м. удовлетворительно обосновать). </w:t>
      </w:r>
      <w:r>
        <w:rPr>
          <w:color w:val="000000"/>
        </w:rPr>
        <w:br/>
        <w:t>Чистое принуждение. Нет реальной выгоды. (чтобы уменьшить КД</w:t>
      </w:r>
      <w:r>
        <w:rPr>
          <w:color w:val="000000"/>
        </w:rPr>
        <w:t>, необходимо задним числом повысить ценность совершенного д./ обесценить его негативные аспекты. +Достаточно чего-то одного (опыт с ложью маленьким и большим вознаграждением)).  Мотивирующий эффект КД м. менять даже действенность влечений. КД м. ослабить в</w:t>
      </w:r>
      <w:r>
        <w:rPr>
          <w:color w:val="000000"/>
        </w:rPr>
        <w:t>л-е на пов-е и научение влечений.</w:t>
      </w:r>
    </w:p>
    <w:p w14:paraId="49B7968F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селекция информации.</w:t>
      </w:r>
    </w:p>
    <w:p w14:paraId="2317BC59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Люди ищут и выбирают ту информацию, кот. повышает ценность выбранной  альтернативы (см. 1.) и обесценивает отвергнутую. Предпочитают трудно опровергаемую консонантную и легко опр. диссонантную инф-ю.</w:t>
      </w:r>
    </w:p>
    <w:p w14:paraId="60A17859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несогл-е с убежд-ми соц. группы.</w:t>
      </w:r>
    </w:p>
    <w:p w14:paraId="2D92DC41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Американская секта. Ждали потопа. Не дождались. Возник КД. Надо редуцировать. Вместо того, чтобы разувериться – вера стала еще сильнее (вл-е членов гр. др. на др.) Другой способ – увеличение консонантных знаний (благодаря н</w:t>
      </w:r>
      <w:r>
        <w:rPr>
          <w:color w:val="000000"/>
        </w:rPr>
        <w:t>ам и не залило!)</w:t>
      </w:r>
    </w:p>
    <w:p w14:paraId="76186EFE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неожиданные результаты д.</w:t>
      </w:r>
    </w:p>
    <w:p w14:paraId="22670E1F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а. диспропорция между значительной затратой усилий и неудачным результатом </w:t>
      </w:r>
    </w:p>
    <w:p w14:paraId="66957AE0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Чтобы редуцировать – задним числом обосновать пустую трату сил, повысив ценность цели (если не отрицать затраченные усилия). </w:t>
      </w:r>
    </w:p>
    <w:p w14:paraId="0F97C562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"Психологи</w:t>
      </w:r>
      <w:r>
        <w:rPr>
          <w:color w:val="000000"/>
        </w:rPr>
        <w:t xml:space="preserve">я недостаточного вознаграждения" (Лоуренс, Фестингер) – КД </w:t>
      </w:r>
      <w:r>
        <w:rPr>
          <w:color w:val="000000"/>
        </w:rPr>
        <w:sym w:font="Symbol" w:char="F024"/>
      </w:r>
      <w:r>
        <w:rPr>
          <w:color w:val="000000"/>
        </w:rPr>
        <w:t xml:space="preserve"> и у животных. Голодные крысы учатся находить путь к еде, а им мешают (частичное/отсроченное подкрепление, препятствия). Индикатор – сопротивляемость угасанию научения</w:t>
      </w:r>
      <w:r>
        <w:rPr>
          <w:color w:val="000000"/>
        </w:rPr>
        <w:t>. Две гипотезы: 1. КД, обусл. препонами, редуцируется благодаря тому, что цели приписывается дополнительная привлекательность. 2. Т. к. КД кумулятивен, он д. уменьшаться (</w:t>
      </w:r>
      <w:r>
        <w:rPr>
          <w:color w:val="000000"/>
          <w:lang w:val="en-US"/>
        </w:rPr>
        <w:sym w:font="Wingdings" w:char="F0E8"/>
      </w:r>
      <w:r>
        <w:rPr>
          <w:color w:val="000000"/>
        </w:rPr>
        <w:t xml:space="preserve"> возрастает доп. прив-ть). Подтв. обе.   </w:t>
      </w:r>
    </w:p>
    <w:p w14:paraId="4C7C0A8E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>b</w:t>
      </w:r>
      <w:r>
        <w:rPr>
          <w:color w:val="000000"/>
        </w:rPr>
        <w:t>. Диссон</w:t>
      </w:r>
      <w:r>
        <w:rPr>
          <w:color w:val="000000"/>
        </w:rPr>
        <w:t>анс в самооценке</w:t>
      </w:r>
    </w:p>
    <w:p w14:paraId="4DADCE24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КД возникает, когда Д (ее рез.) противор. представлениям о себе (особенно нравств. и сп-стей). Ожидания, предъявл. к собственной Д. устойчивее, чем –"– к чужой. Сначала, допустим, успех </w:t>
      </w:r>
      <w:r>
        <w:rPr>
          <w:color w:val="000000"/>
          <w:lang w:val="en-US"/>
        </w:rPr>
        <w:sym w:font="Wingdings" w:char="F0E8"/>
      </w:r>
      <w:r>
        <w:rPr>
          <w:color w:val="000000"/>
        </w:rPr>
        <w:t xml:space="preserve"> пов-е самооц., а п</w:t>
      </w:r>
      <w:r>
        <w:rPr>
          <w:color w:val="000000"/>
        </w:rPr>
        <w:t xml:space="preserve">отом – несоотв. Ожиданиям инф-я (неуспех) </w:t>
      </w:r>
      <w:r>
        <w:rPr>
          <w:color w:val="000000"/>
          <w:lang w:val="en-US"/>
        </w:rPr>
        <w:sym w:font="Wingdings" w:char="F0E8"/>
      </w:r>
      <w:r>
        <w:rPr>
          <w:color w:val="000000"/>
        </w:rPr>
        <w:t xml:space="preserve"> пон-е самооц. [или сначало пон-е, потом пов-е] </w:t>
      </w:r>
      <w:r>
        <w:rPr>
          <w:color w:val="000000"/>
          <w:lang w:val="en-US"/>
        </w:rPr>
        <w:sym w:font="Wingdings" w:char="F0E8"/>
      </w:r>
      <w:r>
        <w:rPr>
          <w:color w:val="000000"/>
          <w:lang w:val="en-US"/>
        </w:rPr>
        <w:sym w:font="Wingdings" w:char="F0E8"/>
      </w:r>
      <w:r>
        <w:rPr>
          <w:color w:val="000000"/>
        </w:rPr>
        <w:t xml:space="preserve"> КД</w:t>
      </w:r>
      <w:r>
        <w:rPr>
          <w:color w:val="000000"/>
          <w:lang w:val="en-US"/>
        </w:rPr>
        <w:sym w:font="Wingdings" w:char="F0E0"/>
      </w:r>
      <w:r>
        <w:rPr>
          <w:color w:val="000000"/>
        </w:rPr>
        <w:t xml:space="preserve"> редуцировать! {самооц. лег</w:t>
      </w:r>
      <w:r>
        <w:rPr>
          <w:color w:val="000000"/>
        </w:rPr>
        <w:t>че повысить, чем опустить}</w:t>
      </w:r>
    </w:p>
    <w:p w14:paraId="1FCA0BC7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с. побочные последствия </w:t>
      </w:r>
    </w:p>
    <w:p w14:paraId="25329CD3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Сначала школьники за деньги едят нелюбимые овощи, а потом  родителям говорят, что "Ваш Вася с удовольствием ел репу". И действительно, репа после сообщения стала для Васи привлекательнее. Если чел-к счита</w:t>
      </w:r>
      <w:r>
        <w:rPr>
          <w:color w:val="000000"/>
        </w:rPr>
        <w:t>ет себя причиной "-" побочных посл., он редуцирует КД.</w:t>
      </w:r>
    </w:p>
    <w:p w14:paraId="21B701BA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Исследования КД в историческом аспекте.</w:t>
      </w:r>
    </w:p>
    <w:p w14:paraId="04CA0375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Первоначально Фестингер рассматривал все когн. образования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как диссонансные в смысле порождения мотивации, направленной на редукцию КД. В 1962 Брэм и Коэн конк</w:t>
      </w:r>
      <w:r>
        <w:rPr>
          <w:color w:val="000000"/>
        </w:rPr>
        <w:t>ретизировали КД: необходимое условие складывается 2х: приписывания себе причин возн-я КД и социально открытого осущ-я Д. [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считается обязавшимся, если он сделал выбор (в широком смысле).] В 1968 Аронсон ограничил КД личностно значимыми феноменами, связав </w:t>
      </w:r>
      <w:r>
        <w:rPr>
          <w:color w:val="000000"/>
        </w:rPr>
        <w:t xml:space="preserve">их с устойчивыми ожиданиями, лишь тогда отражающимися на Д.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и приводящим к КД, когда эта Д. вступает в противоречие с представлением о себе, обманывая ожидания. Брэмел (1968) еще сузил рамки: условие КД – "-" отклонения от представления о себе. КД – моти</w:t>
      </w:r>
      <w:r>
        <w:rPr>
          <w:color w:val="000000"/>
        </w:rPr>
        <w:t xml:space="preserve">вация страха перед социальными последствиями. 1976, Виклунд и Брем: необходимое усл. редукции КД – переживание личной ответственности за сосуществование неустойчивы </w:t>
      </w:r>
      <w:r>
        <w:rPr>
          <w:color w:val="000000"/>
        </w:rPr>
        <w:lastRenderedPageBreak/>
        <w:t>когн. структур [вновь расширили термин, если сравнивать с Аронсоном].{1975, Нюттен вообще о</w:t>
      </w:r>
      <w:r>
        <w:rPr>
          <w:color w:val="000000"/>
        </w:rPr>
        <w:t xml:space="preserve">трицает возможность </w:t>
      </w:r>
      <w:r>
        <w:rPr>
          <w:color w:val="000000"/>
          <w:lang w:val="en-US"/>
        </w:rPr>
        <w:t>D</w:t>
      </w:r>
      <w:r>
        <w:rPr>
          <w:color w:val="000000"/>
        </w:rPr>
        <w:t xml:space="preserve"> установок на основе ред-и КД, отклонения поведения от установок он объясняет "заражением </w:t>
      </w:r>
      <w:r>
        <w:rPr>
          <w:color w:val="000000"/>
          <w:lang w:val="en-US"/>
        </w:rPr>
        <w:t>R</w:t>
      </w:r>
      <w:r>
        <w:rPr>
          <w:color w:val="000000"/>
        </w:rPr>
        <w:t>"}</w:t>
      </w:r>
    </w:p>
    <w:p w14:paraId="54F34C89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Теории когн. оценки с (.)зр проблем </w:t>
      </w:r>
      <w:r>
        <w:rPr>
          <w:color w:val="000000"/>
          <w:lang w:val="en-US"/>
        </w:rPr>
        <w:t>Y</w:t>
      </w:r>
      <w:r>
        <w:rPr>
          <w:color w:val="000000"/>
        </w:rPr>
        <w:t xml:space="preserve"> мотивации.</w:t>
      </w:r>
    </w:p>
    <w:p w14:paraId="14CC03FB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Все теории внесли свой вклад в разработку проблем мот-и (особенно проблем опосредующих проце</w:t>
      </w:r>
      <w:r>
        <w:rPr>
          <w:color w:val="000000"/>
        </w:rPr>
        <w:t>ссов саморегуляции [7я проблема], мотивационного конфликта [6я], актуализации мотивов [4я]), хоть индивидуальные различия в них и не учитываются. В аспекте возможного теоретико-личностного  характера концепции когн. оценивания ситуации пока не разработаны,</w:t>
      </w:r>
      <w:r>
        <w:rPr>
          <w:color w:val="000000"/>
        </w:rPr>
        <w:t xml:space="preserve"> предстают как иссл-я мот-и без мотива.</w:t>
      </w:r>
    </w:p>
    <w:p w14:paraId="71C17059" w14:textId="77777777" w:rsidR="00000000" w:rsidRDefault="005E3F54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Присущим всем вн/внеш детерминантам явл. их интраиндивидуальная варьируемость и отсутствие связи меж инд. диспозиционными разл-ми [разнообр-е ситуационных ~]. Стало ясно, что для р-я пробл. стремления к цели потребуе</w:t>
      </w:r>
      <w:r>
        <w:rPr>
          <w:color w:val="000000"/>
        </w:rPr>
        <w:t>тся опираться на два фундаментальных конструкта: ожидание и привлекательность.</w:t>
      </w:r>
    </w:p>
    <w:p w14:paraId="25000111" w14:textId="77777777" w:rsidR="00000000" w:rsidRDefault="005E3F5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C35B109" w14:textId="77777777" w:rsidR="005E3F54" w:rsidRDefault="005E3F54">
      <w:pPr>
        <w:widowControl w:val="0"/>
        <w:spacing w:before="120"/>
        <w:ind w:firstLine="590"/>
        <w:jc w:val="both"/>
        <w:rPr>
          <w:color w:val="000000"/>
        </w:rPr>
      </w:pPr>
      <w:r>
        <w:rPr>
          <w:color w:val="000000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c"/>
          </w:rPr>
          <w:t>http://enpsy.ru/</w:t>
        </w:r>
      </w:hyperlink>
    </w:p>
    <w:sectPr w:rsidR="005E3F54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1E7"/>
    <w:multiLevelType w:val="hybridMultilevel"/>
    <w:tmpl w:val="DD4C5C54"/>
    <w:lvl w:ilvl="0" w:tplc="562E7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6E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E4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FA62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24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A81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87A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0E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A0A4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D5299"/>
    <w:multiLevelType w:val="hybridMultilevel"/>
    <w:tmpl w:val="184A0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C23682"/>
    <w:multiLevelType w:val="hybridMultilevel"/>
    <w:tmpl w:val="A136415A"/>
    <w:lvl w:ilvl="0" w:tplc="8B54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0F6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C282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29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4C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FA6B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7AE3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6C3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56DD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71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72"/>
    <w:rsid w:val="005E3F54"/>
    <w:rsid w:val="006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A6741"/>
  <w14:defaultImageDpi w14:val="0"/>
  <w15:docId w15:val="{D1D63932-981B-492C-B107-51048C79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-5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Pr>
      <w:i/>
      <w:iCs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rPr>
      <w:vertAlign w:val="superscript"/>
    </w:rPr>
  </w:style>
  <w:style w:type="character" w:styleId="ac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p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5478</Characters>
  <Application>Microsoft Office Word</Application>
  <DocSecurity>0</DocSecurity>
  <Lines>45</Lines>
  <Paragraphs>12</Paragraphs>
  <ScaleCrop>false</ScaleCrop>
  <Company>PERSONAL COMPUTERS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Когнититивный диссонанс</dc:title>
  <dc:subject/>
  <dc:creator>ars</dc:creator>
  <cp:keywords/>
  <dc:description/>
  <cp:lastModifiedBy>Igor_Trofimov</cp:lastModifiedBy>
  <cp:revision>2</cp:revision>
  <cp:lastPrinted>2003-04-30T22:16:00Z</cp:lastPrinted>
  <dcterms:created xsi:type="dcterms:W3CDTF">2025-10-31T07:03:00Z</dcterms:created>
  <dcterms:modified xsi:type="dcterms:W3CDTF">2025-10-31T07:03:00Z</dcterms:modified>
</cp:coreProperties>
</file>